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一、新乐市信访局本级收支预算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501001新乐市信访局本级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340.03</w:t>
            </w:r>
          </w:p>
        </w:tc>
        <w:tc>
          <w:tcPr>
            <w:tcW w:w="4535" w:type="dxa"/>
            <w:vAlign w:val="center"/>
          </w:tcPr>
          <w:p>
            <w:pPr>
              <w:pStyle w:val="12"/>
            </w:pPr>
            <w:r>
              <w:t>一、一般公共服务支出</w:t>
            </w:r>
          </w:p>
        </w:tc>
        <w:tc>
          <w:tcPr>
            <w:tcW w:w="2126" w:type="dxa"/>
            <w:vAlign w:val="center"/>
          </w:tcPr>
          <w:p>
            <w:pPr>
              <w:pStyle w:val="11"/>
            </w:pPr>
            <w:r>
              <w:t>242.72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340.03</w:t>
            </w:r>
          </w:p>
        </w:tc>
        <w:tc>
          <w:tcPr>
            <w:tcW w:w="4535" w:type="dxa"/>
            <w:vAlign w:val="center"/>
          </w:tcPr>
          <w:p>
            <w:pPr>
              <w:pStyle w:val="14"/>
            </w:pPr>
            <w:r>
              <w:t>本年支出合计</w:t>
            </w:r>
          </w:p>
        </w:tc>
        <w:tc>
          <w:tcPr>
            <w:tcW w:w="2126" w:type="dxa"/>
            <w:vAlign w:val="center"/>
          </w:tcPr>
          <w:p>
            <w:pPr>
              <w:pStyle w:val="15"/>
            </w:pPr>
            <w:r>
              <w:t>340.03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340.03</w:t>
            </w:r>
          </w:p>
        </w:tc>
        <w:tc>
          <w:tcPr>
            <w:tcW w:w="4535" w:type="dxa"/>
            <w:vAlign w:val="center"/>
          </w:tcPr>
          <w:p>
            <w:pPr>
              <w:pStyle w:val="14"/>
            </w:pPr>
            <w:r>
              <w:t>支出总计</w:t>
            </w:r>
          </w:p>
        </w:tc>
        <w:tc>
          <w:tcPr>
            <w:tcW w:w="2126" w:type="dxa"/>
            <w:vAlign w:val="center"/>
          </w:tcPr>
          <w:p>
            <w:pPr>
              <w:pStyle w:val="15"/>
            </w:pPr>
            <w:r>
              <w:t>340.03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501001新乐市信访局本级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340.03</w:t>
            </w:r>
          </w:p>
        </w:tc>
        <w:tc>
          <w:tcPr>
            <w:tcW w:w="1134" w:type="dxa"/>
            <w:vAlign w:val="center"/>
          </w:tcPr>
          <w:p>
            <w:pPr>
              <w:pStyle w:val="15"/>
            </w:pPr>
            <w:r>
              <w:t>340.03</w:t>
            </w:r>
          </w:p>
        </w:tc>
        <w:tc>
          <w:tcPr>
            <w:tcW w:w="1134" w:type="dxa"/>
            <w:vAlign w:val="center"/>
          </w:tcPr>
          <w:p>
            <w:pPr>
              <w:pStyle w:val="15"/>
            </w:pPr>
            <w:r>
              <w:t>340.03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242.72</w:t>
            </w:r>
          </w:p>
        </w:tc>
        <w:tc>
          <w:tcPr>
            <w:tcW w:w="1134" w:type="dxa"/>
            <w:vAlign w:val="center"/>
          </w:tcPr>
          <w:p>
            <w:pPr>
              <w:pStyle w:val="11"/>
            </w:pPr>
            <w:r>
              <w:t>242.72</w:t>
            </w:r>
          </w:p>
        </w:tc>
        <w:tc>
          <w:tcPr>
            <w:tcW w:w="1134" w:type="dxa"/>
            <w:vAlign w:val="center"/>
          </w:tcPr>
          <w:p>
            <w:pPr>
              <w:pStyle w:val="11"/>
            </w:pPr>
            <w:r>
              <w:t>242.72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242.72</w:t>
            </w:r>
          </w:p>
        </w:tc>
        <w:tc>
          <w:tcPr>
            <w:tcW w:w="1134" w:type="dxa"/>
            <w:vAlign w:val="center"/>
          </w:tcPr>
          <w:p>
            <w:pPr>
              <w:pStyle w:val="11"/>
            </w:pPr>
            <w:r>
              <w:t>242.72</w:t>
            </w:r>
          </w:p>
        </w:tc>
        <w:tc>
          <w:tcPr>
            <w:tcW w:w="1134" w:type="dxa"/>
            <w:vAlign w:val="center"/>
          </w:tcPr>
          <w:p>
            <w:pPr>
              <w:pStyle w:val="11"/>
            </w:pPr>
            <w:r>
              <w:t>242.72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225.72</w:t>
            </w:r>
          </w:p>
        </w:tc>
        <w:tc>
          <w:tcPr>
            <w:tcW w:w="1134" w:type="dxa"/>
            <w:vAlign w:val="center"/>
          </w:tcPr>
          <w:p>
            <w:pPr>
              <w:pStyle w:val="11"/>
            </w:pPr>
            <w:r>
              <w:t>225.72</w:t>
            </w:r>
          </w:p>
        </w:tc>
        <w:tc>
          <w:tcPr>
            <w:tcW w:w="1134" w:type="dxa"/>
            <w:vAlign w:val="center"/>
          </w:tcPr>
          <w:p>
            <w:pPr>
              <w:pStyle w:val="11"/>
            </w:pPr>
            <w:r>
              <w:t>225.72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64.49</w:t>
            </w:r>
          </w:p>
        </w:tc>
        <w:tc>
          <w:tcPr>
            <w:tcW w:w="1134" w:type="dxa"/>
            <w:vAlign w:val="center"/>
          </w:tcPr>
          <w:p>
            <w:pPr>
              <w:pStyle w:val="11"/>
            </w:pPr>
            <w:r>
              <w:t>64.49</w:t>
            </w:r>
          </w:p>
        </w:tc>
        <w:tc>
          <w:tcPr>
            <w:tcW w:w="1134" w:type="dxa"/>
            <w:vAlign w:val="center"/>
          </w:tcPr>
          <w:p>
            <w:pPr>
              <w:pStyle w:val="11"/>
            </w:pPr>
            <w:r>
              <w:t>64.49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32.52</w:t>
            </w:r>
          </w:p>
        </w:tc>
        <w:tc>
          <w:tcPr>
            <w:tcW w:w="1134" w:type="dxa"/>
            <w:vAlign w:val="center"/>
          </w:tcPr>
          <w:p>
            <w:pPr>
              <w:pStyle w:val="11"/>
            </w:pPr>
            <w:r>
              <w:t>32.52</w:t>
            </w:r>
          </w:p>
        </w:tc>
        <w:tc>
          <w:tcPr>
            <w:tcW w:w="1134" w:type="dxa"/>
            <w:vAlign w:val="center"/>
          </w:tcPr>
          <w:p>
            <w:pPr>
              <w:pStyle w:val="11"/>
            </w:pPr>
            <w:r>
              <w:t>32.52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22.73</w:t>
            </w:r>
          </w:p>
        </w:tc>
        <w:tc>
          <w:tcPr>
            <w:tcW w:w="1134" w:type="dxa"/>
            <w:vAlign w:val="center"/>
          </w:tcPr>
          <w:p>
            <w:pPr>
              <w:pStyle w:val="11"/>
            </w:pPr>
            <w:r>
              <w:t>22.73</w:t>
            </w:r>
          </w:p>
        </w:tc>
        <w:tc>
          <w:tcPr>
            <w:tcW w:w="1134" w:type="dxa"/>
            <w:vAlign w:val="center"/>
          </w:tcPr>
          <w:p>
            <w:pPr>
              <w:pStyle w:val="11"/>
            </w:pPr>
            <w:r>
              <w:t>22.73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r>
              <w:t>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r>
              <w:t>21.25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340.03</w:t>
            </w:r>
          </w:p>
        </w:tc>
        <w:tc>
          <w:tcPr>
            <w:tcW w:w="1361" w:type="dxa"/>
            <w:vAlign w:val="center"/>
          </w:tcPr>
          <w:p>
            <w:pPr>
              <w:pStyle w:val="15"/>
            </w:pPr>
            <w:r>
              <w:t>305.03</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242.72</w:t>
            </w:r>
          </w:p>
        </w:tc>
        <w:tc>
          <w:tcPr>
            <w:tcW w:w="1361" w:type="dxa"/>
            <w:vAlign w:val="center"/>
          </w:tcPr>
          <w:p>
            <w:pPr>
              <w:pStyle w:val="11"/>
            </w:pPr>
            <w:r>
              <w:t>207.72</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242.72</w:t>
            </w:r>
          </w:p>
        </w:tc>
        <w:tc>
          <w:tcPr>
            <w:tcW w:w="1361" w:type="dxa"/>
            <w:vAlign w:val="center"/>
          </w:tcPr>
          <w:p>
            <w:pPr>
              <w:pStyle w:val="11"/>
            </w:pPr>
            <w:r>
              <w:t>207.72</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225.72</w:t>
            </w:r>
          </w:p>
        </w:tc>
        <w:tc>
          <w:tcPr>
            <w:tcW w:w="1361" w:type="dxa"/>
            <w:vAlign w:val="center"/>
          </w:tcPr>
          <w:p>
            <w:pPr>
              <w:pStyle w:val="11"/>
            </w:pPr>
            <w:r>
              <w:t>207.72</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64.49</w:t>
            </w:r>
          </w:p>
        </w:tc>
        <w:tc>
          <w:tcPr>
            <w:tcW w:w="1361" w:type="dxa"/>
            <w:vAlign w:val="center"/>
          </w:tcPr>
          <w:p>
            <w:pPr>
              <w:pStyle w:val="11"/>
            </w:pPr>
            <w:r>
              <w:t>64.49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62.23</w:t>
            </w:r>
          </w:p>
        </w:tc>
        <w:tc>
          <w:tcPr>
            <w:tcW w:w="1361" w:type="dxa"/>
            <w:vAlign w:val="center"/>
          </w:tcPr>
          <w:p>
            <w:pPr>
              <w:pStyle w:val="11"/>
            </w:pPr>
            <w:r>
              <w:t>62.23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32.52</w:t>
            </w:r>
          </w:p>
        </w:tc>
        <w:tc>
          <w:tcPr>
            <w:tcW w:w="1361" w:type="dxa"/>
            <w:vAlign w:val="center"/>
          </w:tcPr>
          <w:p>
            <w:pPr>
              <w:pStyle w:val="11"/>
            </w:pPr>
            <w:r>
              <w:t>32.52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22.73</w:t>
            </w:r>
          </w:p>
        </w:tc>
        <w:tc>
          <w:tcPr>
            <w:tcW w:w="1361" w:type="dxa"/>
            <w:vAlign w:val="center"/>
          </w:tcPr>
          <w:p>
            <w:pPr>
              <w:pStyle w:val="11"/>
            </w:pPr>
            <w:r>
              <w:t>22.73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6.98</w:t>
            </w:r>
          </w:p>
        </w:tc>
        <w:tc>
          <w:tcPr>
            <w:tcW w:w="1361" w:type="dxa"/>
            <w:vAlign w:val="center"/>
          </w:tcPr>
          <w:p>
            <w:pPr>
              <w:pStyle w:val="11"/>
            </w:pPr>
            <w:r>
              <w:t>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1.02</w:t>
            </w:r>
          </w:p>
        </w:tc>
        <w:tc>
          <w:tcPr>
            <w:tcW w:w="1361" w:type="dxa"/>
            <w:vAlign w:val="center"/>
          </w:tcPr>
          <w:p>
            <w:pPr>
              <w:pStyle w:val="11"/>
            </w:pPr>
            <w:r>
              <w:t>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1.02</w:t>
            </w:r>
          </w:p>
        </w:tc>
        <w:tc>
          <w:tcPr>
            <w:tcW w:w="1361" w:type="dxa"/>
            <w:vAlign w:val="center"/>
          </w:tcPr>
          <w:p>
            <w:pPr>
              <w:pStyle w:val="11"/>
            </w:pPr>
            <w:r>
              <w:t>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1.24</w:t>
            </w:r>
          </w:p>
        </w:tc>
        <w:tc>
          <w:tcPr>
            <w:tcW w:w="1361" w:type="dxa"/>
            <w:vAlign w:val="center"/>
          </w:tcPr>
          <w:p>
            <w:pPr>
              <w:pStyle w:val="11"/>
            </w:pPr>
            <w:r>
              <w:t>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1.24</w:t>
            </w:r>
          </w:p>
        </w:tc>
        <w:tc>
          <w:tcPr>
            <w:tcW w:w="1361" w:type="dxa"/>
            <w:vAlign w:val="center"/>
          </w:tcPr>
          <w:p>
            <w:pPr>
              <w:pStyle w:val="11"/>
            </w:pPr>
            <w:r>
              <w:t>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21.25</w:t>
            </w:r>
          </w:p>
        </w:tc>
        <w:tc>
          <w:tcPr>
            <w:tcW w:w="1361" w:type="dxa"/>
            <w:vAlign w:val="center"/>
          </w:tcPr>
          <w:p>
            <w:pPr>
              <w:pStyle w:val="11"/>
            </w:pPr>
            <w:r>
              <w:t>21.25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21.25</w:t>
            </w:r>
          </w:p>
        </w:tc>
        <w:tc>
          <w:tcPr>
            <w:tcW w:w="1361" w:type="dxa"/>
            <w:vAlign w:val="center"/>
          </w:tcPr>
          <w:p>
            <w:pPr>
              <w:pStyle w:val="11"/>
            </w:pPr>
            <w:r>
              <w:t>21.25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21.25</w:t>
            </w:r>
          </w:p>
        </w:tc>
        <w:tc>
          <w:tcPr>
            <w:tcW w:w="1361" w:type="dxa"/>
            <w:vAlign w:val="center"/>
          </w:tcPr>
          <w:p>
            <w:pPr>
              <w:pStyle w:val="11"/>
            </w:pPr>
            <w:r>
              <w:t>21.25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340.03</w:t>
            </w:r>
          </w:p>
        </w:tc>
        <w:tc>
          <w:tcPr>
            <w:tcW w:w="3402" w:type="dxa"/>
            <w:vAlign w:val="center"/>
          </w:tcPr>
          <w:p>
            <w:pPr>
              <w:pStyle w:val="12"/>
            </w:pPr>
            <w:r>
              <w:t>一、一般公共服务支出</w:t>
            </w:r>
          </w:p>
        </w:tc>
        <w:tc>
          <w:tcPr>
            <w:tcW w:w="1474" w:type="dxa"/>
            <w:vAlign w:val="center"/>
          </w:tcPr>
          <w:p>
            <w:pPr>
              <w:pStyle w:val="11"/>
            </w:pPr>
            <w:r>
              <w:t>242.72</w:t>
            </w:r>
          </w:p>
        </w:tc>
        <w:tc>
          <w:tcPr>
            <w:tcW w:w="1474" w:type="dxa"/>
            <w:vAlign w:val="center"/>
          </w:tcPr>
          <w:p>
            <w:pPr>
              <w:pStyle w:val="11"/>
            </w:pPr>
            <w:r>
              <w:t>242.72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64.49</w:t>
            </w:r>
          </w:p>
        </w:tc>
        <w:tc>
          <w:tcPr>
            <w:tcW w:w="1474" w:type="dxa"/>
            <w:vAlign w:val="center"/>
          </w:tcPr>
          <w:p>
            <w:pPr>
              <w:pStyle w:val="11"/>
            </w:pPr>
            <w:r>
              <w:t>64.49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11.57</w:t>
            </w:r>
          </w:p>
        </w:tc>
        <w:tc>
          <w:tcPr>
            <w:tcW w:w="1474" w:type="dxa"/>
            <w:vAlign w:val="center"/>
          </w:tcPr>
          <w:p>
            <w:pPr>
              <w:pStyle w:val="11"/>
            </w:pPr>
            <w:r>
              <w:t>11.57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21.25</w:t>
            </w:r>
          </w:p>
        </w:tc>
        <w:tc>
          <w:tcPr>
            <w:tcW w:w="1474" w:type="dxa"/>
            <w:vAlign w:val="center"/>
          </w:tcPr>
          <w:p>
            <w:pPr>
              <w:pStyle w:val="11"/>
            </w:pPr>
            <w:r>
              <w:t>21.25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340.03</w:t>
            </w:r>
          </w:p>
        </w:tc>
        <w:tc>
          <w:tcPr>
            <w:tcW w:w="3402" w:type="dxa"/>
            <w:vAlign w:val="center"/>
          </w:tcPr>
          <w:p>
            <w:pPr>
              <w:pStyle w:val="14"/>
            </w:pPr>
            <w:r>
              <w:t>本年支出合计</w:t>
            </w:r>
          </w:p>
        </w:tc>
        <w:tc>
          <w:tcPr>
            <w:tcW w:w="1474" w:type="dxa"/>
            <w:vAlign w:val="center"/>
          </w:tcPr>
          <w:p>
            <w:pPr>
              <w:pStyle w:val="15"/>
            </w:pPr>
            <w:r>
              <w:t>340.03</w:t>
            </w:r>
          </w:p>
        </w:tc>
        <w:tc>
          <w:tcPr>
            <w:tcW w:w="1474" w:type="dxa"/>
            <w:vAlign w:val="center"/>
          </w:tcPr>
          <w:p>
            <w:pPr>
              <w:pStyle w:val="15"/>
            </w:pPr>
            <w:r>
              <w:t>340.03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340.03</w:t>
            </w:r>
          </w:p>
        </w:tc>
        <w:tc>
          <w:tcPr>
            <w:tcW w:w="3402" w:type="dxa"/>
            <w:vAlign w:val="center"/>
          </w:tcPr>
          <w:p>
            <w:pPr>
              <w:pStyle w:val="14"/>
            </w:pPr>
            <w:r>
              <w:t>支出总计</w:t>
            </w:r>
          </w:p>
        </w:tc>
        <w:tc>
          <w:tcPr>
            <w:tcW w:w="1474" w:type="dxa"/>
            <w:vAlign w:val="center"/>
          </w:tcPr>
          <w:p>
            <w:pPr>
              <w:pStyle w:val="15"/>
            </w:pPr>
            <w:r>
              <w:t>340.03</w:t>
            </w:r>
          </w:p>
        </w:tc>
        <w:tc>
          <w:tcPr>
            <w:tcW w:w="1474" w:type="dxa"/>
            <w:vAlign w:val="center"/>
          </w:tcPr>
          <w:p>
            <w:pPr>
              <w:pStyle w:val="15"/>
            </w:pPr>
            <w:r>
              <w:t>340.03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340.03</w:t>
            </w:r>
          </w:p>
        </w:tc>
        <w:tc>
          <w:tcPr>
            <w:tcW w:w="2551" w:type="dxa"/>
            <w:vAlign w:val="center"/>
          </w:tcPr>
          <w:p>
            <w:pPr>
              <w:pStyle w:val="15"/>
            </w:pPr>
            <w:r>
              <w:t>305.03</w:t>
            </w:r>
          </w:p>
        </w:tc>
        <w:tc>
          <w:tcPr>
            <w:tcW w:w="2551" w:type="dxa"/>
            <w:vAlign w:val="center"/>
          </w:tcPr>
          <w:p>
            <w:pPr>
              <w:pStyle w:val="15"/>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242.72</w:t>
            </w:r>
          </w:p>
        </w:tc>
        <w:tc>
          <w:tcPr>
            <w:tcW w:w="2551" w:type="dxa"/>
            <w:vAlign w:val="center"/>
          </w:tcPr>
          <w:p>
            <w:pPr>
              <w:pStyle w:val="11"/>
            </w:pPr>
            <w:r>
              <w:t>207.72</w:t>
            </w: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242.72</w:t>
            </w:r>
          </w:p>
        </w:tc>
        <w:tc>
          <w:tcPr>
            <w:tcW w:w="2551" w:type="dxa"/>
            <w:vAlign w:val="center"/>
          </w:tcPr>
          <w:p>
            <w:pPr>
              <w:pStyle w:val="11"/>
            </w:pPr>
            <w:r>
              <w:t>207.72</w:t>
            </w: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225.72</w:t>
            </w:r>
          </w:p>
        </w:tc>
        <w:tc>
          <w:tcPr>
            <w:tcW w:w="2551" w:type="dxa"/>
            <w:vAlign w:val="center"/>
          </w:tcPr>
          <w:p>
            <w:pPr>
              <w:pStyle w:val="11"/>
            </w:pPr>
            <w:r>
              <w:t>207.72</w:t>
            </w: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64.49</w:t>
            </w:r>
          </w:p>
        </w:tc>
        <w:tc>
          <w:tcPr>
            <w:tcW w:w="2551" w:type="dxa"/>
            <w:vAlign w:val="center"/>
          </w:tcPr>
          <w:p>
            <w:pPr>
              <w:pStyle w:val="11"/>
            </w:pPr>
            <w:r>
              <w:t>64.49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62.23</w:t>
            </w:r>
          </w:p>
        </w:tc>
        <w:tc>
          <w:tcPr>
            <w:tcW w:w="2551" w:type="dxa"/>
            <w:vAlign w:val="center"/>
          </w:tcPr>
          <w:p>
            <w:pPr>
              <w:pStyle w:val="11"/>
            </w:pPr>
            <w:r>
              <w:t>62.23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32.52</w:t>
            </w:r>
          </w:p>
        </w:tc>
        <w:tc>
          <w:tcPr>
            <w:tcW w:w="2551" w:type="dxa"/>
            <w:vAlign w:val="center"/>
          </w:tcPr>
          <w:p>
            <w:pPr>
              <w:pStyle w:val="11"/>
            </w:pPr>
            <w:r>
              <w:t>32.52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22.73</w:t>
            </w:r>
          </w:p>
        </w:tc>
        <w:tc>
          <w:tcPr>
            <w:tcW w:w="2551" w:type="dxa"/>
            <w:vAlign w:val="center"/>
          </w:tcPr>
          <w:p>
            <w:pPr>
              <w:pStyle w:val="11"/>
            </w:pPr>
            <w:r>
              <w:t>22.73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6.98</w:t>
            </w:r>
          </w:p>
        </w:tc>
        <w:tc>
          <w:tcPr>
            <w:tcW w:w="2551" w:type="dxa"/>
            <w:vAlign w:val="center"/>
          </w:tcPr>
          <w:p>
            <w:pPr>
              <w:pStyle w:val="11"/>
            </w:pPr>
            <w:r>
              <w:t>6.98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21.25</w:t>
            </w:r>
          </w:p>
        </w:tc>
        <w:tc>
          <w:tcPr>
            <w:tcW w:w="2551" w:type="dxa"/>
            <w:vAlign w:val="center"/>
          </w:tcPr>
          <w:p>
            <w:pPr>
              <w:pStyle w:val="11"/>
            </w:pPr>
            <w:r>
              <w:t>21.25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21.25</w:t>
            </w:r>
          </w:p>
        </w:tc>
        <w:tc>
          <w:tcPr>
            <w:tcW w:w="2551" w:type="dxa"/>
            <w:vAlign w:val="center"/>
          </w:tcPr>
          <w:p>
            <w:pPr>
              <w:pStyle w:val="11"/>
            </w:pPr>
            <w:r>
              <w:t>21.25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21.25</w:t>
            </w:r>
          </w:p>
        </w:tc>
        <w:tc>
          <w:tcPr>
            <w:tcW w:w="2551" w:type="dxa"/>
            <w:vAlign w:val="center"/>
          </w:tcPr>
          <w:p>
            <w:pPr>
              <w:pStyle w:val="11"/>
            </w:pPr>
            <w:r>
              <w:t>21.25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305.03</w:t>
            </w:r>
          </w:p>
        </w:tc>
        <w:tc>
          <w:tcPr>
            <w:tcW w:w="2551" w:type="dxa"/>
            <w:vAlign w:val="center"/>
          </w:tcPr>
          <w:p>
            <w:pPr>
              <w:pStyle w:val="15"/>
            </w:pPr>
            <w:r>
              <w:t>277.65</w:t>
            </w:r>
          </w:p>
        </w:tc>
        <w:tc>
          <w:tcPr>
            <w:tcW w:w="2551" w:type="dxa"/>
            <w:vAlign w:val="center"/>
          </w:tcPr>
          <w:p>
            <w:pPr>
              <w:pStyle w:val="15"/>
            </w:pPr>
            <w:r>
              <w:t>27.38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246.54</w:t>
            </w:r>
          </w:p>
        </w:tc>
        <w:tc>
          <w:tcPr>
            <w:tcW w:w="2551" w:type="dxa"/>
            <w:vAlign w:val="center"/>
          </w:tcPr>
          <w:p>
            <w:pPr>
              <w:pStyle w:val="11"/>
            </w:pPr>
            <w:r>
              <w:t>244.11</w:t>
            </w:r>
          </w:p>
        </w:tc>
        <w:tc>
          <w:tcPr>
            <w:tcW w:w="2551" w:type="dxa"/>
            <w:vAlign w:val="center"/>
          </w:tcPr>
          <w:p>
            <w:pPr>
              <w:pStyle w:val="11"/>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94.55</w:t>
            </w:r>
          </w:p>
        </w:tc>
        <w:tc>
          <w:tcPr>
            <w:tcW w:w="2551" w:type="dxa"/>
            <w:vAlign w:val="center"/>
          </w:tcPr>
          <w:p>
            <w:pPr>
              <w:pStyle w:val="11"/>
            </w:pPr>
            <w:r>
              <w:t>94.55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31.30</w:t>
            </w:r>
          </w:p>
        </w:tc>
        <w:tc>
          <w:tcPr>
            <w:tcW w:w="2551" w:type="dxa"/>
            <w:vAlign w:val="center"/>
          </w:tcPr>
          <w:p>
            <w:pPr>
              <w:pStyle w:val="11"/>
            </w:pPr>
            <w:r>
              <w:t>31.30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32.24</w:t>
            </w:r>
          </w:p>
        </w:tc>
        <w:tc>
          <w:tcPr>
            <w:tcW w:w="2551" w:type="dxa"/>
            <w:vAlign w:val="center"/>
          </w:tcPr>
          <w:p>
            <w:pPr>
              <w:pStyle w:val="11"/>
            </w:pPr>
            <w:r>
              <w:t>32.24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22.73</w:t>
            </w:r>
          </w:p>
        </w:tc>
        <w:tc>
          <w:tcPr>
            <w:tcW w:w="2551" w:type="dxa"/>
            <w:vAlign w:val="center"/>
          </w:tcPr>
          <w:p>
            <w:pPr>
              <w:pStyle w:val="11"/>
            </w:pPr>
            <w:r>
              <w:t>22.73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6.98</w:t>
            </w:r>
          </w:p>
        </w:tc>
        <w:tc>
          <w:tcPr>
            <w:tcW w:w="2551" w:type="dxa"/>
            <w:vAlign w:val="center"/>
          </w:tcPr>
          <w:p>
            <w:pPr>
              <w:pStyle w:val="11"/>
            </w:pPr>
            <w:r>
              <w:t>6.98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3.67</w:t>
            </w:r>
          </w:p>
        </w:tc>
        <w:tc>
          <w:tcPr>
            <w:tcW w:w="2551" w:type="dxa"/>
            <w:vAlign w:val="center"/>
          </w:tcPr>
          <w:p>
            <w:pPr>
              <w:pStyle w:val="11"/>
            </w:pPr>
            <w:r>
              <w:t>1.24</w:t>
            </w:r>
          </w:p>
        </w:tc>
        <w:tc>
          <w:tcPr>
            <w:tcW w:w="2551" w:type="dxa"/>
            <w:vAlign w:val="center"/>
          </w:tcPr>
          <w:p>
            <w:pPr>
              <w:pStyle w:val="11"/>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21.25</w:t>
            </w:r>
          </w:p>
        </w:tc>
        <w:tc>
          <w:tcPr>
            <w:tcW w:w="2551" w:type="dxa"/>
            <w:vAlign w:val="center"/>
          </w:tcPr>
          <w:p>
            <w:pPr>
              <w:pStyle w:val="11"/>
            </w:pPr>
            <w:r>
              <w:t>21.25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0.96</w:t>
            </w:r>
          </w:p>
        </w:tc>
        <w:tc>
          <w:tcPr>
            <w:tcW w:w="2551" w:type="dxa"/>
            <w:vAlign w:val="center"/>
          </w:tcPr>
          <w:p>
            <w:pPr>
              <w:pStyle w:val="11"/>
            </w:pPr>
            <w:r>
              <w:t>0.96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23.02</w:t>
            </w:r>
          </w:p>
        </w:tc>
        <w:tc>
          <w:tcPr>
            <w:tcW w:w="2551" w:type="dxa"/>
            <w:vAlign w:val="center"/>
          </w:tcPr>
          <w:p>
            <w:pPr>
              <w:pStyle w:val="11"/>
            </w:pPr>
          </w:p>
        </w:tc>
        <w:tc>
          <w:tcPr>
            <w:tcW w:w="2551" w:type="dxa"/>
            <w:vAlign w:val="center"/>
          </w:tcPr>
          <w:p>
            <w:pPr>
              <w:pStyle w:val="11"/>
            </w:pPr>
            <w:r>
              <w:t>23.02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6.23</w:t>
            </w:r>
          </w:p>
        </w:tc>
        <w:tc>
          <w:tcPr>
            <w:tcW w:w="2551" w:type="dxa"/>
            <w:vAlign w:val="center"/>
          </w:tcPr>
          <w:p>
            <w:pPr>
              <w:pStyle w:val="11"/>
            </w:pPr>
          </w:p>
        </w:tc>
        <w:tc>
          <w:tcPr>
            <w:tcW w:w="2551" w:type="dxa"/>
            <w:vAlign w:val="center"/>
          </w:tcPr>
          <w:p>
            <w:pPr>
              <w:pStyle w:val="11"/>
            </w:pPr>
            <w:r>
              <w:t>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2.12</w:t>
            </w:r>
          </w:p>
        </w:tc>
        <w:tc>
          <w:tcPr>
            <w:tcW w:w="2551" w:type="dxa"/>
            <w:vAlign w:val="center"/>
          </w:tcPr>
          <w:p>
            <w:pPr>
              <w:pStyle w:val="11"/>
            </w:pPr>
          </w:p>
        </w:tc>
        <w:tc>
          <w:tcPr>
            <w:tcW w:w="2551" w:type="dxa"/>
            <w:vAlign w:val="center"/>
          </w:tcPr>
          <w:p>
            <w:pPr>
              <w:pStyle w:val="11"/>
            </w:pPr>
            <w:r>
              <w:t>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33.84</w:t>
            </w:r>
          </w:p>
        </w:tc>
        <w:tc>
          <w:tcPr>
            <w:tcW w:w="2551" w:type="dxa"/>
            <w:vAlign w:val="center"/>
          </w:tcPr>
          <w:p>
            <w:pPr>
              <w:pStyle w:val="11"/>
            </w:pPr>
            <w:r>
              <w:t>33.54</w:t>
            </w: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32.52</w:t>
            </w:r>
          </w:p>
        </w:tc>
        <w:tc>
          <w:tcPr>
            <w:tcW w:w="2551" w:type="dxa"/>
            <w:vAlign w:val="center"/>
          </w:tcPr>
          <w:p>
            <w:pPr>
              <w:pStyle w:val="11"/>
            </w:pPr>
            <w:r>
              <w:t>32.52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2.40</w:t>
            </w:r>
          </w:p>
        </w:tc>
        <w:tc>
          <w:tcPr>
            <w:tcW w:w="2381" w:type="dxa"/>
            <w:vAlign w:val="center"/>
          </w:tcPr>
          <w:p>
            <w:pPr>
              <w:pStyle w:val="15"/>
            </w:pPr>
            <w:r>
              <w:t>2.40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新乐市信访局本级2025年单位预算信息公开情况说明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按照《中华人民共和国预算法》、《地方预决算公开操作规程》和《关于进一步推进预算公开工作的实施意见》规定，现将新乐市信访局本级2025年单位预算公开如下：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1、办理人民群众来信、来访、网上信访；协助上级信访局处理越级上访工作。</w:t>
      </w:r>
    </w:p>
    <w:p>
      <w:pPr>
        <w:pStyle w:val="17"/>
      </w:pPr>
      <w:r>
        <w:t>2、协助公安机关维护重点区域的正常工作秩序；处置影响社会政治稳定的各类非访、突发性、群体性事件；负责组织协调、稳控劝返、服务保障我市越级非访工作。承办市联席办的日常工作。</w:t>
      </w:r>
    </w:p>
    <w:p>
      <w:pPr>
        <w:pStyle w:val="17"/>
      </w:pPr>
      <w:r>
        <w:t>3、负责指导全市信访督查、复查复核、听证等工作，并对相关事项进行审核、上报；负责信访疑难案件的督办。</w:t>
      </w:r>
    </w:p>
    <w:p>
      <w:pPr>
        <w:pStyle w:val="17"/>
      </w:pPr>
      <w:r>
        <w:t>4、负责信访接待场所的接访、登记、后勤服务等工作及入驻单位工作人员的协调、管理工作。</w:t>
      </w:r>
    </w:p>
    <w:p>
      <w:pPr>
        <w:pStyle w:val="17"/>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pPr>
        <w:pStyle w:val="17"/>
      </w:pPr>
      <w:r>
        <w:t>6、调研提出信访工作对策建议；督促检查和指导全市信访工作；信息化建设与运维管理；机要邮件正常传递；负责局机关行政后勤、资产、物业管理。</w:t>
      </w:r>
    </w:p>
    <w:p>
      <w:pPr>
        <w:pStyle w:val="17"/>
      </w:pPr>
      <w:r>
        <w:t>7、承办上级机关和领导交办的其他事项。</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340.03万元，其中：一般公共预算收入340.03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信访局本级年度单位预算中支出预算的总体情况。2025年支出预算340.03万元，其中基本支出305.03万元，包括人员经费277.65万元和日常公用经费27.38万元；项目支出35.00万元，主要为机关事务管理运行保障经费18万元和信访维稳经费17万元。</w:t>
      </w:r>
    </w:p>
    <w:p>
      <w:pPr>
        <w:pStyle w:val="18"/>
      </w:pPr>
      <w:r>
        <w:t>3、比上年增减情况</w:t>
      </w:r>
    </w:p>
    <w:p>
      <w:pPr>
        <w:pStyle w:val="18"/>
      </w:pPr>
      <w:r>
        <w:t>2025年预算收支安排340.03万元，较2024年预算增加42.87万元，其中：基本支出增加7.87万元，主要为人员工资和保险费用自然增长。项目支出增加35.00万元，主要为机关事务管理运行保障经费18万元和信访维稳经费17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numId w:val="0"/>
        </w:numPr>
        <w:spacing w:before="10" w:after="10" w:line="240" w:lineRule="auto"/>
        <w:ind w:firstLine="560" w:firstLineChars="200"/>
        <w:jc w:val="left"/>
        <w:outlineLvl w:val="5"/>
        <w:rPr>
          <w:rFonts w:ascii="Times New Roman" w:hAnsi="Times New Roman" w:eastAsia="方正仿宋_GBK" w:cs="Times New Roman"/>
          <w:sz w:val="28"/>
          <w:szCs w:val="20"/>
          <w:lang/>
        </w:rPr>
      </w:pPr>
      <w:r>
        <w:rPr>
          <w:rFonts w:hint="eastAsia" w:ascii="Times New Roman" w:hAnsi="Times New Roman" w:eastAsia="方正仿宋_GBK" w:cs="Times New Roman"/>
          <w:sz w:val="28"/>
          <w:szCs w:val="20"/>
          <w:lang/>
        </w:rPr>
        <w:t>2025年，我</w:t>
      </w:r>
      <w:r>
        <w:rPr>
          <w:rFonts w:hint="eastAsia" w:eastAsia="方正仿宋_GBK" w:cs="Times New Roman"/>
          <w:sz w:val="28"/>
          <w:szCs w:val="20"/>
          <w:lang w:val="en-US" w:eastAsia="zh-CN"/>
        </w:rPr>
        <w:t>单位</w:t>
      </w:r>
      <w:r>
        <w:rPr>
          <w:rFonts w:hint="eastAsia" w:ascii="Times New Roman" w:hAnsi="Times New Roman" w:eastAsia="方正仿宋_GBK" w:cs="Times New Roman"/>
          <w:sz w:val="28"/>
          <w:szCs w:val="20"/>
          <w:lang/>
        </w:rPr>
        <w:t>机关运行经费共计安排27.38万元，主要用于日常维修、办公用房水电费、办公用房取暖费、办公用房物业管理费等日常运行支出。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1、2025年本级支出-机关事务管理运行保障经费绩效目标表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13018425P00522310009A</w:t>
            </w:r>
          </w:p>
        </w:tc>
        <w:tc>
          <w:tcPr>
            <w:tcW w:w="2835" w:type="dxa"/>
            <w:vAlign w:val="center"/>
          </w:tcPr>
          <w:p>
            <w:pPr>
              <w:pStyle w:val="10"/>
            </w:pPr>
            <w:r>
              <w:t>项目名称</w:t>
            </w:r>
          </w:p>
        </w:tc>
        <w:tc>
          <w:tcPr>
            <w:tcW w:w="6095" w:type="dxa"/>
            <w:gridSpan w:val="3"/>
            <w:vAlign w:val="center"/>
          </w:tcPr>
          <w:p>
            <w:pPr>
              <w:pStyle w:val="12"/>
            </w:pPr>
            <w:r>
              <w:t>2025年本级支出-机关事务管理运行保障经费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局及群众工作服务中心正常运转所需要的各项费用。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18.00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1.进一步提高信访干部业务能力，提高信访工作效率，提高信息化应用水平，保障信访接待工作正常运转。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办公自动化覆盖率（%）</w:t>
            </w:r>
          </w:p>
        </w:tc>
        <w:tc>
          <w:tcPr>
            <w:tcW w:w="5386" w:type="dxa"/>
            <w:vAlign w:val="center"/>
          </w:tcPr>
          <w:p>
            <w:pPr>
              <w:pStyle w:val="12"/>
            </w:pPr>
            <w:r>
              <w:t>办公自动化覆盖范围占应覆盖范围的比率</w:t>
            </w:r>
          </w:p>
        </w:tc>
        <w:tc>
          <w:tcPr>
            <w:tcW w:w="2268" w:type="dxa"/>
            <w:vAlign w:val="center"/>
          </w:tcPr>
          <w:p>
            <w:pPr>
              <w:pStyle w:val="12"/>
            </w:pPr>
            <w:r>
              <w:t>≥90%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业务处理及时性（%）</w:t>
            </w:r>
          </w:p>
        </w:tc>
        <w:tc>
          <w:tcPr>
            <w:tcW w:w="5386" w:type="dxa"/>
            <w:vAlign w:val="center"/>
          </w:tcPr>
          <w:p>
            <w:pPr>
              <w:pStyle w:val="12"/>
            </w:pPr>
            <w:r>
              <w:t>及时处理业务数占总业务数的比率</w:t>
            </w:r>
          </w:p>
        </w:tc>
        <w:tc>
          <w:tcPr>
            <w:tcW w:w="2268" w:type="dxa"/>
            <w:vAlign w:val="center"/>
          </w:tcPr>
          <w:p>
            <w:pPr>
              <w:pStyle w:val="12"/>
            </w:pPr>
            <w:r>
              <w:t>≥90%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信访事项按期结案率（%）</w:t>
            </w:r>
          </w:p>
        </w:tc>
        <w:tc>
          <w:tcPr>
            <w:tcW w:w="5386" w:type="dxa"/>
            <w:vAlign w:val="center"/>
          </w:tcPr>
          <w:p>
            <w:pPr>
              <w:pStyle w:val="12"/>
            </w:pPr>
            <w:r>
              <w:t>年度内已办结的案件数量占案件总数的比率</w:t>
            </w:r>
          </w:p>
        </w:tc>
        <w:tc>
          <w:tcPr>
            <w:tcW w:w="2268" w:type="dxa"/>
            <w:vAlign w:val="center"/>
          </w:tcPr>
          <w:p>
            <w:pPr>
              <w:pStyle w:val="12"/>
            </w:pPr>
            <w:r>
              <w:t>≥80%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机关运行</w:t>
            </w:r>
          </w:p>
        </w:tc>
        <w:tc>
          <w:tcPr>
            <w:tcW w:w="5386" w:type="dxa"/>
            <w:vAlign w:val="center"/>
          </w:tcPr>
          <w:p>
            <w:pPr>
              <w:pStyle w:val="12"/>
            </w:pPr>
            <w:r>
              <w:t>机关办公运行保障经费</w:t>
            </w:r>
          </w:p>
        </w:tc>
        <w:tc>
          <w:tcPr>
            <w:tcW w:w="2268" w:type="dxa"/>
            <w:vAlign w:val="center"/>
          </w:tcPr>
          <w:p>
            <w:pPr>
              <w:pStyle w:val="12"/>
            </w:pPr>
            <w:r>
              <w:t>≤18万元</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提高工作效率</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综合业务管理工作完成率（%）</w:t>
            </w:r>
          </w:p>
        </w:tc>
        <w:tc>
          <w:tcPr>
            <w:tcW w:w="5386" w:type="dxa"/>
            <w:vAlign w:val="center"/>
          </w:tcPr>
          <w:p>
            <w:pPr>
              <w:pStyle w:val="12"/>
            </w:pPr>
            <w:r>
              <w:t>完成业务占全部业务的比率</w:t>
            </w:r>
          </w:p>
        </w:tc>
        <w:tc>
          <w:tcPr>
            <w:tcW w:w="2268" w:type="dxa"/>
            <w:vAlign w:val="center"/>
          </w:tcPr>
          <w:p>
            <w:pPr>
              <w:pStyle w:val="12"/>
            </w:pPr>
            <w:r>
              <w:t>≥90%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推动信访事业发展</w:t>
            </w:r>
          </w:p>
        </w:tc>
        <w:tc>
          <w:tcPr>
            <w:tcW w:w="5386" w:type="dxa"/>
            <w:vAlign w:val="center"/>
          </w:tcPr>
          <w:p>
            <w:pPr>
              <w:pStyle w:val="12"/>
            </w:pPr>
            <w:r>
              <w:t>推动信访事业发展</w:t>
            </w:r>
          </w:p>
        </w:tc>
        <w:tc>
          <w:tcPr>
            <w:tcW w:w="2268" w:type="dxa"/>
            <w:vAlign w:val="center"/>
          </w:tcPr>
          <w:p>
            <w:pPr>
              <w:pStyle w:val="12"/>
            </w:pPr>
            <w:r>
              <w:t>人民群众获得感幸福感上升</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5386" w:type="dxa"/>
            <w:vAlign w:val="center"/>
          </w:tcPr>
          <w:p>
            <w:pPr>
              <w:pStyle w:val="12"/>
            </w:pPr>
            <w:r>
              <w:t>满意信访群众占全部信访群众的比率</w:t>
            </w:r>
          </w:p>
        </w:tc>
        <w:tc>
          <w:tcPr>
            <w:tcW w:w="2268" w:type="dxa"/>
            <w:vAlign w:val="center"/>
          </w:tcPr>
          <w:p>
            <w:pPr>
              <w:pStyle w:val="12"/>
            </w:pPr>
            <w:r>
              <w:t>≥90%</w:t>
            </w:r>
          </w:p>
        </w:tc>
        <w:tc>
          <w:tcPr>
            <w:tcW w:w="1276" w:type="dxa"/>
            <w:vAlign w:val="center"/>
          </w:tcPr>
          <w:p>
            <w:pPr>
              <w:pStyle w:val="12"/>
            </w:pPr>
            <w:r>
              <w:t>业务标准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2、2025年本级支出-信访维稳经费绩效目标表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13018425P00522810002D</w:t>
            </w:r>
          </w:p>
        </w:tc>
        <w:tc>
          <w:tcPr>
            <w:tcW w:w="2835" w:type="dxa"/>
            <w:vAlign w:val="center"/>
          </w:tcPr>
          <w:p>
            <w:pPr>
              <w:pStyle w:val="10"/>
            </w:pPr>
            <w:r>
              <w:t>项目名称</w:t>
            </w:r>
          </w:p>
        </w:tc>
        <w:tc>
          <w:tcPr>
            <w:tcW w:w="6095" w:type="dxa"/>
            <w:gridSpan w:val="3"/>
            <w:vAlign w:val="center"/>
          </w:tcPr>
          <w:p>
            <w:pPr>
              <w:pStyle w:val="12"/>
            </w:pPr>
            <w:r>
              <w:t>2025年本级支出-信访维稳经费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特殊时期和特殊节点信访维稳工作需要的各种费用。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17.00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1.畅通信访渠道，提高信访事项办理的质量和效率；妥善处理非正常信访，维护社会大局和谐稳定。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办理案件数（件）</w:t>
            </w:r>
          </w:p>
        </w:tc>
        <w:tc>
          <w:tcPr>
            <w:tcW w:w="5386" w:type="dxa"/>
            <w:vAlign w:val="center"/>
          </w:tcPr>
          <w:p>
            <w:pPr>
              <w:pStyle w:val="12"/>
            </w:pPr>
            <w:r>
              <w:t>全年受理信访案件数量</w:t>
            </w:r>
          </w:p>
        </w:tc>
        <w:tc>
          <w:tcPr>
            <w:tcW w:w="2268" w:type="dxa"/>
            <w:vAlign w:val="center"/>
          </w:tcPr>
          <w:p>
            <w:pPr>
              <w:pStyle w:val="12"/>
            </w:pPr>
            <w:r>
              <w:t>≥50件</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信访事项受理及时率（%）</w:t>
            </w:r>
          </w:p>
        </w:tc>
        <w:tc>
          <w:tcPr>
            <w:tcW w:w="5386" w:type="dxa"/>
            <w:vAlign w:val="center"/>
          </w:tcPr>
          <w:p>
            <w:pPr>
              <w:pStyle w:val="12"/>
            </w:pPr>
            <w:r>
              <w:t>及时受理的信访案件占全部信访案件的比率</w:t>
            </w:r>
          </w:p>
        </w:tc>
        <w:tc>
          <w:tcPr>
            <w:tcW w:w="2268" w:type="dxa"/>
            <w:vAlign w:val="center"/>
          </w:tcPr>
          <w:p>
            <w:pPr>
              <w:pStyle w:val="12"/>
            </w:pPr>
            <w:r>
              <w:t>≥80%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信访事项办结及时率（%）</w:t>
            </w:r>
          </w:p>
        </w:tc>
        <w:tc>
          <w:tcPr>
            <w:tcW w:w="5386" w:type="dxa"/>
            <w:vAlign w:val="center"/>
          </w:tcPr>
          <w:p>
            <w:pPr>
              <w:pStyle w:val="12"/>
            </w:pPr>
            <w:r>
              <w:t>年度内已按期办结的案件数量占案件总数的比率</w:t>
            </w:r>
          </w:p>
        </w:tc>
        <w:tc>
          <w:tcPr>
            <w:tcW w:w="2268" w:type="dxa"/>
            <w:vAlign w:val="center"/>
          </w:tcPr>
          <w:p>
            <w:pPr>
              <w:pStyle w:val="12"/>
            </w:pPr>
            <w:r>
              <w:t>≥80%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信访维稳工作运行</w:t>
            </w:r>
          </w:p>
        </w:tc>
        <w:tc>
          <w:tcPr>
            <w:tcW w:w="5386" w:type="dxa"/>
            <w:vAlign w:val="center"/>
          </w:tcPr>
          <w:p>
            <w:pPr>
              <w:pStyle w:val="12"/>
            </w:pPr>
            <w:r>
              <w:t>信访维稳工作保障经费</w:t>
            </w:r>
          </w:p>
        </w:tc>
        <w:tc>
          <w:tcPr>
            <w:tcW w:w="2268" w:type="dxa"/>
            <w:vAlign w:val="center"/>
          </w:tcPr>
          <w:p>
            <w:pPr>
              <w:pStyle w:val="12"/>
            </w:pPr>
            <w:r>
              <w:t>≤17万元</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提高工作效率</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综合业务管理业务完成率（%）</w:t>
            </w:r>
          </w:p>
        </w:tc>
        <w:tc>
          <w:tcPr>
            <w:tcW w:w="5386" w:type="dxa"/>
            <w:vAlign w:val="center"/>
          </w:tcPr>
          <w:p>
            <w:pPr>
              <w:pStyle w:val="12"/>
            </w:pPr>
            <w:r>
              <w:t>完成业务占全部业务的比率</w:t>
            </w:r>
          </w:p>
        </w:tc>
        <w:tc>
          <w:tcPr>
            <w:tcW w:w="2268" w:type="dxa"/>
            <w:vAlign w:val="center"/>
          </w:tcPr>
          <w:p>
            <w:pPr>
              <w:pStyle w:val="12"/>
            </w:pPr>
            <w:r>
              <w:t>≥80%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推动信访事项发展</w:t>
            </w:r>
          </w:p>
        </w:tc>
        <w:tc>
          <w:tcPr>
            <w:tcW w:w="5386" w:type="dxa"/>
            <w:vAlign w:val="center"/>
          </w:tcPr>
          <w:p>
            <w:pPr>
              <w:pStyle w:val="12"/>
            </w:pPr>
            <w:r>
              <w:t>推动信访事项发展</w:t>
            </w:r>
          </w:p>
        </w:tc>
        <w:tc>
          <w:tcPr>
            <w:tcW w:w="2268" w:type="dxa"/>
            <w:vAlign w:val="center"/>
          </w:tcPr>
          <w:p>
            <w:pPr>
              <w:pStyle w:val="12"/>
            </w:pPr>
            <w:r>
              <w:t>人民群众获得感幸福感上升</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5386" w:type="dxa"/>
            <w:vAlign w:val="center"/>
          </w:tcPr>
          <w:p>
            <w:pPr>
              <w:pStyle w:val="12"/>
            </w:pPr>
            <w:r>
              <w:t>满意信访群众占全部信访群众的比率</w:t>
            </w:r>
          </w:p>
        </w:tc>
        <w:tc>
          <w:tcPr>
            <w:tcW w:w="2268" w:type="dxa"/>
            <w:vAlign w:val="center"/>
          </w:tcPr>
          <w:p>
            <w:pPr>
              <w:pStyle w:val="12"/>
            </w:pPr>
            <w:r>
              <w:t>≥90%</w:t>
            </w:r>
          </w:p>
        </w:tc>
        <w:tc>
          <w:tcPr>
            <w:tcW w:w="1276" w:type="dxa"/>
            <w:vAlign w:val="center"/>
          </w:tcPr>
          <w:p>
            <w:pPr>
              <w:pStyle w:val="12"/>
            </w:pPr>
            <w:r>
              <w:t>业务标准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501001新乐市信访局本级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新乐市信访局本级上年末固定资产金额为</w:t>
      </w:r>
      <w:r>
        <w:rPr>
          <w:rFonts w:hint="eastAsia" w:eastAsia="方正仿宋_GBK" w:cs="Times New Roman"/>
          <w:b w:val="0"/>
          <w:color w:val="000000"/>
          <w:sz w:val="28"/>
          <w:lang w:val="en-US" w:eastAsia="zh-CN"/>
        </w:rPr>
        <w:t>136.75</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4799"/>
        <w:gridCol w:w="5406"/>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799" w:type="dxa"/>
            <w:tcBorders>
              <w:top w:val="single" w:color="FFFFFF" w:sz="6" w:space="0"/>
              <w:left w:val="single" w:color="FFFFFF" w:sz="6" w:space="0"/>
              <w:right w:val="single" w:color="FFFFFF" w:sz="6" w:space="0"/>
            </w:tcBorders>
            <w:vAlign w:val="center"/>
          </w:tcPr>
          <w:p>
            <w:pPr>
              <w:pStyle w:val="9"/>
            </w:pPr>
            <w:r>
              <w:t>501001新乐市信访局本级</w:t>
            </w:r>
          </w:p>
        </w:tc>
        <w:tc>
          <w:tcPr>
            <w:tcW w:w="8241"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799" w:type="dxa"/>
            <w:vAlign w:val="center"/>
          </w:tcPr>
          <w:p>
            <w:pPr>
              <w:pStyle w:val="10"/>
              <w:ind w:firstLine="0" w:firstLineChars="0"/>
            </w:pPr>
            <w:r>
              <w:t>项   目</w:t>
            </w:r>
          </w:p>
        </w:tc>
        <w:tc>
          <w:tcPr>
            <w:tcW w:w="5406" w:type="dxa"/>
            <w:vAlign w:val="center"/>
          </w:tcPr>
          <w:p>
            <w:pPr>
              <w:pStyle w:val="10"/>
              <w:ind w:firstLine="0" w:firstLineChars="0"/>
            </w:pPr>
            <w:r>
              <w:t>数量</w:t>
            </w:r>
          </w:p>
        </w:tc>
        <w:tc>
          <w:tcPr>
            <w:tcW w:w="2835" w:type="dxa"/>
            <w:vAlign w:val="center"/>
          </w:tcPr>
          <w:p>
            <w:pPr>
              <w:pStyle w:val="10"/>
              <w:ind w:firstLine="0" w:firstLineChars="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资产总额</w:t>
            </w:r>
          </w:p>
        </w:tc>
        <w:tc>
          <w:tcPr>
            <w:tcW w:w="5406" w:type="dxa"/>
            <w:vAlign w:val="center"/>
          </w:tcPr>
          <w:p>
            <w:pPr>
              <w:pStyle w:val="13"/>
              <w:ind w:firstLine="0" w:firstLineChars="0"/>
            </w:pPr>
          </w:p>
        </w:tc>
        <w:tc>
          <w:tcPr>
            <w:tcW w:w="2835" w:type="dxa"/>
            <w:vAlign w:val="center"/>
          </w:tcPr>
          <w:p>
            <w:pPr>
              <w:pStyle w:val="11"/>
              <w:ind w:firstLine="0" w:firstLineChars="0"/>
            </w:pPr>
            <w:r>
              <w:rPr>
                <w:rFonts w:hint="eastAsia"/>
                <w:lang w:val="en-US" w:eastAsia="zh-CN"/>
              </w:rPr>
              <w:t>136.75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1、房屋（平方米）</w:t>
            </w:r>
          </w:p>
        </w:tc>
        <w:tc>
          <w:tcPr>
            <w:tcW w:w="5406"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　　其中：办公用房（平方米）</w:t>
            </w:r>
          </w:p>
        </w:tc>
        <w:tc>
          <w:tcPr>
            <w:tcW w:w="5406" w:type="dxa"/>
            <w:vAlign w:val="center"/>
          </w:tcPr>
          <w:p>
            <w:pPr>
              <w:pStyle w:val="13"/>
              <w:ind w:firstLine="0" w:firstLineChars="0"/>
            </w:pPr>
            <w:r>
              <w:t>1250</w:t>
            </w: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2、车辆（台、辆）</w:t>
            </w:r>
          </w:p>
        </w:tc>
        <w:tc>
          <w:tcPr>
            <w:tcW w:w="5406" w:type="dxa"/>
            <w:vAlign w:val="center"/>
          </w:tcPr>
          <w:p>
            <w:pPr>
              <w:pStyle w:val="13"/>
              <w:ind w:firstLine="0" w:firstLineChars="0"/>
            </w:pPr>
            <w:r>
              <w:t>1</w:t>
            </w:r>
          </w:p>
        </w:tc>
        <w:tc>
          <w:tcPr>
            <w:tcW w:w="2835" w:type="dxa"/>
            <w:vAlign w:val="center"/>
          </w:tcPr>
          <w:p>
            <w:pPr>
              <w:pStyle w:val="11"/>
              <w:ind w:firstLine="0" w:firstLineChars="0"/>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3、单价在20万元以上的设备</w:t>
            </w:r>
          </w:p>
        </w:tc>
        <w:tc>
          <w:tcPr>
            <w:tcW w:w="5406"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99" w:type="dxa"/>
            <w:vAlign w:val="center"/>
          </w:tcPr>
          <w:p>
            <w:pPr>
              <w:pStyle w:val="12"/>
              <w:ind w:firstLine="0" w:firstLineChars="0"/>
            </w:pPr>
            <w:r>
              <w:t>4、其他固定资产</w:t>
            </w:r>
          </w:p>
        </w:tc>
        <w:tc>
          <w:tcPr>
            <w:tcW w:w="5406" w:type="dxa"/>
            <w:vAlign w:val="center"/>
          </w:tcPr>
          <w:p>
            <w:pPr>
              <w:pStyle w:val="13"/>
              <w:ind w:firstLine="0" w:firstLineChars="0"/>
            </w:pPr>
            <w:r>
              <w:rPr>
                <w:rFonts w:hint="eastAsia"/>
                <w:lang w:val="en-US" w:eastAsia="zh-CN"/>
              </w:rPr>
              <w:t>218</w:t>
            </w:r>
          </w:p>
        </w:tc>
        <w:tc>
          <w:tcPr>
            <w:tcW w:w="2835" w:type="dxa"/>
            <w:vAlign w:val="center"/>
          </w:tcPr>
          <w:p>
            <w:pPr>
              <w:pStyle w:val="11"/>
              <w:ind w:firstLine="0" w:firstLineChars="0"/>
            </w:pPr>
            <w:r>
              <w:rPr>
                <w:rFonts w:hint="eastAsia"/>
                <w:lang w:val="en-US" w:eastAsia="zh-CN"/>
              </w:rPr>
              <w:t>123.89</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C09CA5"/>
    <w:multiLevelType w:val="singleLevel"/>
    <w:tmpl w:val="54C09CA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B375E17"/>
    <w:rsid w:val="56CF38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6310</Words>
  <Characters>8080</Characters>
  <TotalTime>0</TotalTime>
  <ScaleCrop>false</ScaleCrop>
  <LinksUpToDate>false</LinksUpToDate>
  <CharactersWithSpaces>8239</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2025-03-03T14:56:00Z</dcterms:created>
  <dc:creator>Administrator</dc:creator>
  <cp:lastModifiedBy>飞翔的麦穗</cp:lastModifiedBy>
  <dcterms:modified xsi:type="dcterms:W3CDTF">2025-09-09T07:13:55Z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0AD450D487534393BA5C55A2A925BF9A</vt:lpwstr>
  </property>
</Properties>
</file>