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225中国共产党新乐市委员会机构编制委员会办公室</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110.02</w:t>
            </w:r>
          </w:p>
        </w:tc>
        <w:tc>
          <w:tcPr>
            <w:tcW w:w="4535" w:type="dxa"/>
            <w:vAlign w:val="center"/>
          </w:tcPr>
          <w:p>
            <w:pPr>
              <w:pStyle w:val="13"/>
            </w:pPr>
            <w:r>
              <w:t>一、一般公共服务支出</w:t>
            </w:r>
          </w:p>
        </w:tc>
        <w:tc>
          <w:tcPr>
            <w:tcW w:w="2126" w:type="dxa"/>
            <w:vAlign w:val="center"/>
          </w:tcPr>
          <w:p>
            <w:pPr>
              <w:pStyle w:val="12"/>
            </w:pPr>
            <w:r>
              <w:t>83.10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110.02</w:t>
            </w:r>
          </w:p>
        </w:tc>
        <w:tc>
          <w:tcPr>
            <w:tcW w:w="4535" w:type="dxa"/>
            <w:vAlign w:val="center"/>
          </w:tcPr>
          <w:p>
            <w:pPr>
              <w:pStyle w:val="15"/>
            </w:pPr>
            <w:r>
              <w:t>本年支出合计</w:t>
            </w:r>
          </w:p>
        </w:tc>
        <w:tc>
          <w:tcPr>
            <w:tcW w:w="2126" w:type="dxa"/>
            <w:vAlign w:val="center"/>
          </w:tcPr>
          <w:p>
            <w:pPr>
              <w:pStyle w:val="16"/>
            </w:pPr>
            <w:r>
              <w:t>110.02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110.02</w:t>
            </w:r>
          </w:p>
        </w:tc>
        <w:tc>
          <w:tcPr>
            <w:tcW w:w="4535" w:type="dxa"/>
            <w:vAlign w:val="center"/>
          </w:tcPr>
          <w:p>
            <w:pPr>
              <w:pStyle w:val="15"/>
            </w:pPr>
            <w:r>
              <w:t>支出总计</w:t>
            </w:r>
          </w:p>
        </w:tc>
        <w:tc>
          <w:tcPr>
            <w:tcW w:w="2126" w:type="dxa"/>
            <w:vAlign w:val="center"/>
          </w:tcPr>
          <w:p>
            <w:pPr>
              <w:pStyle w:val="16"/>
            </w:pPr>
            <w:r>
              <w:t>110.02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225中国共产党新乐市委员会机构编制委员会办公室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110.02</w:t>
            </w:r>
          </w:p>
        </w:tc>
        <w:tc>
          <w:tcPr>
            <w:tcW w:w="1134" w:type="dxa"/>
            <w:vAlign w:val="center"/>
          </w:tcPr>
          <w:p>
            <w:pPr>
              <w:pStyle w:val="16"/>
            </w:pPr>
            <w:r>
              <w:t>110.02</w:t>
            </w:r>
          </w:p>
        </w:tc>
        <w:tc>
          <w:tcPr>
            <w:tcW w:w="1134" w:type="dxa"/>
            <w:vAlign w:val="center"/>
          </w:tcPr>
          <w:p>
            <w:pPr>
              <w:pStyle w:val="16"/>
            </w:pPr>
            <w:r>
              <w:t>110.02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83.10</w:t>
            </w:r>
          </w:p>
        </w:tc>
        <w:tc>
          <w:tcPr>
            <w:tcW w:w="1134" w:type="dxa"/>
            <w:vAlign w:val="center"/>
          </w:tcPr>
          <w:p>
            <w:pPr>
              <w:pStyle w:val="12"/>
            </w:pPr>
            <w:r>
              <w:t>83.10</w:t>
            </w:r>
          </w:p>
        </w:tc>
        <w:tc>
          <w:tcPr>
            <w:tcW w:w="1134" w:type="dxa"/>
            <w:vAlign w:val="center"/>
          </w:tcPr>
          <w:p>
            <w:pPr>
              <w:pStyle w:val="12"/>
            </w:pPr>
            <w:r>
              <w:t>83.10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20131</w:t>
            </w:r>
          </w:p>
        </w:tc>
        <w:tc>
          <w:tcPr>
            <w:tcW w:w="1559" w:type="dxa"/>
            <w:vAlign w:val="center"/>
          </w:tcPr>
          <w:p>
            <w:pPr>
              <w:pStyle w:val="13"/>
            </w:pPr>
            <w:r>
              <w:t>党委办公厅（室）及相关机构事务</w:t>
            </w:r>
          </w:p>
        </w:tc>
        <w:tc>
          <w:tcPr>
            <w:tcW w:w="1134" w:type="dxa"/>
            <w:vAlign w:val="center"/>
          </w:tcPr>
          <w:p>
            <w:pPr>
              <w:pStyle w:val="12"/>
            </w:pPr>
            <w:r>
              <w:t>83.10</w:t>
            </w:r>
          </w:p>
        </w:tc>
        <w:tc>
          <w:tcPr>
            <w:tcW w:w="1134" w:type="dxa"/>
            <w:vAlign w:val="center"/>
          </w:tcPr>
          <w:p>
            <w:pPr>
              <w:pStyle w:val="12"/>
            </w:pPr>
            <w:r>
              <w:t>83.10</w:t>
            </w:r>
          </w:p>
        </w:tc>
        <w:tc>
          <w:tcPr>
            <w:tcW w:w="1134" w:type="dxa"/>
            <w:vAlign w:val="center"/>
          </w:tcPr>
          <w:p>
            <w:pPr>
              <w:pStyle w:val="12"/>
            </w:pPr>
            <w:r>
              <w:t>83.10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2013101</w:t>
            </w:r>
          </w:p>
        </w:tc>
        <w:tc>
          <w:tcPr>
            <w:tcW w:w="1559" w:type="dxa"/>
            <w:vAlign w:val="center"/>
          </w:tcPr>
          <w:p>
            <w:pPr>
              <w:pStyle w:val="13"/>
            </w:pPr>
            <w:r>
              <w:t>行政运行</w:t>
            </w:r>
          </w:p>
        </w:tc>
        <w:tc>
          <w:tcPr>
            <w:tcW w:w="1134" w:type="dxa"/>
            <w:vAlign w:val="center"/>
          </w:tcPr>
          <w:p>
            <w:pPr>
              <w:pStyle w:val="12"/>
            </w:pPr>
            <w:r>
              <w:t>83.10</w:t>
            </w:r>
          </w:p>
        </w:tc>
        <w:tc>
          <w:tcPr>
            <w:tcW w:w="1134" w:type="dxa"/>
            <w:vAlign w:val="center"/>
          </w:tcPr>
          <w:p>
            <w:pPr>
              <w:pStyle w:val="12"/>
            </w:pPr>
            <w:r>
              <w:t>83.10</w:t>
            </w:r>
          </w:p>
        </w:tc>
        <w:tc>
          <w:tcPr>
            <w:tcW w:w="1134" w:type="dxa"/>
            <w:vAlign w:val="center"/>
          </w:tcPr>
          <w:p>
            <w:pPr>
              <w:pStyle w:val="12"/>
            </w:pPr>
            <w:r>
              <w:t>83.10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12.12</w:t>
            </w:r>
          </w:p>
        </w:tc>
        <w:tc>
          <w:tcPr>
            <w:tcW w:w="1134" w:type="dxa"/>
            <w:vAlign w:val="center"/>
          </w:tcPr>
          <w:p>
            <w:pPr>
              <w:pStyle w:val="12"/>
            </w:pPr>
            <w:r>
              <w:t>12.12</w:t>
            </w:r>
          </w:p>
        </w:tc>
        <w:tc>
          <w:tcPr>
            <w:tcW w:w="1134" w:type="dxa"/>
            <w:vAlign w:val="center"/>
          </w:tcPr>
          <w:p>
            <w:pPr>
              <w:pStyle w:val="12"/>
            </w:pPr>
            <w:r>
              <w:t>12.12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11.77</w:t>
            </w:r>
          </w:p>
        </w:tc>
        <w:tc>
          <w:tcPr>
            <w:tcW w:w="1134" w:type="dxa"/>
            <w:vAlign w:val="center"/>
          </w:tcPr>
          <w:p>
            <w:pPr>
              <w:pStyle w:val="12"/>
            </w:pPr>
            <w:r>
              <w:t>11.77</w:t>
            </w:r>
          </w:p>
        </w:tc>
        <w:tc>
          <w:tcPr>
            <w:tcW w:w="1134" w:type="dxa"/>
            <w:vAlign w:val="center"/>
          </w:tcPr>
          <w:p>
            <w:pPr>
              <w:pStyle w:val="12"/>
            </w:pPr>
            <w:r>
              <w:t>11.77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2.33</w:t>
            </w:r>
          </w:p>
        </w:tc>
        <w:tc>
          <w:tcPr>
            <w:tcW w:w="1134" w:type="dxa"/>
            <w:vAlign w:val="center"/>
          </w:tcPr>
          <w:p>
            <w:pPr>
              <w:pStyle w:val="12"/>
            </w:pPr>
            <w:r>
              <w:t>2.33</w:t>
            </w:r>
          </w:p>
        </w:tc>
        <w:tc>
          <w:tcPr>
            <w:tcW w:w="1134" w:type="dxa"/>
            <w:vAlign w:val="center"/>
          </w:tcPr>
          <w:p>
            <w:pPr>
              <w:pStyle w:val="12"/>
            </w:pPr>
            <w:r>
              <w:t>2.33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9.44</w:t>
            </w:r>
          </w:p>
        </w:tc>
        <w:tc>
          <w:tcPr>
            <w:tcW w:w="1134" w:type="dxa"/>
            <w:vAlign w:val="center"/>
          </w:tcPr>
          <w:p>
            <w:pPr>
              <w:pStyle w:val="12"/>
            </w:pPr>
            <w:r>
              <w:t>9.44</w:t>
            </w:r>
          </w:p>
        </w:tc>
        <w:tc>
          <w:tcPr>
            <w:tcW w:w="1134" w:type="dxa"/>
            <w:vAlign w:val="center"/>
          </w:tcPr>
          <w:p>
            <w:pPr>
              <w:pStyle w:val="12"/>
            </w:pPr>
            <w:r>
              <w:t>9.44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0.35</w:t>
            </w:r>
          </w:p>
        </w:tc>
        <w:tc>
          <w:tcPr>
            <w:tcW w:w="1134" w:type="dxa"/>
            <w:vAlign w:val="center"/>
          </w:tcPr>
          <w:p>
            <w:pPr>
              <w:pStyle w:val="12"/>
            </w:pPr>
            <w:r>
              <w:t>0.35</w:t>
            </w:r>
          </w:p>
        </w:tc>
        <w:tc>
          <w:tcPr>
            <w:tcW w:w="1134" w:type="dxa"/>
            <w:vAlign w:val="center"/>
          </w:tcPr>
          <w:p>
            <w:pPr>
              <w:pStyle w:val="12"/>
            </w:pPr>
            <w:r>
              <w:t>0.35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0.35</w:t>
            </w:r>
          </w:p>
        </w:tc>
        <w:tc>
          <w:tcPr>
            <w:tcW w:w="1134" w:type="dxa"/>
            <w:vAlign w:val="center"/>
          </w:tcPr>
          <w:p>
            <w:pPr>
              <w:pStyle w:val="12"/>
            </w:pPr>
            <w:r>
              <w:t>0.35</w:t>
            </w:r>
          </w:p>
        </w:tc>
        <w:tc>
          <w:tcPr>
            <w:tcW w:w="1134" w:type="dxa"/>
            <w:vAlign w:val="center"/>
          </w:tcPr>
          <w:p>
            <w:pPr>
              <w:pStyle w:val="12"/>
            </w:pPr>
            <w:r>
              <w:t>0.35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6.01</w:t>
            </w:r>
          </w:p>
        </w:tc>
        <w:tc>
          <w:tcPr>
            <w:tcW w:w="1134" w:type="dxa"/>
            <w:vAlign w:val="center"/>
          </w:tcPr>
          <w:p>
            <w:pPr>
              <w:pStyle w:val="12"/>
            </w:pPr>
            <w:r>
              <w:t>6.01</w:t>
            </w:r>
          </w:p>
        </w:tc>
        <w:tc>
          <w:tcPr>
            <w:tcW w:w="1134" w:type="dxa"/>
            <w:vAlign w:val="center"/>
          </w:tcPr>
          <w:p>
            <w:pPr>
              <w:pStyle w:val="12"/>
            </w:pPr>
            <w:r>
              <w:t>6.01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6.01</w:t>
            </w:r>
          </w:p>
        </w:tc>
        <w:tc>
          <w:tcPr>
            <w:tcW w:w="1134" w:type="dxa"/>
            <w:vAlign w:val="center"/>
          </w:tcPr>
          <w:p>
            <w:pPr>
              <w:pStyle w:val="12"/>
            </w:pPr>
            <w:r>
              <w:t>6.01</w:t>
            </w:r>
          </w:p>
        </w:tc>
        <w:tc>
          <w:tcPr>
            <w:tcW w:w="1134" w:type="dxa"/>
            <w:vAlign w:val="center"/>
          </w:tcPr>
          <w:p>
            <w:pPr>
              <w:pStyle w:val="12"/>
            </w:pPr>
            <w:r>
              <w:t>6.01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6.01</w:t>
            </w:r>
          </w:p>
        </w:tc>
        <w:tc>
          <w:tcPr>
            <w:tcW w:w="1134" w:type="dxa"/>
            <w:vAlign w:val="center"/>
          </w:tcPr>
          <w:p>
            <w:pPr>
              <w:pStyle w:val="12"/>
            </w:pPr>
            <w:r>
              <w:t>6.01</w:t>
            </w:r>
          </w:p>
        </w:tc>
        <w:tc>
          <w:tcPr>
            <w:tcW w:w="1134" w:type="dxa"/>
            <w:vAlign w:val="center"/>
          </w:tcPr>
          <w:p>
            <w:pPr>
              <w:pStyle w:val="12"/>
            </w:pPr>
            <w:r>
              <w:t>6.01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8.79</w:t>
            </w:r>
          </w:p>
        </w:tc>
        <w:tc>
          <w:tcPr>
            <w:tcW w:w="1134" w:type="dxa"/>
            <w:vAlign w:val="center"/>
          </w:tcPr>
          <w:p>
            <w:pPr>
              <w:pStyle w:val="12"/>
            </w:pPr>
            <w:r>
              <w:t>8.79</w:t>
            </w:r>
          </w:p>
        </w:tc>
        <w:tc>
          <w:tcPr>
            <w:tcW w:w="1134" w:type="dxa"/>
            <w:vAlign w:val="center"/>
          </w:tcPr>
          <w:p>
            <w:pPr>
              <w:pStyle w:val="12"/>
            </w:pPr>
            <w:r>
              <w:t>8.79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8.79</w:t>
            </w:r>
          </w:p>
        </w:tc>
        <w:tc>
          <w:tcPr>
            <w:tcW w:w="1134" w:type="dxa"/>
            <w:vAlign w:val="center"/>
          </w:tcPr>
          <w:p>
            <w:pPr>
              <w:pStyle w:val="12"/>
            </w:pPr>
            <w:r>
              <w:t>8.79</w:t>
            </w:r>
          </w:p>
        </w:tc>
        <w:tc>
          <w:tcPr>
            <w:tcW w:w="1134" w:type="dxa"/>
            <w:vAlign w:val="center"/>
          </w:tcPr>
          <w:p>
            <w:pPr>
              <w:pStyle w:val="12"/>
            </w:pPr>
            <w:r>
              <w:t>8.79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8.79</w:t>
            </w:r>
          </w:p>
        </w:tc>
        <w:tc>
          <w:tcPr>
            <w:tcW w:w="1134" w:type="dxa"/>
            <w:vAlign w:val="center"/>
          </w:tcPr>
          <w:p>
            <w:pPr>
              <w:pStyle w:val="12"/>
            </w:pPr>
            <w:r>
              <w:t>8.79</w:t>
            </w:r>
          </w:p>
        </w:tc>
        <w:tc>
          <w:tcPr>
            <w:tcW w:w="1134" w:type="dxa"/>
            <w:vAlign w:val="center"/>
          </w:tcPr>
          <w:p>
            <w:pPr>
              <w:pStyle w:val="12"/>
            </w:pPr>
            <w:r>
              <w:t>8.79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225中国共产党新乐市委员会机构编制委员会办公室</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110.02</w:t>
            </w:r>
          </w:p>
        </w:tc>
        <w:tc>
          <w:tcPr>
            <w:tcW w:w="1361" w:type="dxa"/>
            <w:vAlign w:val="center"/>
          </w:tcPr>
          <w:p>
            <w:pPr>
              <w:pStyle w:val="16"/>
            </w:pPr>
            <w:r>
              <w:t>110.02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83.10</w:t>
            </w:r>
          </w:p>
        </w:tc>
        <w:tc>
          <w:tcPr>
            <w:tcW w:w="1361" w:type="dxa"/>
            <w:vAlign w:val="center"/>
          </w:tcPr>
          <w:p>
            <w:pPr>
              <w:pStyle w:val="12"/>
            </w:pPr>
            <w:r>
              <w:t>83.10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20131</w:t>
            </w:r>
          </w:p>
        </w:tc>
        <w:tc>
          <w:tcPr>
            <w:tcW w:w="4535" w:type="dxa"/>
            <w:vAlign w:val="center"/>
          </w:tcPr>
          <w:p>
            <w:pPr>
              <w:pStyle w:val="13"/>
            </w:pPr>
            <w:r>
              <w:t>党委办公厅（室）及相关机构事务</w:t>
            </w:r>
          </w:p>
        </w:tc>
        <w:tc>
          <w:tcPr>
            <w:tcW w:w="1361" w:type="dxa"/>
            <w:vAlign w:val="center"/>
          </w:tcPr>
          <w:p>
            <w:pPr>
              <w:pStyle w:val="12"/>
            </w:pPr>
            <w:r>
              <w:t>83.10</w:t>
            </w:r>
          </w:p>
        </w:tc>
        <w:tc>
          <w:tcPr>
            <w:tcW w:w="1361" w:type="dxa"/>
            <w:vAlign w:val="center"/>
          </w:tcPr>
          <w:p>
            <w:pPr>
              <w:pStyle w:val="12"/>
            </w:pPr>
            <w:r>
              <w:t>83.10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2013101</w:t>
            </w:r>
          </w:p>
        </w:tc>
        <w:tc>
          <w:tcPr>
            <w:tcW w:w="4535" w:type="dxa"/>
            <w:vAlign w:val="center"/>
          </w:tcPr>
          <w:p>
            <w:pPr>
              <w:pStyle w:val="13"/>
            </w:pPr>
            <w:r>
              <w:t>行政运行</w:t>
            </w:r>
          </w:p>
        </w:tc>
        <w:tc>
          <w:tcPr>
            <w:tcW w:w="1361" w:type="dxa"/>
            <w:vAlign w:val="center"/>
          </w:tcPr>
          <w:p>
            <w:pPr>
              <w:pStyle w:val="12"/>
            </w:pPr>
            <w:r>
              <w:t>83.10</w:t>
            </w:r>
          </w:p>
        </w:tc>
        <w:tc>
          <w:tcPr>
            <w:tcW w:w="1361" w:type="dxa"/>
            <w:vAlign w:val="center"/>
          </w:tcPr>
          <w:p>
            <w:pPr>
              <w:pStyle w:val="12"/>
            </w:pPr>
            <w:r>
              <w:t>83.10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12.12</w:t>
            </w:r>
          </w:p>
        </w:tc>
        <w:tc>
          <w:tcPr>
            <w:tcW w:w="1361" w:type="dxa"/>
            <w:vAlign w:val="center"/>
          </w:tcPr>
          <w:p>
            <w:pPr>
              <w:pStyle w:val="12"/>
            </w:pPr>
            <w:r>
              <w:t>12.12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11.77</w:t>
            </w:r>
          </w:p>
        </w:tc>
        <w:tc>
          <w:tcPr>
            <w:tcW w:w="1361" w:type="dxa"/>
            <w:vAlign w:val="center"/>
          </w:tcPr>
          <w:p>
            <w:pPr>
              <w:pStyle w:val="12"/>
            </w:pPr>
            <w:r>
              <w:t>11.77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2.33</w:t>
            </w:r>
          </w:p>
        </w:tc>
        <w:tc>
          <w:tcPr>
            <w:tcW w:w="1361" w:type="dxa"/>
            <w:vAlign w:val="center"/>
          </w:tcPr>
          <w:p>
            <w:pPr>
              <w:pStyle w:val="12"/>
            </w:pPr>
            <w:r>
              <w:t>2.33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9.44</w:t>
            </w:r>
          </w:p>
        </w:tc>
        <w:tc>
          <w:tcPr>
            <w:tcW w:w="1361" w:type="dxa"/>
            <w:vAlign w:val="center"/>
          </w:tcPr>
          <w:p>
            <w:pPr>
              <w:pStyle w:val="12"/>
            </w:pPr>
            <w:r>
              <w:t>9.44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0.35</w:t>
            </w:r>
          </w:p>
        </w:tc>
        <w:tc>
          <w:tcPr>
            <w:tcW w:w="1361" w:type="dxa"/>
            <w:vAlign w:val="center"/>
          </w:tcPr>
          <w:p>
            <w:pPr>
              <w:pStyle w:val="12"/>
            </w:pPr>
            <w:r>
              <w:t>0.35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0.35</w:t>
            </w:r>
          </w:p>
        </w:tc>
        <w:tc>
          <w:tcPr>
            <w:tcW w:w="1361" w:type="dxa"/>
            <w:vAlign w:val="center"/>
          </w:tcPr>
          <w:p>
            <w:pPr>
              <w:pStyle w:val="12"/>
            </w:pPr>
            <w:r>
              <w:t>0.35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6.01</w:t>
            </w:r>
          </w:p>
        </w:tc>
        <w:tc>
          <w:tcPr>
            <w:tcW w:w="1361" w:type="dxa"/>
            <w:vAlign w:val="center"/>
          </w:tcPr>
          <w:p>
            <w:pPr>
              <w:pStyle w:val="12"/>
            </w:pPr>
            <w:r>
              <w:t>6.01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6.01</w:t>
            </w:r>
          </w:p>
        </w:tc>
        <w:tc>
          <w:tcPr>
            <w:tcW w:w="1361" w:type="dxa"/>
            <w:vAlign w:val="center"/>
          </w:tcPr>
          <w:p>
            <w:pPr>
              <w:pStyle w:val="12"/>
            </w:pPr>
            <w:r>
              <w:t>6.01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6.01</w:t>
            </w:r>
          </w:p>
        </w:tc>
        <w:tc>
          <w:tcPr>
            <w:tcW w:w="1361" w:type="dxa"/>
            <w:vAlign w:val="center"/>
          </w:tcPr>
          <w:p>
            <w:pPr>
              <w:pStyle w:val="12"/>
            </w:pPr>
            <w:r>
              <w:t>6.01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8.79</w:t>
            </w:r>
          </w:p>
        </w:tc>
        <w:tc>
          <w:tcPr>
            <w:tcW w:w="1361" w:type="dxa"/>
            <w:vAlign w:val="center"/>
          </w:tcPr>
          <w:p>
            <w:pPr>
              <w:pStyle w:val="12"/>
            </w:pPr>
            <w:r>
              <w:t>8.79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8.79</w:t>
            </w:r>
          </w:p>
        </w:tc>
        <w:tc>
          <w:tcPr>
            <w:tcW w:w="1361" w:type="dxa"/>
            <w:vAlign w:val="center"/>
          </w:tcPr>
          <w:p>
            <w:pPr>
              <w:pStyle w:val="12"/>
            </w:pPr>
            <w:r>
              <w:t>8.79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8.79</w:t>
            </w:r>
          </w:p>
        </w:tc>
        <w:tc>
          <w:tcPr>
            <w:tcW w:w="1361" w:type="dxa"/>
            <w:vAlign w:val="center"/>
          </w:tcPr>
          <w:p>
            <w:pPr>
              <w:pStyle w:val="12"/>
            </w:pPr>
            <w:r>
              <w:t>8.79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225中国共产党新乐市委员会机构编制委员会办公室</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110.02</w:t>
            </w:r>
          </w:p>
        </w:tc>
        <w:tc>
          <w:tcPr>
            <w:tcW w:w="3402" w:type="dxa"/>
            <w:vAlign w:val="center"/>
          </w:tcPr>
          <w:p>
            <w:pPr>
              <w:pStyle w:val="13"/>
            </w:pPr>
            <w:r>
              <w:t>一、一般公共服务支出</w:t>
            </w:r>
          </w:p>
        </w:tc>
        <w:tc>
          <w:tcPr>
            <w:tcW w:w="1474" w:type="dxa"/>
            <w:vAlign w:val="center"/>
          </w:tcPr>
          <w:p>
            <w:pPr>
              <w:pStyle w:val="12"/>
            </w:pPr>
            <w:r>
              <w:t>83.10</w:t>
            </w:r>
          </w:p>
        </w:tc>
        <w:tc>
          <w:tcPr>
            <w:tcW w:w="1474" w:type="dxa"/>
            <w:vAlign w:val="center"/>
          </w:tcPr>
          <w:p>
            <w:pPr>
              <w:pStyle w:val="12"/>
            </w:pPr>
            <w:r>
              <w:t>83.10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12.12</w:t>
            </w:r>
          </w:p>
        </w:tc>
        <w:tc>
          <w:tcPr>
            <w:tcW w:w="1474" w:type="dxa"/>
            <w:vAlign w:val="center"/>
          </w:tcPr>
          <w:p>
            <w:pPr>
              <w:pStyle w:val="12"/>
            </w:pPr>
            <w:r>
              <w:t>12.12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6.01</w:t>
            </w:r>
          </w:p>
        </w:tc>
        <w:tc>
          <w:tcPr>
            <w:tcW w:w="1474" w:type="dxa"/>
            <w:vAlign w:val="center"/>
          </w:tcPr>
          <w:p>
            <w:pPr>
              <w:pStyle w:val="12"/>
            </w:pPr>
            <w:r>
              <w:t>6.01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8.79</w:t>
            </w:r>
          </w:p>
        </w:tc>
        <w:tc>
          <w:tcPr>
            <w:tcW w:w="1474" w:type="dxa"/>
            <w:vAlign w:val="center"/>
          </w:tcPr>
          <w:p>
            <w:pPr>
              <w:pStyle w:val="12"/>
            </w:pPr>
            <w:r>
              <w:t>8.79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110.02</w:t>
            </w:r>
          </w:p>
        </w:tc>
        <w:tc>
          <w:tcPr>
            <w:tcW w:w="3402" w:type="dxa"/>
            <w:vAlign w:val="center"/>
          </w:tcPr>
          <w:p>
            <w:pPr>
              <w:pStyle w:val="15"/>
            </w:pPr>
            <w:r>
              <w:t>本年支出合计</w:t>
            </w:r>
          </w:p>
        </w:tc>
        <w:tc>
          <w:tcPr>
            <w:tcW w:w="1474" w:type="dxa"/>
            <w:vAlign w:val="center"/>
          </w:tcPr>
          <w:p>
            <w:pPr>
              <w:pStyle w:val="16"/>
            </w:pPr>
            <w:r>
              <w:t>110.02</w:t>
            </w:r>
          </w:p>
        </w:tc>
        <w:tc>
          <w:tcPr>
            <w:tcW w:w="1474" w:type="dxa"/>
            <w:vAlign w:val="center"/>
          </w:tcPr>
          <w:p>
            <w:pPr>
              <w:pStyle w:val="16"/>
            </w:pPr>
            <w:r>
              <w:t>110.02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110.02</w:t>
            </w:r>
          </w:p>
        </w:tc>
        <w:tc>
          <w:tcPr>
            <w:tcW w:w="3402" w:type="dxa"/>
            <w:vAlign w:val="center"/>
          </w:tcPr>
          <w:p>
            <w:pPr>
              <w:pStyle w:val="15"/>
            </w:pPr>
            <w:r>
              <w:t>支出总计</w:t>
            </w:r>
          </w:p>
        </w:tc>
        <w:tc>
          <w:tcPr>
            <w:tcW w:w="1474" w:type="dxa"/>
            <w:vAlign w:val="center"/>
          </w:tcPr>
          <w:p>
            <w:pPr>
              <w:pStyle w:val="16"/>
            </w:pPr>
            <w:r>
              <w:t>110.02</w:t>
            </w:r>
          </w:p>
        </w:tc>
        <w:tc>
          <w:tcPr>
            <w:tcW w:w="1474" w:type="dxa"/>
            <w:vAlign w:val="center"/>
          </w:tcPr>
          <w:p>
            <w:pPr>
              <w:pStyle w:val="16"/>
            </w:pPr>
            <w:r>
              <w:t>110.02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225中国共产党新乐市委员会机构编制委员会办公室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110.02</w:t>
            </w:r>
          </w:p>
        </w:tc>
        <w:tc>
          <w:tcPr>
            <w:tcW w:w="2551" w:type="dxa"/>
            <w:vAlign w:val="center"/>
          </w:tcPr>
          <w:p>
            <w:pPr>
              <w:pStyle w:val="16"/>
            </w:pPr>
            <w:r>
              <w:t>110.02</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83.10</w:t>
            </w:r>
          </w:p>
        </w:tc>
        <w:tc>
          <w:tcPr>
            <w:tcW w:w="2551" w:type="dxa"/>
            <w:vAlign w:val="center"/>
          </w:tcPr>
          <w:p>
            <w:pPr>
              <w:pStyle w:val="12"/>
            </w:pPr>
            <w:r>
              <w:t>83.10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20131</w:t>
            </w:r>
          </w:p>
        </w:tc>
        <w:tc>
          <w:tcPr>
            <w:tcW w:w="4535" w:type="dxa"/>
            <w:vAlign w:val="center"/>
          </w:tcPr>
          <w:p>
            <w:pPr>
              <w:pStyle w:val="13"/>
            </w:pPr>
            <w:r>
              <w:t>党委办公厅（室）及相关机构事务</w:t>
            </w:r>
          </w:p>
        </w:tc>
        <w:tc>
          <w:tcPr>
            <w:tcW w:w="2551" w:type="dxa"/>
            <w:vAlign w:val="center"/>
          </w:tcPr>
          <w:p>
            <w:pPr>
              <w:pStyle w:val="12"/>
            </w:pPr>
            <w:r>
              <w:t>83.10</w:t>
            </w:r>
          </w:p>
        </w:tc>
        <w:tc>
          <w:tcPr>
            <w:tcW w:w="2551" w:type="dxa"/>
            <w:vAlign w:val="center"/>
          </w:tcPr>
          <w:p>
            <w:pPr>
              <w:pStyle w:val="12"/>
            </w:pPr>
            <w:r>
              <w:t>83.10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2013101</w:t>
            </w:r>
          </w:p>
        </w:tc>
        <w:tc>
          <w:tcPr>
            <w:tcW w:w="4535" w:type="dxa"/>
            <w:vAlign w:val="center"/>
          </w:tcPr>
          <w:p>
            <w:pPr>
              <w:pStyle w:val="13"/>
            </w:pPr>
            <w:r>
              <w:t>行政运行</w:t>
            </w:r>
          </w:p>
        </w:tc>
        <w:tc>
          <w:tcPr>
            <w:tcW w:w="2551" w:type="dxa"/>
            <w:vAlign w:val="center"/>
          </w:tcPr>
          <w:p>
            <w:pPr>
              <w:pStyle w:val="12"/>
            </w:pPr>
            <w:r>
              <w:t>83.10</w:t>
            </w:r>
          </w:p>
        </w:tc>
        <w:tc>
          <w:tcPr>
            <w:tcW w:w="2551" w:type="dxa"/>
            <w:vAlign w:val="center"/>
          </w:tcPr>
          <w:p>
            <w:pPr>
              <w:pStyle w:val="12"/>
            </w:pPr>
            <w:r>
              <w:t>83.10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12.12</w:t>
            </w:r>
          </w:p>
        </w:tc>
        <w:tc>
          <w:tcPr>
            <w:tcW w:w="2551" w:type="dxa"/>
            <w:vAlign w:val="center"/>
          </w:tcPr>
          <w:p>
            <w:pPr>
              <w:pStyle w:val="12"/>
            </w:pPr>
            <w:r>
              <w:t>12.12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11.77</w:t>
            </w:r>
          </w:p>
        </w:tc>
        <w:tc>
          <w:tcPr>
            <w:tcW w:w="2551" w:type="dxa"/>
            <w:vAlign w:val="center"/>
          </w:tcPr>
          <w:p>
            <w:pPr>
              <w:pStyle w:val="12"/>
            </w:pPr>
            <w:r>
              <w:t>11.77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2.33</w:t>
            </w:r>
          </w:p>
        </w:tc>
        <w:tc>
          <w:tcPr>
            <w:tcW w:w="2551" w:type="dxa"/>
            <w:vAlign w:val="center"/>
          </w:tcPr>
          <w:p>
            <w:pPr>
              <w:pStyle w:val="12"/>
            </w:pPr>
            <w:r>
              <w:t>2.33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9.44</w:t>
            </w:r>
          </w:p>
        </w:tc>
        <w:tc>
          <w:tcPr>
            <w:tcW w:w="2551" w:type="dxa"/>
            <w:vAlign w:val="center"/>
          </w:tcPr>
          <w:p>
            <w:pPr>
              <w:pStyle w:val="12"/>
            </w:pPr>
            <w:r>
              <w:t>9.44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0.35</w:t>
            </w:r>
          </w:p>
        </w:tc>
        <w:tc>
          <w:tcPr>
            <w:tcW w:w="2551" w:type="dxa"/>
            <w:vAlign w:val="center"/>
          </w:tcPr>
          <w:p>
            <w:pPr>
              <w:pStyle w:val="12"/>
            </w:pPr>
            <w:r>
              <w:t>0.35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0.35</w:t>
            </w:r>
          </w:p>
        </w:tc>
        <w:tc>
          <w:tcPr>
            <w:tcW w:w="2551" w:type="dxa"/>
            <w:vAlign w:val="center"/>
          </w:tcPr>
          <w:p>
            <w:pPr>
              <w:pStyle w:val="12"/>
            </w:pPr>
            <w:r>
              <w:t>0.35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6.01</w:t>
            </w:r>
          </w:p>
        </w:tc>
        <w:tc>
          <w:tcPr>
            <w:tcW w:w="2551" w:type="dxa"/>
            <w:vAlign w:val="center"/>
          </w:tcPr>
          <w:p>
            <w:pPr>
              <w:pStyle w:val="12"/>
            </w:pPr>
            <w:r>
              <w:t>6.01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6.01</w:t>
            </w:r>
          </w:p>
        </w:tc>
        <w:tc>
          <w:tcPr>
            <w:tcW w:w="2551" w:type="dxa"/>
            <w:vAlign w:val="center"/>
          </w:tcPr>
          <w:p>
            <w:pPr>
              <w:pStyle w:val="12"/>
            </w:pPr>
            <w:r>
              <w:t>6.01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6.01</w:t>
            </w:r>
          </w:p>
        </w:tc>
        <w:tc>
          <w:tcPr>
            <w:tcW w:w="2551" w:type="dxa"/>
            <w:vAlign w:val="center"/>
          </w:tcPr>
          <w:p>
            <w:pPr>
              <w:pStyle w:val="12"/>
            </w:pPr>
            <w:r>
              <w:t>6.01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8.79</w:t>
            </w:r>
          </w:p>
        </w:tc>
        <w:tc>
          <w:tcPr>
            <w:tcW w:w="2551" w:type="dxa"/>
            <w:vAlign w:val="center"/>
          </w:tcPr>
          <w:p>
            <w:pPr>
              <w:pStyle w:val="12"/>
            </w:pPr>
            <w:r>
              <w:t>8.79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8.79</w:t>
            </w:r>
          </w:p>
        </w:tc>
        <w:tc>
          <w:tcPr>
            <w:tcW w:w="2551" w:type="dxa"/>
            <w:vAlign w:val="center"/>
          </w:tcPr>
          <w:p>
            <w:pPr>
              <w:pStyle w:val="12"/>
            </w:pPr>
            <w:r>
              <w:t>8.79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8.79</w:t>
            </w:r>
          </w:p>
        </w:tc>
        <w:tc>
          <w:tcPr>
            <w:tcW w:w="2551" w:type="dxa"/>
            <w:vAlign w:val="center"/>
          </w:tcPr>
          <w:p>
            <w:pPr>
              <w:pStyle w:val="12"/>
            </w:pPr>
            <w:r>
              <w:t>8.79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225中国共产党新乐市委员会机构编制委员会办公室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110.02</w:t>
            </w:r>
          </w:p>
        </w:tc>
        <w:tc>
          <w:tcPr>
            <w:tcW w:w="2551" w:type="dxa"/>
            <w:vAlign w:val="center"/>
          </w:tcPr>
          <w:p>
            <w:pPr>
              <w:pStyle w:val="16"/>
            </w:pPr>
            <w:r>
              <w:t>98.69</w:t>
            </w:r>
          </w:p>
        </w:tc>
        <w:tc>
          <w:tcPr>
            <w:tcW w:w="2551" w:type="dxa"/>
            <w:vAlign w:val="center"/>
          </w:tcPr>
          <w:p>
            <w:pPr>
              <w:pStyle w:val="16"/>
            </w:pPr>
            <w:r>
              <w:t>11.33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95.91</w:t>
            </w:r>
          </w:p>
        </w:tc>
        <w:tc>
          <w:tcPr>
            <w:tcW w:w="2551" w:type="dxa"/>
            <w:vAlign w:val="center"/>
          </w:tcPr>
          <w:p>
            <w:pPr>
              <w:pStyle w:val="12"/>
            </w:pPr>
            <w:r>
              <w:t>95.91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31.69</w:t>
            </w:r>
          </w:p>
        </w:tc>
        <w:tc>
          <w:tcPr>
            <w:tcW w:w="2551" w:type="dxa"/>
            <w:vAlign w:val="center"/>
          </w:tcPr>
          <w:p>
            <w:pPr>
              <w:pStyle w:val="12"/>
            </w:pPr>
            <w:r>
              <w:t>31.69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15.79</w:t>
            </w:r>
          </w:p>
        </w:tc>
        <w:tc>
          <w:tcPr>
            <w:tcW w:w="2551" w:type="dxa"/>
            <w:vAlign w:val="center"/>
          </w:tcPr>
          <w:p>
            <w:pPr>
              <w:pStyle w:val="12"/>
            </w:pPr>
            <w:r>
              <w:t>15.79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12.48</w:t>
            </w:r>
          </w:p>
        </w:tc>
        <w:tc>
          <w:tcPr>
            <w:tcW w:w="2551" w:type="dxa"/>
            <w:vAlign w:val="center"/>
          </w:tcPr>
          <w:p>
            <w:pPr>
              <w:pStyle w:val="12"/>
            </w:pPr>
            <w:r>
              <w:t>12.48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10.40</w:t>
            </w:r>
          </w:p>
        </w:tc>
        <w:tc>
          <w:tcPr>
            <w:tcW w:w="2551" w:type="dxa"/>
            <w:vAlign w:val="center"/>
          </w:tcPr>
          <w:p>
            <w:pPr>
              <w:pStyle w:val="12"/>
            </w:pPr>
            <w:r>
              <w:t>10.40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9.44</w:t>
            </w:r>
          </w:p>
        </w:tc>
        <w:tc>
          <w:tcPr>
            <w:tcW w:w="2551" w:type="dxa"/>
            <w:vAlign w:val="center"/>
          </w:tcPr>
          <w:p>
            <w:pPr>
              <w:pStyle w:val="12"/>
            </w:pPr>
            <w:r>
              <w:t>9.44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6.01</w:t>
            </w:r>
          </w:p>
        </w:tc>
        <w:tc>
          <w:tcPr>
            <w:tcW w:w="2551" w:type="dxa"/>
            <w:vAlign w:val="center"/>
          </w:tcPr>
          <w:p>
            <w:pPr>
              <w:pStyle w:val="12"/>
            </w:pPr>
            <w:r>
              <w:t>6.01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1.32</w:t>
            </w:r>
          </w:p>
        </w:tc>
        <w:tc>
          <w:tcPr>
            <w:tcW w:w="2551" w:type="dxa"/>
            <w:vAlign w:val="center"/>
          </w:tcPr>
          <w:p>
            <w:pPr>
              <w:pStyle w:val="12"/>
            </w:pPr>
            <w:r>
              <w:t>1.32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8.79</w:t>
            </w:r>
          </w:p>
        </w:tc>
        <w:tc>
          <w:tcPr>
            <w:tcW w:w="2551" w:type="dxa"/>
            <w:vAlign w:val="center"/>
          </w:tcPr>
          <w:p>
            <w:pPr>
              <w:pStyle w:val="12"/>
            </w:pPr>
            <w:r>
              <w:t>8.79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11.33</w:t>
            </w:r>
          </w:p>
        </w:tc>
        <w:tc>
          <w:tcPr>
            <w:tcW w:w="2551" w:type="dxa"/>
            <w:vAlign w:val="center"/>
          </w:tcPr>
          <w:p>
            <w:pPr>
              <w:pStyle w:val="12"/>
            </w:pPr>
          </w:p>
        </w:tc>
        <w:tc>
          <w:tcPr>
            <w:tcW w:w="2551" w:type="dxa"/>
            <w:vAlign w:val="center"/>
          </w:tcPr>
          <w:p>
            <w:pPr>
              <w:pStyle w:val="12"/>
            </w:pPr>
            <w:r>
              <w:t>11.33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0.90</w:t>
            </w:r>
          </w:p>
        </w:tc>
        <w:tc>
          <w:tcPr>
            <w:tcW w:w="2551" w:type="dxa"/>
            <w:vAlign w:val="center"/>
          </w:tcPr>
          <w:p>
            <w:pPr>
              <w:pStyle w:val="12"/>
            </w:pPr>
          </w:p>
        </w:tc>
        <w:tc>
          <w:tcPr>
            <w:tcW w:w="2551"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2.76</w:t>
            </w:r>
          </w:p>
        </w:tc>
        <w:tc>
          <w:tcPr>
            <w:tcW w:w="2551" w:type="dxa"/>
            <w:vAlign w:val="center"/>
          </w:tcPr>
          <w:p>
            <w:pPr>
              <w:pStyle w:val="12"/>
            </w:pPr>
          </w:p>
        </w:tc>
        <w:tc>
          <w:tcPr>
            <w:tcW w:w="2551" w:type="dxa"/>
            <w:vAlign w:val="center"/>
          </w:tcPr>
          <w:p>
            <w:pPr>
              <w:pStyle w:val="12"/>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0.69</w:t>
            </w:r>
          </w:p>
        </w:tc>
        <w:tc>
          <w:tcPr>
            <w:tcW w:w="2551" w:type="dxa"/>
            <w:vAlign w:val="center"/>
          </w:tcPr>
          <w:p>
            <w:pPr>
              <w:pStyle w:val="12"/>
            </w:pPr>
          </w:p>
        </w:tc>
        <w:tc>
          <w:tcPr>
            <w:tcW w:w="2551" w:type="dxa"/>
            <w:vAlign w:val="center"/>
          </w:tcPr>
          <w:p>
            <w:pPr>
              <w:pStyle w:val="12"/>
            </w:pPr>
            <w:r>
              <w:t>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0.79</w:t>
            </w:r>
          </w:p>
        </w:tc>
        <w:tc>
          <w:tcPr>
            <w:tcW w:w="2551" w:type="dxa"/>
            <w:vAlign w:val="center"/>
          </w:tcPr>
          <w:p>
            <w:pPr>
              <w:pStyle w:val="12"/>
            </w:pPr>
          </w:p>
        </w:tc>
        <w:tc>
          <w:tcPr>
            <w:tcW w:w="2551" w:type="dxa"/>
            <w:vAlign w:val="center"/>
          </w:tcPr>
          <w:p>
            <w:pPr>
              <w:pStyle w:val="12"/>
            </w:pPr>
            <w:r>
              <w:t>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6.12</w:t>
            </w:r>
          </w:p>
        </w:tc>
        <w:tc>
          <w:tcPr>
            <w:tcW w:w="2551" w:type="dxa"/>
            <w:vAlign w:val="center"/>
          </w:tcPr>
          <w:p>
            <w:pPr>
              <w:pStyle w:val="12"/>
            </w:pPr>
          </w:p>
        </w:tc>
        <w:tc>
          <w:tcPr>
            <w:tcW w:w="2551" w:type="dxa"/>
            <w:vAlign w:val="center"/>
          </w:tcPr>
          <w:p>
            <w:pPr>
              <w:pStyle w:val="12"/>
            </w:pPr>
            <w:r>
              <w:t>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0.07</w:t>
            </w:r>
          </w:p>
        </w:tc>
        <w:tc>
          <w:tcPr>
            <w:tcW w:w="2551" w:type="dxa"/>
            <w:vAlign w:val="center"/>
          </w:tcPr>
          <w:p>
            <w:pPr>
              <w:pStyle w:val="12"/>
            </w:pPr>
          </w:p>
        </w:tc>
        <w:tc>
          <w:tcPr>
            <w:tcW w:w="2551" w:type="dxa"/>
            <w:vAlign w:val="center"/>
          </w:tcPr>
          <w:p>
            <w:pPr>
              <w:pStyle w:val="12"/>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2.78</w:t>
            </w:r>
          </w:p>
        </w:tc>
        <w:tc>
          <w:tcPr>
            <w:tcW w:w="2551" w:type="dxa"/>
            <w:vAlign w:val="center"/>
          </w:tcPr>
          <w:p>
            <w:pPr>
              <w:pStyle w:val="12"/>
            </w:pPr>
            <w:r>
              <w:t>2.78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2.33</w:t>
            </w:r>
          </w:p>
        </w:tc>
        <w:tc>
          <w:tcPr>
            <w:tcW w:w="2551" w:type="dxa"/>
            <w:vAlign w:val="center"/>
          </w:tcPr>
          <w:p>
            <w:pPr>
              <w:pStyle w:val="12"/>
            </w:pPr>
            <w:r>
              <w:t>2.33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0.45</w:t>
            </w:r>
          </w:p>
        </w:tc>
        <w:tc>
          <w:tcPr>
            <w:tcW w:w="2551" w:type="dxa"/>
            <w:vAlign w:val="center"/>
          </w:tcPr>
          <w:p>
            <w:pPr>
              <w:pStyle w:val="12"/>
            </w:pPr>
            <w:r>
              <w:t>0.45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225中国共产党新乐市委员会机构编制委员会办公室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225中国共产党新乐市委员会机构编制委员会办公室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225中国共产党新乐市委员会机构编制委员会办公室</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中国共产党新乐市委员会机构编制委员会办公室2024年部门预算信息公开情况说明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中国共产党新乐市委员会机构编制委员会办公室2024年部门预算信息公开情况说明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按照《中华人民共和国预算法》、《地方预决算公开操作规程》和《关于进一步推进预算公开工作的实施意见》规定，现将中国共产党新乐市委员会机构编制委员会办公室2024年部门预算公开如下：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落实党中央和省委、石家庄市委、新乐市委关于行政管理体制和机构改革以及机构编制管理的政策法规，组织起草相关规范性文件草案并监督实施。管理和指导市纪委监委机关及其派驻纪检监察组、市委各机关、市</w:t>
      </w:r>
      <w:r>
        <w:rPr>
          <w:rFonts w:hint="eastAsia"/>
          <w:lang w:eastAsia="zh-CN"/>
        </w:rPr>
        <w:t>人大常委会机关</w:t>
      </w:r>
      <w:r>
        <w:t>、市政府各部门、市政协机关、人民团体机关（以下简称“党政群机关”），乡镇（街道）以及事业单位机构编制工作。组织开展行政管理体制改革、事业单位管理体制改革及机构编制工作基础性、创新性和前瞻性研究。</w:t>
      </w:r>
    </w:p>
    <w:p>
      <w:pPr>
        <w:pStyle w:val="18"/>
      </w:pPr>
      <w:r>
        <w:t>（二）组织拟订全市行政管理体制改革和市委、市政府机构改革方案并组织实施。负责全市行政管理体制和机构改革以及机构编制管理工作；负责行政执法体制改革工作。</w:t>
      </w:r>
    </w:p>
    <w:p>
      <w:pPr>
        <w:pStyle w:val="18"/>
      </w:pPr>
      <w:r>
        <w:t>（三）按照规定权限，负责全市党政群机关、部门派出机构、乡镇（街道）的职能配置、机构设置、人员编制和领导职数管理工作；负责协调市委、市政府各部门职能配置及其调整，协调市委、市政府各部门之间以及市直部门与乡镇（街道）之间职责分工；负责需要承办的省以下垂直管理部门或双重管理部门（单位）机构编制有关工作。</w:t>
      </w:r>
    </w:p>
    <w:p>
      <w:pPr>
        <w:pStyle w:val="18"/>
      </w:pPr>
      <w:r>
        <w:t>（四）组织拟订全市事业单位管理体制改革和机构改革方案。拟订各类事业单位人员编制管理规定并组织实施。按照规定权限，负责市委直属事业单位和市直部门所属事业单位的职能配置、机构设置、人员编制和领导职数管理工作。</w:t>
      </w:r>
    </w:p>
    <w:p>
      <w:pPr>
        <w:pStyle w:val="18"/>
      </w:pPr>
      <w:r>
        <w:t>（五）负责乡镇（街道）行政管理体制改革、事业单位管理体制改革和机构改革工作，审核机构改革方案。负责机构编制分类；负责党政群机关副科级以上行政机构、事业单位和新设事业单位报批工作。</w:t>
      </w:r>
    </w:p>
    <w:p>
      <w:pPr>
        <w:pStyle w:val="18"/>
      </w:pPr>
      <w:r>
        <w:t>（六）负责全市党政群机关统一社会信用代码赋码管理工作，负责全市事业单位法人登记管理和监督检查工作。</w:t>
      </w:r>
    </w:p>
    <w:p>
      <w:pPr>
        <w:pStyle w:val="18"/>
      </w:pPr>
      <w:r>
        <w:t>（七）负责开发区（园区）行政管理体制改革工作。贯彻落实开发区（园区）机构编制管理办法；负责开发区（园区）职能配置、机构设置、人员编制和领导职数审核及上报工作。</w:t>
      </w:r>
    </w:p>
    <w:p>
      <w:pPr>
        <w:pStyle w:val="18"/>
      </w:pPr>
      <w:r>
        <w:t>（八）负责全市机构编制的总量控制、动态管理。组织拟订年度编制使用计划、机关事业单位招录、招聘和政策性安置等计划；负责机关事业单位编制使用核准；负责机构编制实名制管理工作；建立健全机构编制部门与有关部门的协调配合约束机制。</w:t>
      </w:r>
    </w:p>
    <w:p>
      <w:pPr>
        <w:pStyle w:val="18"/>
      </w:pPr>
      <w:r>
        <w:t>（九）负责跟踪评估、监督检查全市行政、事业单位管理体制改革、机构改革及机构编制政策执行情况；负责受理违反机构编制法规、纪律的检举、控告和投诉，对违反机构编制法规、纪律问题进行调查处理。</w:t>
      </w:r>
    </w:p>
    <w:p>
      <w:pPr>
        <w:pStyle w:val="18"/>
      </w:pPr>
      <w:r>
        <w:t>（十）负责全市机构编制电子政务和信息化工作。负责全市机构编制统计工作；负责机构编制网站的管理、使用和维护；负责党政群机关、事业单位和其他非营利性单位网上名称管理工作。</w:t>
      </w:r>
    </w:p>
    <w:p>
      <w:pPr>
        <w:pStyle w:val="18"/>
      </w:pPr>
      <w:r>
        <w:t>（十一）完成市委、市政府和市委机构编制委员会交办的其他任务。</w:t>
      </w:r>
    </w:p>
    <w:p>
      <w:pPr>
        <w:pStyle w:val="18"/>
      </w:pPr>
      <w:r>
        <w:t>（十二）有关职责分工。</w:t>
      </w:r>
    </w:p>
    <w:p>
      <w:pPr>
        <w:pStyle w:val="18"/>
      </w:pPr>
      <w:r>
        <w:t>市委编办负责全市公益类事业单位管理体制改革工作。市发展和改革局负责生产经营类事业单位管理体制改革工作。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中国共产党新乐市委员会机构编制委员会办公室本级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按照预算管理有关规定，目前部门预算的编制实行综合预算管理，即全部收入和支出都反映在预算中。中国共产党新乐市委员会机构编制委员会办公室机关及所属事业单位的收支包含在部门预算中。</w:t>
      </w:r>
    </w:p>
    <w:p>
      <w:pPr>
        <w:pStyle w:val="19"/>
      </w:pPr>
      <w:r>
        <w:t>1、收入说明</w:t>
      </w:r>
    </w:p>
    <w:p>
      <w:pPr>
        <w:pStyle w:val="19"/>
      </w:pPr>
      <w:r>
        <w:t>反映本部门当年全部收入。2024年预算收入110.02万元，其中：一般公共预算收入110.02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国共产党新乐市委员会机构编制委员会办公室年度部门预算中支出预算的总体情况。2024年支出预算110.02万元，其中基本支出110.02万元，包括人员经费98.69万元和日常公用经费11.33万元；项目支出0.00万元，主要为未安排项目支出。</w:t>
      </w:r>
    </w:p>
    <w:p>
      <w:pPr>
        <w:pStyle w:val="19"/>
      </w:pPr>
      <w:r>
        <w:t>3、比上年增减情况</w:t>
      </w:r>
    </w:p>
    <w:p>
      <w:pPr>
        <w:pStyle w:val="19"/>
      </w:pPr>
      <w:r>
        <w:t>2024年预算收支安排110.02万元，较2023年预算减少7.74万元，其中：基本支出增加3.26万元，主要为人员工资等相关费用增加。项目支出减少11.00万元，主要为节约经费，未安排项目支出。</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6"/>
      </w:pPr>
      <w:r>
        <w:t>202</w:t>
      </w:r>
      <w:r>
        <w:rPr>
          <w:rFonts w:hint="eastAsia"/>
          <w:lang w:val="en-US" w:eastAsia="zh-CN"/>
        </w:rPr>
        <w:t>4</w:t>
      </w:r>
      <w:r>
        <w:t>年，</w:t>
      </w:r>
      <w:r>
        <w:rPr>
          <w:rFonts w:hint="eastAsia"/>
          <w:lang w:val="en-US" w:eastAsia="zh-CN"/>
        </w:rPr>
        <w:t>我单位</w:t>
      </w:r>
      <w:r>
        <w:t>机关运行经费共计安排</w:t>
      </w:r>
      <w:r>
        <w:rPr>
          <w:rFonts w:hint="eastAsia"/>
          <w:lang w:val="en-US" w:eastAsia="zh-CN"/>
        </w:rPr>
        <w:t>11.33</w:t>
      </w:r>
      <w:r>
        <w:t>万元，主要用于</w:t>
      </w:r>
      <w:r>
        <w:rPr>
          <w:rFonts w:hint="eastAsia"/>
          <w:lang w:val="en-US" w:eastAsia="zh-CN"/>
        </w:rPr>
        <w:t>日常维修、办公用房水电费、办公用房取暖费、办公用房物业管理费</w:t>
      </w:r>
      <w:r>
        <w:t>等</w:t>
      </w:r>
      <w:r>
        <w:rPr>
          <w:rFonts w:hint="eastAsia"/>
          <w:lang w:val="en-US" w:eastAsia="zh-CN"/>
        </w:rPr>
        <w:t>日常运行</w:t>
      </w:r>
      <w:r>
        <w:t>支出。</w:t>
      </w:r>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相比持平，无增减变化，中央厉行节约的原则，预算中“三公”经费安排。</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坚持以习近平新时代中国特色社会主义思想为指导，深入学习贯彻党的二十大和二十届二中全会精神，紧紧围绕市委“解放思想比实干、争先创优做贡献”总体要求，锚定主业、担当作为，深化重点领域体制机制改革，不断创新机构编制管理，统筹配置机构编制资源，守正创新、事争一流，奋力推动机构编制工作高质量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1、做好新一轮党政机构改革实施工作</w:t>
      </w:r>
    </w:p>
    <w:p>
      <w:pPr>
        <w:pStyle w:val="23"/>
      </w:pPr>
      <w:r>
        <w:t>绩效目标：市县机构改革指导意见印发出台后，研究起草我市机构改革工作方案和实施方案。</w:t>
      </w:r>
    </w:p>
    <w:p>
      <w:pPr>
        <w:pStyle w:val="23"/>
      </w:pPr>
      <w:r>
        <w:t>绩效指标：一是厘清调整优化党政机构设置和职能配置的思路举措；二是按照机构编制管理权限和程序审议、报批后，按照上级统一部署和要求，抓好改革组织实施、评估验收等工作。</w:t>
      </w:r>
    </w:p>
    <w:p>
      <w:pPr>
        <w:pStyle w:val="23"/>
      </w:pPr>
      <w:r>
        <w:t>2、精简规范和优化调整议事协调机构</w:t>
      </w:r>
    </w:p>
    <w:p>
      <w:pPr>
        <w:pStyle w:val="23"/>
      </w:pPr>
      <w:r>
        <w:t>绩效目标：做好议事协调机构摸底评估、清理规范工作。</w:t>
      </w:r>
    </w:p>
    <w:p>
      <w:pPr>
        <w:pStyle w:val="23"/>
      </w:pPr>
      <w:r>
        <w:t>绩效指标：一是党中央及法律法规规定占机构限额设置的议事协调机构，继续保留；二是确需设置的报上级审批；三是任务已完成长期空转不议事的，进行撤销，并明确职责承接部门，推动相关工作规范运行。</w:t>
      </w:r>
    </w:p>
    <w:p>
      <w:pPr>
        <w:pStyle w:val="23"/>
      </w:pPr>
      <w:r>
        <w:t>3、进一步深化行政执法体制改革</w:t>
      </w:r>
    </w:p>
    <w:p>
      <w:pPr>
        <w:pStyle w:val="23"/>
      </w:pPr>
      <w:r>
        <w:t>绩效目标：压实政府部门的行政执法主体责任。</w:t>
      </w:r>
    </w:p>
    <w:p>
      <w:pPr>
        <w:pStyle w:val="23"/>
      </w:pPr>
      <w:r>
        <w:t>绩效指标：一是推动行政执法职能回归机关，进一步减少执法层级、归并执法队伍、下沉执法力量、理顺职责关系；二是要继续控制规模、优化结构、提升质量，进一步减少执法队伍种类，除中央明确的综合行政执法队伍外，原则上不设其他行政执法队伍。</w:t>
      </w:r>
    </w:p>
    <w:p>
      <w:pPr>
        <w:pStyle w:val="23"/>
      </w:pPr>
      <w:r>
        <w:t>4、调整完善乡镇（街道）机构设置和管理体制</w:t>
      </w:r>
    </w:p>
    <w:p>
      <w:pPr>
        <w:pStyle w:val="23"/>
      </w:pPr>
      <w:r>
        <w:t>绩效目标：聚焦党的建设、经济发展、民生服务、平安法治等最基本、最关键的职能。</w:t>
      </w:r>
    </w:p>
    <w:p>
      <w:pPr>
        <w:pStyle w:val="23"/>
      </w:pPr>
      <w:r>
        <w:t>绩效指标：一是在机构设置限额内进一步优化设置乡镇（街道）内设机构和人员编制，持续推动服务资源向基层下沉；二是将基层能接得住也能正常履行的事项依法下沉乡镇（街道），同步下沉相关资源。</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组织领导，完善绩效制度。建立统筹协调、分工协作、密切配合、合力推进的工作机制。将事前论证、目标管理、运行监控、绩效评价、结果应用等各项措施，贯穿于预算管理的全过程，建立健全机构编制预算绩效管理制度。围绕年度总体绩效目标和分类绩效目标，细化工作方案，明确责任主体、实施进度监控，制定各类资金使用和管理办法，确保资金支出有序进行，为全年预算绩效目标的实现奠定制度基础。</w:t>
      </w:r>
    </w:p>
    <w:p>
      <w:pPr>
        <w:pStyle w:val="24"/>
      </w:pPr>
      <w:r>
        <w:t>2、加强日常支出管理。按照“谁花钱、谁负责、谁举证”的原则，实现花钱必问效，确保财务与业务工作紧密衔接。按要求积极开展预算绩效中期评估、终极绩效评价，根据评价结果进行整改，确保绩效目标顺利实现。</w:t>
      </w:r>
    </w:p>
    <w:p>
      <w:pPr>
        <w:pStyle w:val="24"/>
      </w:pPr>
      <w:r>
        <w:t>3、加强绩效运行监控。按要求开展绩效运行监控，全程跟踪预算执行进度，对执行中发现问题及时采取措施，确保绩效目标如期保质实现。</w:t>
      </w:r>
    </w:p>
    <w:p>
      <w:pPr>
        <w:pStyle w:val="24"/>
      </w:pPr>
      <w:r>
        <w:t>4、规范财务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pPr>
        <w:pStyle w:val="24"/>
      </w:pPr>
      <w:r>
        <w:t>5、加强内部监督管理。注重内部监督制度建设，确保财政资金安全有效，最大限度发挥财政资金使用效益。</w:t>
      </w:r>
    </w:p>
    <w:p>
      <w:pPr>
        <w:pStyle w:val="24"/>
        <w:sectPr>
          <w:pgSz w:w="16840" w:h="11900" w:orient="landscape"/>
          <w:pgMar w:top="1361" w:right="1020" w:bottom="1361" w:left="1020" w:header="720" w:footer="720" w:gutter="0"/>
          <w:cols w:space="720" w:num="1"/>
        </w:sectPr>
      </w:pPr>
      <w:r>
        <w:t>6、加强人才队伍建设。面对新的经济社会发展形势，机构编制部门工作人员要加强对新政策的学习、新问题的研究，用新的理论武装头脑，更新知识理论体系，探索解决新问题的方式方法。在学习锻炼中，增强自身素质，提高解决问题的能力，促进干部队伍整体进步。</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pPr>
    </w:p>
    <w:p>
      <w:pPr>
        <w:numPr>
          <w:ilvl w:val="0"/>
          <w:numId w:val="0"/>
        </w:numPr>
        <w:spacing w:before="10" w:after="10" w:line="240" w:lineRule="auto"/>
        <w:ind w:firstLine="560" w:firstLineChars="200"/>
        <w:jc w:val="left"/>
        <w:outlineLvl w:val="5"/>
        <w:rPr>
          <w:rFonts w:hint="eastAsia" w:eastAsia="方正仿宋_GBK" w:cs="Times New Roman"/>
          <w:sz w:val="28"/>
          <w:szCs w:val="24"/>
          <w:lang w:val="en-US" w:eastAsia="zh-CN" w:bidi="ar-SA"/>
        </w:rPr>
      </w:pPr>
      <w:r>
        <w:rPr>
          <w:rFonts w:hint="eastAsia" w:eastAsia="方正仿宋_GBK" w:cs="Times New Roman"/>
          <w:sz w:val="28"/>
          <w:szCs w:val="24"/>
          <w:lang w:val="en-US" w:eastAsia="zh-CN" w:bidi="ar-SA"/>
        </w:rPr>
        <w:t>无专项资金预算安排</w:t>
      </w:r>
    </w:p>
    <w:p>
      <w:pPr>
        <w:numPr>
          <w:ilvl w:val="0"/>
          <w:numId w:val="0"/>
        </w:numPr>
        <w:spacing w:before="10" w:after="10" w:line="240" w:lineRule="auto"/>
        <w:jc w:val="left"/>
        <w:outlineLvl w:val="5"/>
        <w:rPr>
          <w:rFonts w:hint="default" w:eastAsia="方正仿宋_GBK" w:cs="Times New Roman"/>
          <w:sz w:val="28"/>
          <w:szCs w:val="24"/>
          <w:lang w:val="en-US" w:eastAsia="zh-CN" w:bidi="ar-SA"/>
        </w:rPr>
        <w:sectPr>
          <w:pgSz w:w="16840" w:h="11900" w:orient="landscape"/>
          <w:pgMar w:top="1361" w:right="1020" w:bottom="1361" w:left="1020" w:header="720" w:footer="720" w:gutter="0"/>
          <w:cols w:space="720" w:num="1"/>
        </w:sectPr>
      </w:pPr>
    </w:p>
    <w:p>
      <w:pPr>
        <w:spacing w:before="10" w:after="10" w:line="360" w:lineRule="auto"/>
        <w:ind w:firstLine="64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七、部门项目预算安排情况及绩效目标</w:t>
      </w:r>
      <w:bookmarkEnd w:id="15"/>
    </w:p>
    <w:p>
      <w:pPr>
        <w:spacing w:before="10" w:after="10" w:line="360" w:lineRule="auto"/>
        <w:ind w:firstLine="640"/>
        <w:jc w:val="left"/>
        <w:outlineLvl w:val="2"/>
        <w:rPr>
          <w:rFonts w:ascii="黑体" w:hAnsi="黑体" w:eastAsia="黑体" w:cs="黑体"/>
          <w:color w:val="000000"/>
          <w:sz w:val="32"/>
        </w:rPr>
      </w:pPr>
    </w:p>
    <w:p>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无专项资金预算安排</w:t>
      </w: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225中国共产党新乐市委员会机构编制委员会办公室</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注：无政府采购预算，空表列示。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jc w:val="left"/>
        <w:outlineLvl w:val="9"/>
        <w:rPr>
          <w:rFonts w:ascii="方正书宋_GBK" w:hAnsi="方正书宋_GBK" w:eastAsia="方正书宋_GBK" w:cs="方正书宋_GBK"/>
          <w:color w:val="000000"/>
          <w:sz w:val="21"/>
        </w:rPr>
      </w:pPr>
    </w:p>
    <w:p>
      <w:pPr>
        <w:spacing w:before="0" w:after="0" w:line="240" w:lineRule="auto"/>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中国共产党新乐市委员会机构编制委员会办公室（含所属单位）上年末固定资产金额为</w:t>
      </w:r>
      <w:r>
        <w:rPr>
          <w:rFonts w:hint="eastAsia" w:eastAsia="方正仿宋_GBK" w:cs="Times New Roman"/>
          <w:b w:val="0"/>
          <w:color w:val="000000"/>
          <w:sz w:val="28"/>
          <w:lang w:val="en-US" w:eastAsia="zh-CN"/>
        </w:rPr>
        <w:t>6</w:t>
      </w:r>
      <w:r>
        <w:rPr>
          <w:rFonts w:ascii="Times New Roman" w:hAnsi="Times New Roman" w:eastAsia="方正仿宋_GBK" w:cs="Times New Roman"/>
          <w:b w:val="0"/>
          <w:color w:val="000000"/>
          <w:sz w:val="28"/>
        </w:rPr>
        <w:t>.</w:t>
      </w:r>
      <w:r>
        <w:rPr>
          <w:rFonts w:hint="eastAsia" w:eastAsia="方正仿宋_GBK" w:cs="Times New Roman"/>
          <w:b w:val="0"/>
          <w:color w:val="000000"/>
          <w:sz w:val="28"/>
          <w:lang w:val="en-US" w:eastAsia="zh-CN"/>
        </w:rPr>
        <w:t>42</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部门固定资产占用情况表</w:t>
      </w:r>
    </w:p>
    <w:p>
      <w:pPr>
        <w:spacing w:before="0" w:after="0" w:line="240" w:lineRule="auto"/>
        <w:ind w:firstLine="0"/>
        <w:jc w:val="center"/>
        <w:outlineLvl w:val="9"/>
        <w:rPr>
          <w:rFonts w:ascii="方正小标宋_GBK" w:hAnsi="方正小标宋_GBK" w:eastAsia="方正小标宋_GBK" w:cs="方正小标宋_GBK"/>
          <w:color w:val="000000"/>
          <w:sz w:val="36"/>
        </w:rPr>
      </w:pP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98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bottom w:val="single" w:color="FFFFFF" w:sz="6" w:space="0"/>
              <w:right w:val="single" w:color="FFFFFF" w:sz="6" w:space="0"/>
            </w:tcBorders>
            <w:vAlign w:val="center"/>
          </w:tcPr>
          <w:p>
            <w:pPr>
              <w:pStyle w:val="10"/>
            </w:pPr>
            <w:r>
              <w:t>225中国共产党新乐市委员会机构编制委员会办公室</w:t>
            </w:r>
          </w:p>
        </w:tc>
        <w:tc>
          <w:tcPr>
            <w:tcW w:w="9866" w:type="dxa"/>
            <w:tcBorders>
              <w:top w:val="single" w:color="FFFFFF" w:sz="6" w:space="0"/>
              <w:left w:val="single" w:color="FFFFFF" w:sz="6" w:space="0"/>
              <w:bottom w:val="single" w:color="FFFFFF" w:sz="6" w:space="0"/>
              <w:right w:val="single" w:color="FFFFFF" w:sz="6" w:space="0"/>
            </w:tcBorders>
            <w:vAlign w:val="center"/>
          </w:tcPr>
          <w:p>
            <w:pPr>
              <w:pStyle w:val="8"/>
            </w:pPr>
            <w:r>
              <w:t>截止时间：202</w:t>
            </w:r>
            <w:r>
              <w:rPr>
                <w:rFonts w:hint="eastAsia"/>
                <w:lang w:val="en-US" w:eastAsia="zh-CN"/>
              </w:rPr>
              <w:t>3</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p>
        </w:tc>
        <w:tc>
          <w:tcPr>
            <w:tcW w:w="9866" w:type="dxa"/>
            <w:tcBorders>
              <w:top w:val="single" w:color="FFFFFF" w:sz="6" w:space="0"/>
              <w:left w:val="single" w:color="FFFFFF" w:sz="6" w:space="0"/>
              <w:right w:val="single" w:color="FFFFFF" w:sz="6" w:space="0"/>
            </w:tcBorders>
            <w:vAlign w:val="center"/>
          </w:tcPr>
          <w:p>
            <w:pPr>
              <w:pStyle w:val="8"/>
            </w:pPr>
          </w:p>
        </w:tc>
      </w:tr>
    </w:tbl>
    <w:p>
      <w:pPr>
        <w:spacing w:before="0" w:after="0" w:line="240" w:lineRule="auto"/>
        <w:ind w:firstLine="0"/>
        <w:jc w:val="both"/>
        <w:outlineLvl w:val="9"/>
        <w:rPr>
          <w:rFonts w:ascii="方正小标宋_GBK" w:hAnsi="方正小标宋_GBK" w:eastAsia="方正小标宋_GBK" w:cs="方正小标宋_GBK"/>
          <w:color w:val="000000"/>
          <w:sz w:val="36"/>
        </w:rPr>
      </w:pP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6.</w:t>
            </w:r>
            <w:r>
              <w:rPr>
                <w:rFonts w:hint="eastAsia"/>
                <w:lang w:val="en-US" w:eastAsia="zh-CN"/>
              </w:rPr>
              <w:t>4</w:t>
            </w:r>
            <w: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　　其中：办公用房（平方米）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18</w:t>
            </w:r>
          </w:p>
        </w:tc>
        <w:tc>
          <w:tcPr>
            <w:tcW w:w="4933" w:type="dxa"/>
            <w:vAlign w:val="center"/>
          </w:tcPr>
          <w:p>
            <w:pPr>
              <w:pStyle w:val="12"/>
            </w:pPr>
            <w:r>
              <w:t>6.</w:t>
            </w:r>
            <w:r>
              <w:rPr>
                <w:rFonts w:hint="eastAsia"/>
                <w:lang w:val="en-US" w:eastAsia="zh-CN"/>
              </w:rPr>
              <w:t>4</w:t>
            </w:r>
            <w:r>
              <w:t>2</w:t>
            </w:r>
          </w:p>
        </w:tc>
      </w:tr>
    </w:tbl>
    <w:p>
      <w:pPr>
        <w:spacing w:before="0" w:after="0" w:line="240" w:lineRule="auto"/>
        <w:jc w:val="left"/>
        <w:outlineLvl w:val="9"/>
      </w:pP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Y3M2QzNDYyMDY0MTExNjlhMjhjZjdkMDMzZTczNTQifQ=="/>
  </w:docVars>
  <w:rsids>
    <w:rsidRoot w:val="00000000"/>
    <w:rsid w:val="0E576B53"/>
    <w:rsid w:val="25C04100"/>
    <w:rsid w:val="2B563421"/>
    <w:rsid w:val="4B61573F"/>
    <w:rsid w:val="607E12CC"/>
    <w:rsid w:val="62ED2216"/>
    <w:rsid w:val="70597F1B"/>
    <w:rsid w:val="7814787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2024-03-26T15:26:20Z</dcterms:created>
  <dcterms:modified xsi:type="dcterms:W3CDTF">2024-03-26T07:26:20Z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2024-03-26T15:26:20Z</dcterms:created>
  <dcterms:modified xsi:type="dcterms:W3CDTF">2024-03-26T07:26:20Z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2024-03-26T15:26:19Z</dcterms:created>
  <dcterms:modified xsi:type="dcterms:W3CDTF">2024-03-26T07:26:18Z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2024-03-26T15:26:19Z</dcterms:created>
  <dcterms:modified xsi:type="dcterms:W3CDTF">2024-03-26T07:26:19Z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b6a5972-f3db-4f0a-a24d-37b097f2714c}">
  <ds:schemaRefs/>
</ds:datastoreItem>
</file>

<file path=customXml/itemProps2.xml><?xml version="1.0" encoding="utf-8"?>
<ds:datastoreItem xmlns:ds="http://schemas.openxmlformats.org/officeDocument/2006/customXml" ds:itemID="{4ec9bdac-2938-40af-a042-8939b6978546}">
  <ds:schemaRefs/>
</ds:datastoreItem>
</file>

<file path=customXml/itemProps3.xml><?xml version="1.0" encoding="utf-8"?>
<ds:datastoreItem xmlns:ds="http://schemas.openxmlformats.org/officeDocument/2006/customXml" ds:itemID="{56e6eaee-ac50-4fcd-9be3-85794e35ffda}">
  <ds:schemaRefs/>
</ds:datastoreItem>
</file>

<file path=customXml/itemProps4.xml><?xml version="1.0" encoding="utf-8"?>
<ds:datastoreItem xmlns:ds="http://schemas.openxmlformats.org/officeDocument/2006/customXml" ds:itemID="{aab316d3-fb00-4df8-84f2-9bb8e5edc317}">
  <ds:schemaRefs/>
</ds:datastoreItem>
</file>

<file path=customXml/itemProps5.xml><?xml version="1.0" encoding="utf-8"?>
<ds:datastoreItem xmlns:ds="http://schemas.openxmlformats.org/officeDocument/2006/customXml" ds:itemID="{3e8f8b61-b93b-4645-9191-2d5d3b9c0316}">
  <ds:schemaRefs/>
</ds:datastoreItem>
</file>

<file path=customXml/itemProps6.xml><?xml version="1.0" encoding="utf-8"?>
<ds:datastoreItem xmlns:ds="http://schemas.openxmlformats.org/officeDocument/2006/customXml" ds:itemID="{8a5fed06-7d3f-44dd-b1ef-9a741ffd681f}">
  <ds:schemaRefs/>
</ds:datastoreItem>
</file>

<file path=customXml/itemProps7.xml><?xml version="1.0" encoding="utf-8"?>
<ds:datastoreItem xmlns:ds="http://schemas.openxmlformats.org/officeDocument/2006/customXml" ds:itemID="{8a2cdfc5-90f2-481d-a9e7-1625f2a46b2d}">
  <ds:schemaRefs/>
</ds:datastoreItem>
</file>

<file path=customXml/itemProps8.xml><?xml version="1.0" encoding="utf-8"?>
<ds:datastoreItem xmlns:ds="http://schemas.openxmlformats.org/officeDocument/2006/customXml" ds:itemID="{dc940560-97d0-437b-97a8-a8e63e554125}">
  <ds:schemaRefs/>
</ds:datastoreItem>
</file>

<file path=docProps/app.xml><?xml version="1.0" encoding="utf-8"?>
<Properties xmlns="http://schemas.openxmlformats.org/officeDocument/2006/extended-properties" xmlns:vt="http://schemas.openxmlformats.org/officeDocument/2006/docPropsVTypes">
  <Pages>39</Pages>
  <Words>7638</Words>
  <Characters>8823</Characters>
  <TotalTime>121</TotalTime>
  <ScaleCrop>false</ScaleCrop>
  <LinksUpToDate>false</LinksUpToDate>
  <CharactersWithSpaces>8946</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2024-03-26T15:26:00Z</dcterms:created>
  <dc:creator>YSK</dc:creator>
  <cp:lastModifiedBy>Administrator</cp:lastModifiedBy>
  <dcterms:modified xsi:type="dcterms:W3CDTF">2025-09-11T09:12:26Z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DA6C5649322540AD9528D6F6E9B44351</vt:lpwstr>
  </property>
</Properties>
</file>