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2"/>
        <w:tabs>
          <w:tab w:val="right" w:leader="dot" w:pos="14800"/>
        </w:tabs>
      </w:pPr>
      <w:r>
        <w:rPr>
          <w:b/>
          <w:bCs/>
        </w:rPr>
        <w:fldChar w:fldCharType="begin"/>
      </w:r>
      <w:r>
        <w:instrText xml:space="preserve"> HYPERLINK \l _Toc7175 </w:instrText>
      </w:r>
      <w:r>
        <w:rPr>
          <w:b/>
          <w:bCs/>
        </w:rPr>
        <w:fldChar w:fldCharType="separate"/>
      </w:r>
      <w:sdt>
        <w:sdtPr>
          <w:rPr>
            <w:rFonts w:ascii="方正楷体_GBK" w:hAnsi="方正楷体_GBK" w:eastAsia="方正楷体_GBK" w:cs="方正楷体_GBK"/>
            <w:b/>
            <w:color w:val="000000"/>
            <w:kern w:val="0"/>
            <w:sz w:val="28"/>
            <w:szCs w:val="24"/>
            <w:lang w:val="en-US" w:eastAsia="zh-CN" w:bidi="ar-SA"/>
          </w:rPr>
          <w:id w:val="147464276"/>
          <w:placeholder>
            <w:docPart w:val="{a9f35a14-6853-4419-84fd-dd61b7f11a52}"/>
          </w:placeholder>
        </w:sdtPr>
        <w:sdtEndPr>
          <w:rPr>
            <w:rFonts w:asciiTheme="minorHAnsi" w:hAnsiTheme="minorHAnsi" w:eastAsiaTheme="minorEastAsia" w:cstheme="minorBidi"/>
            <w:b/>
            <w:bCs/>
            <w:color w:val="000000"/>
            <w:kern w:val="2"/>
            <w:sz w:val="21"/>
            <w:szCs w:val="24"/>
            <w:lang w:val="en-US" w:eastAsia="zh-CN" w:bidi="ar-SA"/>
          </w:rPr>
        </w:sdtEndPr>
        <w:sdtContent>
          <w:r>
            <w:rPr>
              <w:rFonts w:hint="eastAsia" w:ascii="方正楷体_GBK" w:hAnsi="方正楷体_GBK" w:eastAsia="方正楷体_GBK" w:cs="方正楷体_GBK"/>
              <w:b/>
              <w:color w:val="000000"/>
              <w:kern w:val="0"/>
              <w:sz w:val="28"/>
              <w:szCs w:val="24"/>
              <w:lang w:val="en-US" w:eastAsia="uk-UA" w:bidi="ar-SA"/>
            </w:rPr>
            <w:t>单位预算公开表</w:t>
          </w:r>
        </w:sdtContent>
      </w:sdt>
      <w:r>
        <w:rPr>
          <w:b/>
          <w:bCs/>
        </w:rPr>
        <w:fldChar w:fldCharType="end"/>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_Toc7901 </w:instrText>
      </w:r>
      <w:r>
        <w:rPr>
          <w:kern w:val="0"/>
          <w:lang w:eastAsia="uk-UA"/>
        </w:rPr>
        <w:fldChar w:fldCharType="separate"/>
      </w:r>
      <w:sdt>
        <w:sdtPr>
          <w:rPr>
            <w:kern w:val="0"/>
            <w:lang w:val="en-US" w:eastAsia="zh-CN"/>
          </w:rPr>
          <w:id w:val="147464276"/>
          <w:placeholder>
            <w:docPart w:val="{38bed3e3-9290-4f29-9cdd-c71dff097601}"/>
          </w:placeholder>
        </w:sdtPr>
        <w:sdtEndPr>
          <w:rPr>
            <w:kern w:val="0"/>
            <w:lang w:val="en-US" w:eastAsia="zh-CN"/>
          </w:rPr>
        </w:sdtEndPr>
        <w:sdtContent>
          <w:r>
            <w:rPr>
              <w:kern w:val="0"/>
              <w:lang w:eastAsia="uk-UA"/>
            </w:rPr>
            <w:t>单位预算收支总表</w:t>
          </w:r>
        </w:sdtContent>
      </w:sdt>
      <w:r>
        <w:rPr>
          <w:kern w:val="0"/>
          <w:lang w:eastAsia="uk-UA"/>
        </w:rPr>
        <w:tab/>
      </w:r>
      <w:r>
        <w:rPr>
          <w:rFonts w:hint="eastAsia"/>
          <w:kern w:val="0"/>
          <w:lang w:val="en-US" w:eastAsia="zh-CN"/>
        </w:rPr>
        <w:t>1</w:t>
      </w:r>
      <w:r>
        <w:rPr>
          <w:kern w:val="0"/>
          <w:lang w:eastAsia="uk-UA"/>
        </w:rPr>
        <w:fldChar w:fldCharType="end"/>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_Toc13416 </w:instrText>
      </w:r>
      <w:r>
        <w:rPr>
          <w:kern w:val="0"/>
          <w:lang w:eastAsia="uk-UA"/>
        </w:rPr>
        <w:fldChar w:fldCharType="separate"/>
      </w:r>
      <w:sdt>
        <w:sdtPr>
          <w:rPr>
            <w:kern w:val="0"/>
            <w:lang w:val="en-US" w:eastAsia="zh-CN"/>
          </w:rPr>
          <w:id w:val="147464276"/>
          <w:placeholder>
            <w:docPart w:val="{00f07fe4-6d32-4c6d-b2b3-8f8fa63fe99e}"/>
          </w:placeholder>
        </w:sdtPr>
        <w:sdtEndPr>
          <w:rPr>
            <w:kern w:val="0"/>
            <w:lang w:val="en-US" w:eastAsia="zh-CN"/>
          </w:rPr>
        </w:sdtEndPr>
        <w:sdtContent>
          <w:r>
            <w:rPr>
              <w:kern w:val="0"/>
              <w:lang w:eastAsia="uk-UA"/>
            </w:rPr>
            <w:t>单位预算收入总表</w:t>
          </w:r>
        </w:sdtContent>
      </w:sdt>
      <w:r>
        <w:rPr>
          <w:kern w:val="0"/>
          <w:lang w:eastAsia="uk-UA"/>
        </w:rPr>
        <w:tab/>
      </w:r>
      <w:r>
        <w:rPr>
          <w:rFonts w:hint="eastAsia"/>
          <w:kern w:val="0"/>
          <w:lang w:val="en-US" w:eastAsia="zh-CN"/>
        </w:rPr>
        <w:t>4</w:t>
      </w:r>
      <w:r>
        <w:rPr>
          <w:kern w:val="0"/>
          <w:lang w:eastAsia="uk-UA"/>
        </w:rPr>
        <w:fldChar w:fldCharType="end"/>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_Toc4689 </w:instrText>
      </w:r>
      <w:r>
        <w:rPr>
          <w:kern w:val="0"/>
          <w:lang w:eastAsia="uk-UA"/>
        </w:rPr>
        <w:fldChar w:fldCharType="separate"/>
      </w:r>
      <w:sdt>
        <w:sdtPr>
          <w:rPr>
            <w:kern w:val="0"/>
            <w:lang w:val="en-US" w:eastAsia="zh-CN"/>
          </w:rPr>
          <w:id w:val="147464276"/>
          <w:placeholder>
            <w:docPart w:val="{89888dbe-feb5-4c93-b15d-83884fcc6870}"/>
          </w:placeholder>
        </w:sdtPr>
        <w:sdtEndPr>
          <w:rPr>
            <w:kern w:val="0"/>
            <w:lang w:val="en-US" w:eastAsia="zh-CN"/>
          </w:rPr>
        </w:sdtEndPr>
        <w:sdtContent>
          <w:r>
            <w:rPr>
              <w:kern w:val="0"/>
              <w:lang w:eastAsia="uk-UA"/>
            </w:rPr>
            <w:t>单位预算支出总表</w:t>
          </w:r>
        </w:sdtContent>
      </w:sdt>
      <w:r>
        <w:rPr>
          <w:kern w:val="0"/>
          <w:lang w:eastAsia="uk-UA"/>
        </w:rPr>
        <w:tab/>
      </w:r>
      <w:r>
        <w:rPr>
          <w:rFonts w:hint="eastAsia"/>
          <w:kern w:val="0"/>
          <w:lang w:val="en-US" w:eastAsia="zh-CN"/>
        </w:rPr>
        <w:t>9</w:t>
      </w:r>
      <w:r>
        <w:rPr>
          <w:kern w:val="0"/>
          <w:lang w:eastAsia="uk-UA"/>
        </w:rPr>
        <w:fldChar w:fldCharType="end"/>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_Toc31017 </w:instrText>
      </w:r>
      <w:r>
        <w:rPr>
          <w:kern w:val="0"/>
          <w:lang w:eastAsia="uk-UA"/>
        </w:rPr>
        <w:fldChar w:fldCharType="separate"/>
      </w:r>
      <w:sdt>
        <w:sdtPr>
          <w:rPr>
            <w:kern w:val="0"/>
            <w:lang w:val="en-US" w:eastAsia="zh-CN"/>
          </w:rPr>
          <w:id w:val="147464276"/>
          <w:placeholder>
            <w:docPart w:val="{050b8246-e7a9-4349-9550-737e58c24764}"/>
          </w:placeholder>
        </w:sdtPr>
        <w:sdtEndPr>
          <w:rPr>
            <w:kern w:val="0"/>
            <w:lang w:val="en-US" w:eastAsia="zh-CN"/>
          </w:rPr>
        </w:sdtEndPr>
        <w:sdtContent>
          <w:r>
            <w:rPr>
              <w:kern w:val="0"/>
              <w:lang w:eastAsia="uk-UA"/>
            </w:rPr>
            <w:t>单位预算财政拨款收支总表</w:t>
          </w:r>
        </w:sdtContent>
      </w:sdt>
      <w:r>
        <w:rPr>
          <w:kern w:val="0"/>
          <w:lang w:eastAsia="uk-UA"/>
        </w:rPr>
        <w:tab/>
      </w:r>
      <w:r>
        <w:rPr>
          <w:kern w:val="0"/>
          <w:lang w:eastAsia="uk-UA"/>
        </w:rPr>
        <w:t>1</w:t>
      </w:r>
      <w:r>
        <w:rPr>
          <w:rFonts w:hint="eastAsia"/>
          <w:kern w:val="0"/>
          <w:lang w:val="en-US" w:eastAsia="zh-CN"/>
        </w:rPr>
        <w:t>2</w:t>
      </w:r>
      <w:r>
        <w:rPr>
          <w:kern w:val="0"/>
          <w:lang w:eastAsia="uk-UA"/>
        </w:rPr>
        <w:fldChar w:fldCharType="end"/>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_Toc28246 </w:instrText>
      </w:r>
      <w:r>
        <w:rPr>
          <w:kern w:val="0"/>
          <w:lang w:eastAsia="uk-UA"/>
        </w:rPr>
        <w:fldChar w:fldCharType="separate"/>
      </w:r>
      <w:sdt>
        <w:sdtPr>
          <w:rPr>
            <w:kern w:val="0"/>
            <w:lang w:val="en-US" w:eastAsia="zh-CN"/>
          </w:rPr>
          <w:id w:val="147464276"/>
          <w:placeholder>
            <w:docPart w:val="{d0483635-53e2-473f-b11c-efa55816bdea}"/>
          </w:placeholder>
        </w:sdtPr>
        <w:sdtEndPr>
          <w:rPr>
            <w:kern w:val="0"/>
            <w:lang w:val="en-US" w:eastAsia="zh-CN"/>
          </w:rPr>
        </w:sdtEndPr>
        <w:sdtContent>
          <w:r>
            <w:rPr>
              <w:kern w:val="0"/>
              <w:lang w:eastAsia="uk-UA"/>
            </w:rPr>
            <w:t>单位预算一般公共预算财政拨款支出表</w:t>
          </w:r>
        </w:sdtContent>
      </w:sdt>
      <w:r>
        <w:rPr>
          <w:kern w:val="0"/>
          <w:lang w:eastAsia="uk-UA"/>
        </w:rPr>
        <w:tab/>
      </w:r>
      <w:r>
        <w:rPr>
          <w:rFonts w:hint="eastAsia"/>
          <w:kern w:val="0"/>
          <w:lang w:val="en-US" w:eastAsia="zh-CN"/>
        </w:rPr>
        <w:t>1</w:t>
      </w:r>
      <w:r>
        <w:rPr>
          <w:kern w:val="0"/>
          <w:lang w:eastAsia="uk-UA"/>
        </w:rPr>
        <w:fldChar w:fldCharType="end"/>
      </w:r>
      <w:r>
        <w:rPr>
          <w:rFonts w:hint="eastAsia"/>
          <w:kern w:val="0"/>
          <w:lang w:val="en-US" w:eastAsia="zh-CN"/>
        </w:rPr>
        <w:t>7</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_Toc20324 </w:instrText>
      </w:r>
      <w:r>
        <w:rPr>
          <w:kern w:val="0"/>
          <w:lang w:eastAsia="uk-UA"/>
        </w:rPr>
        <w:fldChar w:fldCharType="separate"/>
      </w:r>
      <w:sdt>
        <w:sdtPr>
          <w:rPr>
            <w:kern w:val="0"/>
            <w:lang w:val="en-US" w:eastAsia="zh-CN"/>
          </w:rPr>
          <w:id w:val="147464276"/>
          <w:placeholder>
            <w:docPart w:val="{7807870c-5650-48b0-974a-fbba5514cf76}"/>
          </w:placeholder>
        </w:sdtPr>
        <w:sdtEndPr>
          <w:rPr>
            <w:kern w:val="0"/>
            <w:lang w:val="en-US" w:eastAsia="zh-CN"/>
          </w:rPr>
        </w:sdtEndPr>
        <w:sdtContent>
          <w:r>
            <w:rPr>
              <w:kern w:val="0"/>
              <w:lang w:eastAsia="uk-UA"/>
            </w:rPr>
            <w:t>单位预算一般公共预算财政拨款基本支出表</w:t>
          </w:r>
        </w:sdtContent>
      </w:sdt>
      <w:r>
        <w:rPr>
          <w:kern w:val="0"/>
          <w:lang w:eastAsia="uk-UA"/>
        </w:rPr>
        <w:tab/>
      </w:r>
      <w:r>
        <w:rPr>
          <w:rFonts w:hint="eastAsia"/>
          <w:kern w:val="0"/>
          <w:lang w:val="en-US" w:eastAsia="zh-CN"/>
        </w:rPr>
        <w:t>1</w:t>
      </w:r>
      <w:r>
        <w:rPr>
          <w:kern w:val="0"/>
          <w:lang w:eastAsia="uk-UA"/>
        </w:rPr>
        <w:fldChar w:fldCharType="end"/>
      </w:r>
      <w:r>
        <w:rPr>
          <w:rFonts w:hint="eastAsia"/>
          <w:kern w:val="0"/>
          <w:lang w:val="en-US" w:eastAsia="zh-CN"/>
        </w:rPr>
        <w:t>9</w:t>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_Toc29034 </w:instrText>
      </w:r>
      <w:r>
        <w:rPr>
          <w:kern w:val="0"/>
          <w:lang w:eastAsia="uk-UA"/>
        </w:rPr>
        <w:fldChar w:fldCharType="separate"/>
      </w:r>
      <w:sdt>
        <w:sdtPr>
          <w:rPr>
            <w:kern w:val="0"/>
            <w:lang w:val="en-US" w:eastAsia="zh-CN"/>
          </w:rPr>
          <w:id w:val="147464276"/>
          <w:placeholder>
            <w:docPart w:val="{021da8b1-d056-4d0b-8972-82468aca2234}"/>
          </w:placeholder>
        </w:sdtPr>
        <w:sdtEndPr>
          <w:rPr>
            <w:kern w:val="0"/>
            <w:lang w:val="en-US" w:eastAsia="zh-CN"/>
          </w:rPr>
        </w:sdtEndPr>
        <w:sdtContent>
          <w:r>
            <w:rPr>
              <w:kern w:val="0"/>
              <w:lang w:eastAsia="uk-UA"/>
            </w:rPr>
            <w:t>单位预算政府基金预算财政拨款支出表</w:t>
          </w:r>
        </w:sdtContent>
      </w:sdt>
      <w:r>
        <w:rPr>
          <w:kern w:val="0"/>
          <w:lang w:eastAsia="uk-UA"/>
        </w:rPr>
        <w:tab/>
      </w:r>
      <w:r>
        <w:rPr>
          <w:kern w:val="0"/>
          <w:lang w:eastAsia="uk-UA"/>
        </w:rPr>
        <w:t>2</w:t>
      </w:r>
      <w:r>
        <w:rPr>
          <w:rFonts w:hint="eastAsia"/>
          <w:kern w:val="0"/>
          <w:lang w:val="en-US" w:eastAsia="zh-CN"/>
        </w:rPr>
        <w:t>1</w:t>
      </w:r>
      <w:r>
        <w:rPr>
          <w:kern w:val="0"/>
          <w:lang w:eastAsia="uk-UA"/>
        </w:rPr>
        <w:fldChar w:fldCharType="end"/>
      </w:r>
    </w:p>
    <w:p>
      <w:pPr>
        <w:pStyle w:val="2"/>
        <w:widowControl/>
        <w:tabs>
          <w:tab w:val="right" w:leader="dot" w:pos="14562"/>
        </w:tabs>
        <w:jc w:val="left"/>
        <w:rPr>
          <w:kern w:val="0"/>
          <w:lang w:eastAsia="uk-UA"/>
        </w:rPr>
      </w:pPr>
      <w:r>
        <w:rPr>
          <w:kern w:val="0"/>
          <w:lang w:eastAsia="uk-UA"/>
        </w:rPr>
        <w:fldChar w:fldCharType="begin"/>
      </w:r>
      <w:r>
        <w:rPr>
          <w:kern w:val="0"/>
          <w:lang w:eastAsia="uk-UA"/>
        </w:rPr>
        <w:instrText xml:space="preserve"> HYPERLINK \l _Toc26359 </w:instrText>
      </w:r>
      <w:r>
        <w:rPr>
          <w:kern w:val="0"/>
          <w:lang w:eastAsia="uk-UA"/>
        </w:rPr>
        <w:fldChar w:fldCharType="separate"/>
      </w:r>
      <w:sdt>
        <w:sdtPr>
          <w:rPr>
            <w:kern w:val="0"/>
            <w:lang w:val="en-US" w:eastAsia="zh-CN"/>
          </w:rPr>
          <w:id w:val="147464276"/>
          <w:placeholder>
            <w:docPart w:val="{fb116a0a-419d-48fd-b9b1-70f1be42a354}"/>
          </w:placeholder>
        </w:sdtPr>
        <w:sdtEndPr>
          <w:rPr>
            <w:kern w:val="0"/>
            <w:lang w:val="en-US" w:eastAsia="zh-CN"/>
          </w:rPr>
        </w:sdtEndPr>
        <w:sdtContent>
          <w:r>
            <w:rPr>
              <w:kern w:val="0"/>
              <w:lang w:eastAsia="uk-UA"/>
            </w:rPr>
            <w:t>单位预算国有资本经营预算财政拨款支出表</w:t>
          </w:r>
        </w:sdtContent>
      </w:sdt>
      <w:r>
        <w:rPr>
          <w:kern w:val="0"/>
          <w:lang w:eastAsia="uk-UA"/>
        </w:rPr>
        <w:tab/>
      </w:r>
      <w:r>
        <w:rPr>
          <w:kern w:val="0"/>
          <w:lang w:eastAsia="uk-UA"/>
        </w:rPr>
        <w:t>2</w:t>
      </w:r>
      <w:r>
        <w:rPr>
          <w:rFonts w:hint="eastAsia"/>
          <w:kern w:val="0"/>
          <w:lang w:val="en-US" w:eastAsia="zh-CN"/>
        </w:rPr>
        <w:t>2</w:t>
      </w:r>
      <w:r>
        <w:rPr>
          <w:kern w:val="0"/>
          <w:lang w:eastAsia="uk-UA"/>
        </w:rPr>
        <w:fldChar w:fldCharType="end"/>
      </w:r>
    </w:p>
    <w:p>
      <w:pPr>
        <w:pStyle w:val="2"/>
        <w:widowControl/>
        <w:tabs>
          <w:tab w:val="right" w:leader="dot" w:pos="14562"/>
        </w:tabs>
        <w:jc w:val="left"/>
        <w:rPr>
          <w:rFonts w:hint="eastAsia" w:eastAsia="方正仿宋_GBK"/>
          <w:lang w:val="en-US" w:eastAsia="zh-CN"/>
        </w:rPr>
      </w:pPr>
      <w:r>
        <w:rPr>
          <w:kern w:val="0"/>
          <w:lang w:eastAsia="uk-UA"/>
        </w:rPr>
        <w:fldChar w:fldCharType="begin"/>
      </w:r>
      <w:r>
        <w:rPr>
          <w:kern w:val="0"/>
          <w:lang w:eastAsia="uk-UA"/>
        </w:rPr>
        <w:instrText xml:space="preserve"> HYPERLINK \l _Toc12776 </w:instrText>
      </w:r>
      <w:r>
        <w:rPr>
          <w:kern w:val="0"/>
          <w:lang w:eastAsia="uk-UA"/>
        </w:rPr>
        <w:fldChar w:fldCharType="separate"/>
      </w:r>
      <w:sdt>
        <w:sdtPr>
          <w:rPr>
            <w:kern w:val="0"/>
            <w:lang w:val="en-US" w:eastAsia="zh-CN"/>
          </w:rPr>
          <w:id w:val="147464276"/>
          <w:placeholder>
            <w:docPart w:val="{c819ec21-7b28-4d63-9b34-d23bc04588b8}"/>
          </w:placeholder>
        </w:sdtPr>
        <w:sdtEndPr>
          <w:rPr>
            <w:kern w:val="0"/>
            <w:lang w:val="en-US" w:eastAsia="zh-CN"/>
          </w:rPr>
        </w:sdtEndPr>
        <w:sdtContent>
          <w:r>
            <w:rPr>
              <w:kern w:val="0"/>
              <w:lang w:eastAsia="uk-UA"/>
            </w:rPr>
            <w:t>单位预算财政拨款“三公”经费支出表</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3</w:t>
      </w:r>
    </w:p>
    <w:p>
      <w:pPr>
        <w:pStyle w:val="22"/>
        <w:tabs>
          <w:tab w:val="right" w:leader="dot" w:pos="14800"/>
        </w:tabs>
      </w:pPr>
      <w:r>
        <w:rPr>
          <w:b/>
          <w:bCs/>
        </w:rPr>
        <w:fldChar w:fldCharType="begin"/>
      </w:r>
      <w:r>
        <w:instrText xml:space="preserve"> HYPERLINK \l _Toc21240 </w:instrText>
      </w:r>
      <w:r>
        <w:rPr>
          <w:b/>
          <w:bCs/>
        </w:rPr>
        <w:fldChar w:fldCharType="separate"/>
      </w:r>
      <w:sdt>
        <w:sdtPr>
          <w:rPr>
            <w:rFonts w:ascii="方正楷体_GBK" w:hAnsi="方正楷体_GBK" w:eastAsia="方正楷体_GBK" w:cs="方正楷体_GBK"/>
            <w:b/>
            <w:color w:val="000000"/>
            <w:kern w:val="0"/>
            <w:sz w:val="28"/>
            <w:szCs w:val="24"/>
            <w:lang w:val="en-US" w:eastAsia="zh-CN" w:bidi="ar-SA"/>
          </w:rPr>
          <w:id w:val="147464276"/>
          <w:placeholder>
            <w:docPart w:val="{5fc847d3-b54d-4f1e-8138-d1b4a6a26c9c}"/>
          </w:placeholder>
        </w:sdtPr>
        <w:sdtEndPr>
          <w:rPr>
            <w:rFonts w:asciiTheme="minorHAnsi" w:hAnsiTheme="minorHAnsi" w:eastAsiaTheme="minorEastAsia" w:cstheme="minorBidi"/>
            <w:b/>
            <w:bCs/>
            <w:color w:val="000000"/>
            <w:kern w:val="2"/>
            <w:sz w:val="21"/>
            <w:szCs w:val="24"/>
            <w:lang w:val="en-US" w:eastAsia="zh-CN" w:bidi="ar-SA"/>
          </w:rPr>
        </w:sdtEndPr>
        <w:sdtContent>
          <w:r>
            <w:rPr>
              <w:rFonts w:ascii="方正楷体_GBK" w:hAnsi="方正楷体_GBK" w:eastAsia="方正楷体_GBK" w:cs="方正楷体_GBK"/>
              <w:b/>
              <w:color w:val="000000"/>
              <w:kern w:val="0"/>
              <w:sz w:val="28"/>
              <w:szCs w:val="24"/>
              <w:lang w:val="en-US" w:eastAsia="uk-UA" w:bidi="ar-SA"/>
            </w:rPr>
            <w:t>单位预算信息公开情况说明</w:t>
          </w:r>
        </w:sdtContent>
      </w:sdt>
      <w:r>
        <w:rPr>
          <w:b/>
          <w:bCs/>
        </w:rPr>
        <w:fldChar w:fldCharType="end"/>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_Toc7181 </w:instrText>
      </w:r>
      <w:r>
        <w:rPr>
          <w:kern w:val="0"/>
          <w:lang w:eastAsia="uk-UA"/>
        </w:rPr>
        <w:fldChar w:fldCharType="separate"/>
      </w:r>
      <w:sdt>
        <w:sdtPr>
          <w:rPr>
            <w:kern w:val="0"/>
            <w:lang w:val="en-US" w:eastAsia="zh-CN"/>
          </w:rPr>
          <w:id w:val="147464276"/>
          <w:placeholder>
            <w:docPart w:val="{b390dd8e-d82d-41bf-b593-387b7a694a54}"/>
          </w:placeholder>
        </w:sdtPr>
        <w:sdtEndPr>
          <w:rPr>
            <w:kern w:val="0"/>
            <w:lang w:val="en-US" w:eastAsia="zh-CN"/>
          </w:rPr>
        </w:sdtEndPr>
        <w:sdtContent>
          <w:r>
            <w:rPr>
              <w:kern w:val="0"/>
              <w:lang w:eastAsia="uk-UA"/>
            </w:rPr>
            <w:t>一、单位职责及机构设置情况</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4</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_Toc12387 </w:instrText>
      </w:r>
      <w:r>
        <w:rPr>
          <w:kern w:val="0"/>
          <w:lang w:eastAsia="uk-UA"/>
        </w:rPr>
        <w:fldChar w:fldCharType="separate"/>
      </w:r>
      <w:sdt>
        <w:sdtPr>
          <w:rPr>
            <w:kern w:val="0"/>
            <w:lang w:val="en-US" w:eastAsia="zh-CN"/>
          </w:rPr>
          <w:id w:val="147464276"/>
          <w:placeholder>
            <w:docPart w:val="{178d29ce-5fb6-4d0e-8283-366a3d41387f}"/>
          </w:placeholder>
        </w:sdtPr>
        <w:sdtEndPr>
          <w:rPr>
            <w:kern w:val="0"/>
            <w:lang w:val="en-US" w:eastAsia="zh-CN"/>
          </w:rPr>
        </w:sdtEndPr>
        <w:sdtContent>
          <w:r>
            <w:rPr>
              <w:kern w:val="0"/>
              <w:lang w:eastAsia="uk-UA"/>
            </w:rPr>
            <w:t>二、单位预算安排的总体情况</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5</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_Toc28784 </w:instrText>
      </w:r>
      <w:r>
        <w:rPr>
          <w:kern w:val="0"/>
          <w:lang w:eastAsia="uk-UA"/>
        </w:rPr>
        <w:fldChar w:fldCharType="separate"/>
      </w:r>
      <w:sdt>
        <w:sdtPr>
          <w:rPr>
            <w:kern w:val="0"/>
            <w:lang w:val="en-US" w:eastAsia="zh-CN"/>
          </w:rPr>
          <w:id w:val="147464276"/>
          <w:placeholder>
            <w:docPart w:val="{ec8e59b0-b954-44ac-8249-b9317737fa52}"/>
          </w:placeholder>
        </w:sdtPr>
        <w:sdtEndPr>
          <w:rPr>
            <w:kern w:val="0"/>
            <w:lang w:val="en-US" w:eastAsia="zh-CN"/>
          </w:rPr>
        </w:sdtEndPr>
        <w:sdtContent>
          <w:r>
            <w:rPr>
              <w:kern w:val="0"/>
              <w:lang w:eastAsia="uk-UA"/>
            </w:rPr>
            <w:t>三、机关运行经费安排情况</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6</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_Toc15057 </w:instrText>
      </w:r>
      <w:r>
        <w:rPr>
          <w:kern w:val="0"/>
          <w:lang w:eastAsia="uk-UA"/>
        </w:rPr>
        <w:fldChar w:fldCharType="separate"/>
      </w:r>
      <w:sdt>
        <w:sdtPr>
          <w:rPr>
            <w:kern w:val="0"/>
            <w:lang w:val="en-US" w:eastAsia="zh-CN"/>
          </w:rPr>
          <w:id w:val="147464276"/>
          <w:placeholder>
            <w:docPart w:val="{ee01c25d-7f8e-4ebe-9b5b-17e7d7b8a65a}"/>
          </w:placeholder>
        </w:sdtPr>
        <w:sdtEndPr>
          <w:rPr>
            <w:kern w:val="0"/>
            <w:lang w:val="en-US" w:eastAsia="zh-CN"/>
          </w:rPr>
        </w:sdtEndPr>
        <w:sdtContent>
          <w:r>
            <w:rPr>
              <w:kern w:val="0"/>
              <w:lang w:eastAsia="uk-UA"/>
            </w:rPr>
            <w:t>四、财政拨款“三公”经费预算情况及增减变化原因</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6</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_Toc24259 </w:instrText>
      </w:r>
      <w:r>
        <w:rPr>
          <w:kern w:val="0"/>
          <w:lang w:eastAsia="uk-UA"/>
        </w:rPr>
        <w:fldChar w:fldCharType="separate"/>
      </w:r>
      <w:sdt>
        <w:sdtPr>
          <w:rPr>
            <w:kern w:val="0"/>
            <w:lang w:val="en-US" w:eastAsia="zh-CN"/>
          </w:rPr>
          <w:id w:val="147464276"/>
          <w:placeholder>
            <w:docPart w:val="{17437110-80b0-4389-a53e-56e1e5688a4b}"/>
          </w:placeholder>
        </w:sdtPr>
        <w:sdtEndPr>
          <w:rPr>
            <w:kern w:val="0"/>
            <w:lang w:val="en-US" w:eastAsia="zh-CN"/>
          </w:rPr>
        </w:sdtEndPr>
        <w:sdtContent>
          <w:r>
            <w:rPr>
              <w:kern w:val="0"/>
              <w:lang w:eastAsia="uk-UA"/>
            </w:rPr>
            <w:t>五、预算绩效信息</w:t>
          </w:r>
        </w:sdtContent>
      </w:sdt>
      <w:r>
        <w:rPr>
          <w:kern w:val="0"/>
          <w:lang w:eastAsia="uk-UA"/>
        </w:rPr>
        <w:tab/>
      </w:r>
      <w:r>
        <w:rPr>
          <w:rFonts w:hint="eastAsia"/>
          <w:kern w:val="0"/>
          <w:lang w:val="en-US" w:eastAsia="zh-CN"/>
        </w:rPr>
        <w:t>2</w:t>
      </w:r>
      <w:r>
        <w:rPr>
          <w:kern w:val="0"/>
          <w:lang w:eastAsia="uk-UA"/>
        </w:rPr>
        <w:fldChar w:fldCharType="end"/>
      </w:r>
      <w:r>
        <w:rPr>
          <w:rFonts w:hint="eastAsia"/>
          <w:kern w:val="0"/>
          <w:lang w:val="en-US" w:eastAsia="zh-CN"/>
        </w:rPr>
        <w:t>6</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_Toc11297 </w:instrText>
      </w:r>
      <w:r>
        <w:rPr>
          <w:kern w:val="0"/>
          <w:lang w:eastAsia="uk-UA"/>
        </w:rPr>
        <w:fldChar w:fldCharType="separate"/>
      </w:r>
      <w:sdt>
        <w:sdtPr>
          <w:rPr>
            <w:kern w:val="0"/>
            <w:lang w:val="en-US" w:eastAsia="zh-CN"/>
          </w:rPr>
          <w:id w:val="147464276"/>
          <w:placeholder>
            <w:docPart w:val="{272397d9-5070-40c5-be92-d3292c39c028}"/>
          </w:placeholder>
        </w:sdtPr>
        <w:sdtEndPr>
          <w:rPr>
            <w:kern w:val="0"/>
            <w:lang w:val="en-US" w:eastAsia="zh-CN"/>
          </w:rPr>
        </w:sdtEndPr>
        <w:sdtContent>
          <w:r>
            <w:rPr>
              <w:kern w:val="0"/>
              <w:lang w:eastAsia="uk-UA"/>
            </w:rPr>
            <w:t>六、政府采购预算情况</w:t>
          </w:r>
        </w:sdtContent>
      </w:sdt>
      <w:r>
        <w:rPr>
          <w:kern w:val="0"/>
          <w:lang w:eastAsia="uk-UA"/>
        </w:rPr>
        <w:tab/>
      </w:r>
      <w:r>
        <w:rPr>
          <w:rFonts w:hint="eastAsia"/>
          <w:kern w:val="0"/>
          <w:lang w:val="en-US" w:eastAsia="zh-CN"/>
        </w:rPr>
        <w:t>3</w:t>
      </w:r>
      <w:r>
        <w:rPr>
          <w:kern w:val="0"/>
          <w:lang w:eastAsia="uk-UA"/>
        </w:rPr>
        <w:fldChar w:fldCharType="end"/>
      </w:r>
      <w:r>
        <w:rPr>
          <w:rFonts w:hint="eastAsia"/>
          <w:kern w:val="0"/>
          <w:lang w:val="en-US" w:eastAsia="zh-CN"/>
        </w:rPr>
        <w:t>2</w:t>
      </w:r>
    </w:p>
    <w:p>
      <w:pPr>
        <w:pStyle w:val="2"/>
        <w:widowControl/>
        <w:tabs>
          <w:tab w:val="right" w:leader="dot" w:pos="14562"/>
        </w:tabs>
        <w:jc w:val="left"/>
        <w:rPr>
          <w:rFonts w:hint="eastAsia" w:eastAsia="方正仿宋_GBK"/>
          <w:kern w:val="0"/>
          <w:lang w:val="en-US" w:eastAsia="zh-CN"/>
        </w:rPr>
      </w:pPr>
      <w:r>
        <w:rPr>
          <w:kern w:val="0"/>
          <w:lang w:eastAsia="uk-UA"/>
        </w:rPr>
        <w:fldChar w:fldCharType="begin"/>
      </w:r>
      <w:r>
        <w:rPr>
          <w:kern w:val="0"/>
          <w:lang w:eastAsia="uk-UA"/>
        </w:rPr>
        <w:instrText xml:space="preserve"> HYPERLINK \l _Toc31655 </w:instrText>
      </w:r>
      <w:r>
        <w:rPr>
          <w:kern w:val="0"/>
          <w:lang w:eastAsia="uk-UA"/>
        </w:rPr>
        <w:fldChar w:fldCharType="separate"/>
      </w:r>
      <w:sdt>
        <w:sdtPr>
          <w:rPr>
            <w:kern w:val="0"/>
            <w:lang w:val="en-US" w:eastAsia="zh-CN"/>
          </w:rPr>
          <w:id w:val="147464276"/>
          <w:placeholder>
            <w:docPart w:val="{c21ed3a8-e7cf-4e24-af59-920e424af9b6}"/>
          </w:placeholder>
        </w:sdtPr>
        <w:sdtEndPr>
          <w:rPr>
            <w:kern w:val="0"/>
            <w:lang w:val="en-US" w:eastAsia="zh-CN"/>
          </w:rPr>
        </w:sdtEndPr>
        <w:sdtContent>
          <w:r>
            <w:rPr>
              <w:kern w:val="0"/>
              <w:lang w:eastAsia="uk-UA"/>
            </w:rPr>
            <w:t>七、国有资产信息</w:t>
          </w:r>
        </w:sdtContent>
      </w:sdt>
      <w:r>
        <w:rPr>
          <w:kern w:val="0"/>
          <w:lang w:eastAsia="uk-UA"/>
        </w:rPr>
        <w:tab/>
      </w:r>
      <w:r>
        <w:rPr>
          <w:rFonts w:hint="eastAsia"/>
          <w:kern w:val="0"/>
          <w:lang w:val="en-US" w:eastAsia="zh-CN"/>
        </w:rPr>
        <w:t>3</w:t>
      </w:r>
      <w:r>
        <w:rPr>
          <w:kern w:val="0"/>
          <w:lang w:eastAsia="uk-UA"/>
        </w:rPr>
        <w:fldChar w:fldCharType="end"/>
      </w:r>
      <w:r>
        <w:rPr>
          <w:rFonts w:hint="eastAsia"/>
          <w:kern w:val="0"/>
          <w:lang w:val="en-US" w:eastAsia="zh-CN"/>
        </w:rPr>
        <w:t>2</w:t>
      </w:r>
    </w:p>
    <w:p>
      <w:pPr>
        <w:pStyle w:val="2"/>
        <w:widowControl/>
        <w:tabs>
          <w:tab w:val="right" w:leader="dot" w:pos="14562"/>
        </w:tabs>
        <w:jc w:val="left"/>
        <w:rPr>
          <w:rFonts w:hint="eastAsia" w:eastAsia="方正仿宋_GBK"/>
          <w:lang w:val="en-US" w:eastAsia="zh-CN"/>
        </w:rPr>
      </w:pPr>
      <w:r>
        <w:rPr>
          <w:kern w:val="0"/>
          <w:lang w:eastAsia="uk-UA"/>
        </w:rPr>
        <w:fldChar w:fldCharType="begin"/>
      </w:r>
      <w:r>
        <w:rPr>
          <w:kern w:val="0"/>
          <w:lang w:eastAsia="uk-UA"/>
        </w:rPr>
        <w:instrText xml:space="preserve"> HYPERLINK \l _Toc15806 </w:instrText>
      </w:r>
      <w:r>
        <w:rPr>
          <w:kern w:val="0"/>
          <w:lang w:eastAsia="uk-UA"/>
        </w:rPr>
        <w:fldChar w:fldCharType="separate"/>
      </w:r>
      <w:sdt>
        <w:sdtPr>
          <w:rPr>
            <w:kern w:val="0"/>
            <w:lang w:val="en-US" w:eastAsia="zh-CN"/>
          </w:rPr>
          <w:id w:val="147464276"/>
          <w:placeholder>
            <w:docPart w:val="{57d0d004-78fb-4a48-8f59-61d7c3da9d69}"/>
          </w:placeholder>
        </w:sdtPr>
        <w:sdtEndPr>
          <w:rPr>
            <w:kern w:val="0"/>
            <w:lang w:val="en-US" w:eastAsia="zh-CN"/>
          </w:rPr>
        </w:sdtEndPr>
        <w:sdtContent>
          <w:r>
            <w:rPr>
              <w:kern w:val="0"/>
              <w:lang w:eastAsia="uk-UA"/>
            </w:rPr>
            <w:t>八、名词解释</w:t>
          </w:r>
        </w:sdtContent>
      </w:sdt>
      <w:r>
        <w:rPr>
          <w:kern w:val="0"/>
          <w:lang w:eastAsia="uk-UA"/>
        </w:rPr>
        <w:tab/>
      </w:r>
      <w:r>
        <w:rPr>
          <w:rFonts w:hint="eastAsia"/>
          <w:kern w:val="0"/>
          <w:lang w:val="en-US" w:eastAsia="zh-CN"/>
        </w:rPr>
        <w:t>3</w:t>
      </w:r>
      <w:r>
        <w:rPr>
          <w:kern w:val="0"/>
          <w:lang w:eastAsia="uk-UA"/>
        </w:rPr>
        <w:fldChar w:fldCharType="end"/>
      </w:r>
      <w:r>
        <w:rPr>
          <w:rFonts w:hint="eastAsia"/>
          <w:kern w:val="0"/>
          <w:lang w:val="en-US" w:eastAsia="zh-CN"/>
        </w:rPr>
        <w:t>3</w:t>
      </w:r>
    </w:p>
    <w:p>
      <w:pPr>
        <w:pStyle w:val="2"/>
        <w:widowControl/>
        <w:tabs>
          <w:tab w:val="right" w:leader="dot" w:pos="14562"/>
        </w:tabs>
        <w:jc w:val="left"/>
        <w:rPr>
          <w:lang w:eastAsia="uk-UA"/>
        </w:rPr>
      </w:pPr>
      <w:r>
        <w:rPr>
          <w:kern w:val="0"/>
          <w:lang w:eastAsia="uk-UA"/>
        </w:rPr>
        <w:fldChar w:fldCharType="begin"/>
      </w:r>
      <w:r>
        <w:rPr>
          <w:kern w:val="0"/>
          <w:lang w:eastAsia="uk-UA"/>
        </w:rPr>
        <w:instrText xml:space="preserve"> HYPERLINK \l _Toc19227 </w:instrText>
      </w:r>
      <w:r>
        <w:rPr>
          <w:kern w:val="0"/>
          <w:lang w:eastAsia="uk-UA"/>
        </w:rPr>
        <w:fldChar w:fldCharType="separate"/>
      </w:r>
      <w:sdt>
        <w:sdtPr>
          <w:rPr>
            <w:kern w:val="0"/>
            <w:lang w:val="en-US" w:eastAsia="zh-CN"/>
          </w:rPr>
          <w:id w:val="147464276"/>
          <w:placeholder>
            <w:docPart w:val="{76d556d6-ade0-4243-9c5d-87ad68d62e1a}"/>
          </w:placeholder>
        </w:sdtPr>
        <w:sdtEndPr>
          <w:rPr>
            <w:kern w:val="0"/>
            <w:lang w:val="en-US" w:eastAsia="zh-CN"/>
          </w:rPr>
        </w:sdtEndPr>
        <w:sdtContent>
          <w:r>
            <w:rPr>
              <w:kern w:val="0"/>
              <w:lang w:eastAsia="uk-UA"/>
            </w:rPr>
            <w:t>九、其他需要说明的事项</w:t>
          </w:r>
        </w:sdtContent>
      </w:sdt>
      <w:r>
        <w:rPr>
          <w:kern w:val="0"/>
          <w:lang w:eastAsia="uk-UA"/>
        </w:rPr>
        <w:tab/>
      </w:r>
      <w:r>
        <w:rPr>
          <w:rFonts w:hint="eastAsia" w:eastAsia="宋体"/>
          <w:kern w:val="0"/>
          <w:lang w:val="en-US" w:eastAsia="zh-CN"/>
        </w:rPr>
        <w:t>............................................................................................................................3</w:t>
      </w:r>
      <w:r>
        <w:rPr>
          <w:kern w:val="0"/>
          <w:lang w:eastAsia="uk-UA"/>
        </w:rPr>
        <w:fldChar w:fldCharType="end"/>
      </w:r>
      <w:r>
        <w:rPr>
          <w:rFonts w:hint="eastAsia"/>
          <w:kern w:val="0"/>
          <w:lang w:val="en-US" w:eastAsia="zh-CN"/>
        </w:rPr>
        <w:t>4</w:t>
      </w:r>
      <w:r>
        <w:rPr>
          <w:kern w:val="0"/>
          <w:lang w:eastAsia="uk-UA"/>
        </w:rPr>
        <w:tab/>
      </w:r>
    </w:p>
    <w:p>
      <w:pPr>
        <w:sectPr>
          <w:pgSz w:w="16840" w:h="11900" w:orient="landscape"/>
          <w:pgMar w:top="1587" w:right="1134" w:bottom="1361" w:left="1134" w:header="720" w:footer="720" w:gutter="0"/>
          <w:pgNumType w:start="1"/>
          <w:cols w:space="720" w:num="1"/>
        </w:sectPr>
      </w:pP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450001新乐市医疗保障局本级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6431.53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6307.15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6431.53</w:t>
            </w:r>
          </w:p>
        </w:tc>
        <w:tc>
          <w:tcPr>
            <w:tcW w:w="4535" w:type="dxa"/>
            <w:vAlign w:val="center"/>
          </w:tcPr>
          <w:p>
            <w:pPr>
              <w:pStyle w:val="14"/>
            </w:pPr>
            <w:r>
              <w:t>本年支出合计</w:t>
            </w:r>
          </w:p>
        </w:tc>
        <w:tc>
          <w:tcPr>
            <w:tcW w:w="2126" w:type="dxa"/>
            <w:vAlign w:val="center"/>
          </w:tcPr>
          <w:p>
            <w:pPr>
              <w:pStyle w:val="15"/>
            </w:pPr>
            <w:r>
              <w:t>6431.53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6431.53</w:t>
            </w:r>
          </w:p>
        </w:tc>
        <w:tc>
          <w:tcPr>
            <w:tcW w:w="4535" w:type="dxa"/>
            <w:vAlign w:val="center"/>
          </w:tcPr>
          <w:p>
            <w:pPr>
              <w:pStyle w:val="14"/>
            </w:pPr>
            <w:r>
              <w:t>支出总计</w:t>
            </w:r>
          </w:p>
        </w:tc>
        <w:tc>
          <w:tcPr>
            <w:tcW w:w="2126" w:type="dxa"/>
            <w:vAlign w:val="center"/>
          </w:tcPr>
          <w:p>
            <w:pPr>
              <w:pStyle w:val="15"/>
            </w:pPr>
            <w:r>
              <w:t>6431.53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450001新乐市医疗保障局本级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6431.53</w:t>
            </w:r>
          </w:p>
        </w:tc>
        <w:tc>
          <w:tcPr>
            <w:tcW w:w="1134" w:type="dxa"/>
            <w:vAlign w:val="center"/>
          </w:tcPr>
          <w:p>
            <w:pPr>
              <w:pStyle w:val="15"/>
            </w:pPr>
            <w:r>
              <w:t>6431.53</w:t>
            </w:r>
          </w:p>
        </w:tc>
        <w:tc>
          <w:tcPr>
            <w:tcW w:w="1134" w:type="dxa"/>
            <w:vAlign w:val="center"/>
          </w:tcPr>
          <w:p>
            <w:pPr>
              <w:pStyle w:val="15"/>
            </w:pPr>
            <w:r>
              <w:t>6431.53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81.41</w:t>
            </w:r>
          </w:p>
        </w:tc>
        <w:tc>
          <w:tcPr>
            <w:tcW w:w="1134" w:type="dxa"/>
            <w:vAlign w:val="center"/>
          </w:tcPr>
          <w:p>
            <w:pPr>
              <w:pStyle w:val="11"/>
            </w:pPr>
            <w:r>
              <w:t>81.41</w:t>
            </w:r>
          </w:p>
        </w:tc>
        <w:tc>
          <w:tcPr>
            <w:tcW w:w="1134" w:type="dxa"/>
            <w:vAlign w:val="center"/>
          </w:tcPr>
          <w:p>
            <w:pPr>
              <w:pStyle w:val="11"/>
            </w:pPr>
            <w:r>
              <w:t>81.41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78.77</w:t>
            </w:r>
          </w:p>
        </w:tc>
        <w:tc>
          <w:tcPr>
            <w:tcW w:w="1134" w:type="dxa"/>
            <w:vAlign w:val="center"/>
          </w:tcPr>
          <w:p>
            <w:pPr>
              <w:pStyle w:val="11"/>
            </w:pPr>
            <w:r>
              <w:t>78.77</w:t>
            </w:r>
          </w:p>
        </w:tc>
        <w:tc>
          <w:tcPr>
            <w:tcW w:w="1134" w:type="dxa"/>
            <w:vAlign w:val="center"/>
          </w:tcPr>
          <w:p>
            <w:pPr>
              <w:pStyle w:val="11"/>
            </w:pPr>
            <w:r>
              <w:t>78.77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8.89</w:t>
            </w:r>
          </w:p>
        </w:tc>
        <w:tc>
          <w:tcPr>
            <w:tcW w:w="1134" w:type="dxa"/>
            <w:vAlign w:val="center"/>
          </w:tcPr>
          <w:p>
            <w:pPr>
              <w:pStyle w:val="11"/>
            </w:pPr>
            <w:r>
              <w:t>8.89</w:t>
            </w:r>
          </w:p>
        </w:tc>
        <w:tc>
          <w:tcPr>
            <w:tcW w:w="1134" w:type="dxa"/>
            <w:vAlign w:val="center"/>
          </w:tcPr>
          <w:p>
            <w:pPr>
              <w:pStyle w:val="11"/>
            </w:pPr>
            <w:r>
              <w:t>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49.57</w:t>
            </w:r>
          </w:p>
        </w:tc>
        <w:tc>
          <w:tcPr>
            <w:tcW w:w="1134" w:type="dxa"/>
            <w:vAlign w:val="center"/>
          </w:tcPr>
          <w:p>
            <w:pPr>
              <w:pStyle w:val="11"/>
            </w:pPr>
            <w:r>
              <w:t>49.57</w:t>
            </w:r>
          </w:p>
        </w:tc>
        <w:tc>
          <w:tcPr>
            <w:tcW w:w="1134" w:type="dxa"/>
            <w:vAlign w:val="center"/>
          </w:tcPr>
          <w:p>
            <w:pPr>
              <w:pStyle w:val="11"/>
            </w:pPr>
            <w:r>
              <w:t>49.57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20.30</w:t>
            </w:r>
          </w:p>
        </w:tc>
        <w:tc>
          <w:tcPr>
            <w:tcW w:w="1134" w:type="dxa"/>
            <w:vAlign w:val="center"/>
          </w:tcPr>
          <w:p>
            <w:pPr>
              <w:pStyle w:val="11"/>
            </w:pPr>
            <w:r>
              <w:t>20.30</w:t>
            </w:r>
          </w:p>
        </w:tc>
        <w:tc>
          <w:tcPr>
            <w:tcW w:w="1134" w:type="dxa"/>
            <w:vAlign w:val="center"/>
          </w:tcPr>
          <w:p>
            <w:pPr>
              <w:pStyle w:val="11"/>
            </w:pPr>
            <w:r>
              <w:t>20.30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6307.15</w:t>
            </w:r>
          </w:p>
        </w:tc>
        <w:tc>
          <w:tcPr>
            <w:tcW w:w="1134" w:type="dxa"/>
            <w:vAlign w:val="center"/>
          </w:tcPr>
          <w:p>
            <w:pPr>
              <w:pStyle w:val="11"/>
            </w:pPr>
            <w:r>
              <w:t>6307.15</w:t>
            </w:r>
          </w:p>
        </w:tc>
        <w:tc>
          <w:tcPr>
            <w:tcW w:w="1134" w:type="dxa"/>
            <w:vAlign w:val="center"/>
          </w:tcPr>
          <w:p>
            <w:pPr>
              <w:pStyle w:val="11"/>
            </w:pPr>
            <w:r>
              <w:t>6307.15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5646.60</w:t>
            </w:r>
          </w:p>
        </w:tc>
        <w:tc>
          <w:tcPr>
            <w:tcW w:w="1134" w:type="dxa"/>
            <w:vAlign w:val="center"/>
          </w:tcPr>
          <w:p>
            <w:pPr>
              <w:pStyle w:val="11"/>
            </w:pPr>
            <w:r>
              <w:t>5646.60</w:t>
            </w:r>
          </w:p>
        </w:tc>
        <w:tc>
          <w:tcPr>
            <w:tcW w:w="1134" w:type="dxa"/>
            <w:vAlign w:val="center"/>
          </w:tcPr>
          <w:p>
            <w:pPr>
              <w:pStyle w:val="11"/>
            </w:pPr>
            <w:r>
              <w:t>5646.60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5646.60</w:t>
            </w:r>
          </w:p>
        </w:tc>
        <w:tc>
          <w:tcPr>
            <w:tcW w:w="1134" w:type="dxa"/>
            <w:vAlign w:val="center"/>
          </w:tcPr>
          <w:p>
            <w:pPr>
              <w:pStyle w:val="11"/>
            </w:pPr>
            <w:r>
              <w:t>5646.60</w:t>
            </w:r>
          </w:p>
        </w:tc>
        <w:tc>
          <w:tcPr>
            <w:tcW w:w="1134" w:type="dxa"/>
            <w:vAlign w:val="center"/>
          </w:tcPr>
          <w:p>
            <w:pPr>
              <w:pStyle w:val="11"/>
            </w:pPr>
            <w:r>
              <w:t>5646.60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432.06</w:t>
            </w:r>
          </w:p>
        </w:tc>
        <w:tc>
          <w:tcPr>
            <w:tcW w:w="1134" w:type="dxa"/>
            <w:vAlign w:val="center"/>
          </w:tcPr>
          <w:p>
            <w:pPr>
              <w:pStyle w:val="11"/>
            </w:pPr>
            <w:r>
              <w:t>432.06</w:t>
            </w:r>
          </w:p>
        </w:tc>
        <w:tc>
          <w:tcPr>
            <w:tcW w:w="1134" w:type="dxa"/>
            <w:vAlign w:val="center"/>
          </w:tcPr>
          <w:p>
            <w:pPr>
              <w:pStyle w:val="11"/>
            </w:pPr>
            <w:r>
              <w:t>432.06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401.06</w:t>
            </w:r>
          </w:p>
        </w:tc>
        <w:tc>
          <w:tcPr>
            <w:tcW w:w="1134" w:type="dxa"/>
            <w:vAlign w:val="center"/>
          </w:tcPr>
          <w:p>
            <w:pPr>
              <w:pStyle w:val="11"/>
            </w:pPr>
            <w:r>
              <w:t>401.06</w:t>
            </w:r>
          </w:p>
        </w:tc>
        <w:tc>
          <w:tcPr>
            <w:tcW w:w="1134" w:type="dxa"/>
            <w:vAlign w:val="center"/>
          </w:tcPr>
          <w:p>
            <w:pPr>
              <w:pStyle w:val="11"/>
            </w:pPr>
            <w:r>
              <w:t>401.06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2101505</w:t>
            </w:r>
          </w:p>
        </w:tc>
        <w:tc>
          <w:tcPr>
            <w:tcW w:w="1559" w:type="dxa"/>
            <w:vAlign w:val="center"/>
          </w:tcPr>
          <w:p>
            <w:pPr>
              <w:pStyle w:val="12"/>
            </w:pPr>
            <w:r>
              <w:t>医疗保障政策管理</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r>
              <w:t>42.96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6431.53</w:t>
            </w:r>
          </w:p>
        </w:tc>
        <w:tc>
          <w:tcPr>
            <w:tcW w:w="1361" w:type="dxa"/>
            <w:vAlign w:val="center"/>
          </w:tcPr>
          <w:p>
            <w:pPr>
              <w:pStyle w:val="15"/>
            </w:pPr>
            <w:r>
              <w:t>553.93</w:t>
            </w:r>
          </w:p>
        </w:tc>
        <w:tc>
          <w:tcPr>
            <w:tcW w:w="1361" w:type="dxa"/>
            <w:vAlign w:val="center"/>
          </w:tcPr>
          <w:p>
            <w:pPr>
              <w:pStyle w:val="15"/>
            </w:pPr>
            <w:r>
              <w:t>5877.60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81.41</w:t>
            </w:r>
          </w:p>
        </w:tc>
        <w:tc>
          <w:tcPr>
            <w:tcW w:w="1361" w:type="dxa"/>
            <w:vAlign w:val="center"/>
          </w:tcPr>
          <w:p>
            <w:pPr>
              <w:pStyle w:val="11"/>
            </w:pPr>
            <w:r>
              <w:t>81.41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78.77</w:t>
            </w:r>
          </w:p>
        </w:tc>
        <w:tc>
          <w:tcPr>
            <w:tcW w:w="1361" w:type="dxa"/>
            <w:vAlign w:val="center"/>
          </w:tcPr>
          <w:p>
            <w:pPr>
              <w:pStyle w:val="11"/>
            </w:pPr>
            <w:r>
              <w:t>78.77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8.89</w:t>
            </w:r>
          </w:p>
        </w:tc>
        <w:tc>
          <w:tcPr>
            <w:tcW w:w="1361" w:type="dxa"/>
            <w:vAlign w:val="center"/>
          </w:tcPr>
          <w:p>
            <w:pPr>
              <w:pStyle w:val="11"/>
            </w:pPr>
            <w:r>
              <w:t>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49.57</w:t>
            </w:r>
          </w:p>
        </w:tc>
        <w:tc>
          <w:tcPr>
            <w:tcW w:w="1361" w:type="dxa"/>
            <w:vAlign w:val="center"/>
          </w:tcPr>
          <w:p>
            <w:pPr>
              <w:pStyle w:val="11"/>
            </w:pPr>
            <w:r>
              <w:t>49.57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20.30</w:t>
            </w:r>
          </w:p>
        </w:tc>
        <w:tc>
          <w:tcPr>
            <w:tcW w:w="1361" w:type="dxa"/>
            <w:vAlign w:val="center"/>
          </w:tcPr>
          <w:p>
            <w:pPr>
              <w:pStyle w:val="11"/>
            </w:pPr>
            <w:r>
              <w:t>20.30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2.64</w:t>
            </w:r>
          </w:p>
        </w:tc>
        <w:tc>
          <w:tcPr>
            <w:tcW w:w="1361" w:type="dxa"/>
            <w:vAlign w:val="center"/>
          </w:tcPr>
          <w:p>
            <w:pPr>
              <w:pStyle w:val="11"/>
            </w:pPr>
            <w:r>
              <w:t>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2.64</w:t>
            </w:r>
          </w:p>
        </w:tc>
        <w:tc>
          <w:tcPr>
            <w:tcW w:w="1361" w:type="dxa"/>
            <w:vAlign w:val="center"/>
          </w:tcPr>
          <w:p>
            <w:pPr>
              <w:pStyle w:val="11"/>
            </w:pPr>
            <w:r>
              <w:t>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6307.15</w:t>
            </w:r>
          </w:p>
        </w:tc>
        <w:tc>
          <w:tcPr>
            <w:tcW w:w="1361" w:type="dxa"/>
            <w:vAlign w:val="center"/>
          </w:tcPr>
          <w:p>
            <w:pPr>
              <w:pStyle w:val="11"/>
            </w:pPr>
            <w:r>
              <w:t>429.56</w:t>
            </w:r>
          </w:p>
        </w:tc>
        <w:tc>
          <w:tcPr>
            <w:tcW w:w="1361" w:type="dxa"/>
            <w:vAlign w:val="center"/>
          </w:tcPr>
          <w:p>
            <w:pPr>
              <w:pStyle w:val="11"/>
            </w:pPr>
            <w:r>
              <w:t>5877.60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28.50</w:t>
            </w:r>
          </w:p>
        </w:tc>
        <w:tc>
          <w:tcPr>
            <w:tcW w:w="1361" w:type="dxa"/>
            <w:vAlign w:val="center"/>
          </w:tcPr>
          <w:p>
            <w:pPr>
              <w:pStyle w:val="11"/>
            </w:pPr>
            <w:r>
              <w:t>28.50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28.50</w:t>
            </w:r>
          </w:p>
        </w:tc>
        <w:tc>
          <w:tcPr>
            <w:tcW w:w="1361" w:type="dxa"/>
            <w:vAlign w:val="center"/>
          </w:tcPr>
          <w:p>
            <w:pPr>
              <w:pStyle w:val="11"/>
            </w:pPr>
            <w:r>
              <w:t>28.50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5646.60</w:t>
            </w:r>
          </w:p>
        </w:tc>
        <w:tc>
          <w:tcPr>
            <w:tcW w:w="1361" w:type="dxa"/>
            <w:vAlign w:val="center"/>
          </w:tcPr>
          <w:p>
            <w:pPr>
              <w:pStyle w:val="11"/>
            </w:pPr>
          </w:p>
        </w:tc>
        <w:tc>
          <w:tcPr>
            <w:tcW w:w="1361" w:type="dxa"/>
            <w:vAlign w:val="center"/>
          </w:tcPr>
          <w:p>
            <w:pPr>
              <w:pStyle w:val="11"/>
            </w:pPr>
            <w:r>
              <w:t>5646.60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5646.60</w:t>
            </w:r>
          </w:p>
        </w:tc>
        <w:tc>
          <w:tcPr>
            <w:tcW w:w="1361" w:type="dxa"/>
            <w:vAlign w:val="center"/>
          </w:tcPr>
          <w:p>
            <w:pPr>
              <w:pStyle w:val="11"/>
            </w:pPr>
          </w:p>
        </w:tc>
        <w:tc>
          <w:tcPr>
            <w:tcW w:w="1361" w:type="dxa"/>
            <w:vAlign w:val="center"/>
          </w:tcPr>
          <w:p>
            <w:pPr>
              <w:pStyle w:val="11"/>
            </w:pPr>
            <w:r>
              <w:t>5646.60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432.06</w:t>
            </w:r>
          </w:p>
        </w:tc>
        <w:tc>
          <w:tcPr>
            <w:tcW w:w="1361" w:type="dxa"/>
            <w:vAlign w:val="center"/>
          </w:tcPr>
          <w:p>
            <w:pPr>
              <w:pStyle w:val="11"/>
            </w:pPr>
            <w:r>
              <w:t>401.06</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401.06</w:t>
            </w:r>
          </w:p>
        </w:tc>
        <w:tc>
          <w:tcPr>
            <w:tcW w:w="1361" w:type="dxa"/>
            <w:vAlign w:val="center"/>
          </w:tcPr>
          <w:p>
            <w:pPr>
              <w:pStyle w:val="11"/>
            </w:pPr>
            <w:r>
              <w:t>401.06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2101505</w:t>
            </w:r>
          </w:p>
        </w:tc>
        <w:tc>
          <w:tcPr>
            <w:tcW w:w="4535" w:type="dxa"/>
            <w:vAlign w:val="center"/>
          </w:tcPr>
          <w:p>
            <w:pPr>
              <w:pStyle w:val="12"/>
            </w:pPr>
            <w:r>
              <w:t>医疗保障政策管理</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42.96</w:t>
            </w:r>
          </w:p>
        </w:tc>
        <w:tc>
          <w:tcPr>
            <w:tcW w:w="1361" w:type="dxa"/>
            <w:vAlign w:val="center"/>
          </w:tcPr>
          <w:p>
            <w:pPr>
              <w:pStyle w:val="11"/>
            </w:pPr>
            <w:r>
              <w:t>42.96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42.96</w:t>
            </w:r>
          </w:p>
        </w:tc>
        <w:tc>
          <w:tcPr>
            <w:tcW w:w="1361" w:type="dxa"/>
            <w:vAlign w:val="center"/>
          </w:tcPr>
          <w:p>
            <w:pPr>
              <w:pStyle w:val="11"/>
            </w:pPr>
            <w:r>
              <w:t>42.96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42.96</w:t>
            </w:r>
          </w:p>
        </w:tc>
        <w:tc>
          <w:tcPr>
            <w:tcW w:w="1361" w:type="dxa"/>
            <w:vAlign w:val="center"/>
          </w:tcPr>
          <w:p>
            <w:pPr>
              <w:pStyle w:val="11"/>
            </w:pPr>
            <w:r>
              <w:t>42.96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6431.53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81.41</w:t>
            </w:r>
          </w:p>
        </w:tc>
        <w:tc>
          <w:tcPr>
            <w:tcW w:w="1474" w:type="dxa"/>
            <w:vAlign w:val="center"/>
          </w:tcPr>
          <w:p>
            <w:pPr>
              <w:pStyle w:val="11"/>
            </w:pPr>
            <w:r>
              <w:t>81.41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6307.15</w:t>
            </w:r>
          </w:p>
        </w:tc>
        <w:tc>
          <w:tcPr>
            <w:tcW w:w="1474" w:type="dxa"/>
            <w:vAlign w:val="center"/>
          </w:tcPr>
          <w:p>
            <w:pPr>
              <w:pStyle w:val="11"/>
            </w:pPr>
            <w:r>
              <w:t>6307.15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42.96</w:t>
            </w:r>
          </w:p>
        </w:tc>
        <w:tc>
          <w:tcPr>
            <w:tcW w:w="1474" w:type="dxa"/>
            <w:vAlign w:val="center"/>
          </w:tcPr>
          <w:p>
            <w:pPr>
              <w:pStyle w:val="11"/>
            </w:pPr>
            <w:r>
              <w:t>42.96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6431.53</w:t>
            </w:r>
          </w:p>
        </w:tc>
        <w:tc>
          <w:tcPr>
            <w:tcW w:w="3402" w:type="dxa"/>
            <w:vAlign w:val="center"/>
          </w:tcPr>
          <w:p>
            <w:pPr>
              <w:pStyle w:val="14"/>
            </w:pPr>
            <w:r>
              <w:t>本年支出合计</w:t>
            </w:r>
          </w:p>
        </w:tc>
        <w:tc>
          <w:tcPr>
            <w:tcW w:w="1474" w:type="dxa"/>
            <w:vAlign w:val="center"/>
          </w:tcPr>
          <w:p>
            <w:pPr>
              <w:pStyle w:val="15"/>
            </w:pPr>
            <w:r>
              <w:t>6431.53</w:t>
            </w:r>
          </w:p>
        </w:tc>
        <w:tc>
          <w:tcPr>
            <w:tcW w:w="1474" w:type="dxa"/>
            <w:vAlign w:val="center"/>
          </w:tcPr>
          <w:p>
            <w:pPr>
              <w:pStyle w:val="15"/>
            </w:pPr>
            <w:r>
              <w:t>6431.53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6431.53</w:t>
            </w:r>
          </w:p>
        </w:tc>
        <w:tc>
          <w:tcPr>
            <w:tcW w:w="3402" w:type="dxa"/>
            <w:vAlign w:val="center"/>
          </w:tcPr>
          <w:p>
            <w:pPr>
              <w:pStyle w:val="14"/>
            </w:pPr>
            <w:r>
              <w:t>支出总计</w:t>
            </w:r>
          </w:p>
        </w:tc>
        <w:tc>
          <w:tcPr>
            <w:tcW w:w="1474" w:type="dxa"/>
            <w:vAlign w:val="center"/>
          </w:tcPr>
          <w:p>
            <w:pPr>
              <w:pStyle w:val="15"/>
            </w:pPr>
            <w:r>
              <w:t>6431.53</w:t>
            </w:r>
          </w:p>
        </w:tc>
        <w:tc>
          <w:tcPr>
            <w:tcW w:w="1474" w:type="dxa"/>
            <w:vAlign w:val="center"/>
          </w:tcPr>
          <w:p>
            <w:pPr>
              <w:pStyle w:val="15"/>
            </w:pPr>
            <w:r>
              <w:t>6431.53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6431.53</w:t>
            </w:r>
          </w:p>
        </w:tc>
        <w:tc>
          <w:tcPr>
            <w:tcW w:w="2551" w:type="dxa"/>
            <w:vAlign w:val="center"/>
          </w:tcPr>
          <w:p>
            <w:pPr>
              <w:pStyle w:val="15"/>
            </w:pPr>
            <w:r>
              <w:t>553.93</w:t>
            </w:r>
          </w:p>
        </w:tc>
        <w:tc>
          <w:tcPr>
            <w:tcW w:w="2551" w:type="dxa"/>
            <w:vAlign w:val="center"/>
          </w:tcPr>
          <w:p>
            <w:pPr>
              <w:pStyle w:val="15"/>
            </w:pPr>
            <w:r>
              <w:t>5877.60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81.41</w:t>
            </w:r>
          </w:p>
        </w:tc>
        <w:tc>
          <w:tcPr>
            <w:tcW w:w="2551" w:type="dxa"/>
            <w:vAlign w:val="center"/>
          </w:tcPr>
          <w:p>
            <w:pPr>
              <w:pStyle w:val="11"/>
            </w:pPr>
            <w:r>
              <w:t>81.41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78.77</w:t>
            </w:r>
          </w:p>
        </w:tc>
        <w:tc>
          <w:tcPr>
            <w:tcW w:w="2551" w:type="dxa"/>
            <w:vAlign w:val="center"/>
          </w:tcPr>
          <w:p>
            <w:pPr>
              <w:pStyle w:val="11"/>
            </w:pPr>
            <w:r>
              <w:t>78.77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8.89</w:t>
            </w:r>
          </w:p>
        </w:tc>
        <w:tc>
          <w:tcPr>
            <w:tcW w:w="2551" w:type="dxa"/>
            <w:vAlign w:val="center"/>
          </w:tcPr>
          <w:p>
            <w:pPr>
              <w:pStyle w:val="11"/>
            </w:pPr>
            <w:r>
              <w:t>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49.57</w:t>
            </w:r>
          </w:p>
        </w:tc>
        <w:tc>
          <w:tcPr>
            <w:tcW w:w="2551" w:type="dxa"/>
            <w:vAlign w:val="center"/>
          </w:tcPr>
          <w:p>
            <w:pPr>
              <w:pStyle w:val="11"/>
            </w:pPr>
            <w:r>
              <w:t>49.57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20.30</w:t>
            </w:r>
          </w:p>
        </w:tc>
        <w:tc>
          <w:tcPr>
            <w:tcW w:w="2551" w:type="dxa"/>
            <w:vAlign w:val="center"/>
          </w:tcPr>
          <w:p>
            <w:pPr>
              <w:pStyle w:val="11"/>
            </w:pPr>
            <w:r>
              <w:t>20.30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6307.15</w:t>
            </w:r>
          </w:p>
        </w:tc>
        <w:tc>
          <w:tcPr>
            <w:tcW w:w="2551" w:type="dxa"/>
            <w:vAlign w:val="center"/>
          </w:tcPr>
          <w:p>
            <w:pPr>
              <w:pStyle w:val="11"/>
            </w:pPr>
            <w:r>
              <w:t>429.56</w:t>
            </w:r>
          </w:p>
        </w:tc>
        <w:tc>
          <w:tcPr>
            <w:tcW w:w="2551" w:type="dxa"/>
            <w:vAlign w:val="center"/>
          </w:tcPr>
          <w:p>
            <w:pPr>
              <w:pStyle w:val="11"/>
            </w:pPr>
            <w:r>
              <w:t>5877.60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5646.60</w:t>
            </w:r>
          </w:p>
        </w:tc>
        <w:tc>
          <w:tcPr>
            <w:tcW w:w="2551" w:type="dxa"/>
            <w:vAlign w:val="center"/>
          </w:tcPr>
          <w:p>
            <w:pPr>
              <w:pStyle w:val="11"/>
            </w:pPr>
          </w:p>
        </w:tc>
        <w:tc>
          <w:tcPr>
            <w:tcW w:w="2551" w:type="dxa"/>
            <w:vAlign w:val="center"/>
          </w:tcPr>
          <w:p>
            <w:pPr>
              <w:pStyle w:val="11"/>
            </w:pPr>
            <w:r>
              <w:t>5646.60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5646.60</w:t>
            </w:r>
          </w:p>
        </w:tc>
        <w:tc>
          <w:tcPr>
            <w:tcW w:w="2551" w:type="dxa"/>
            <w:vAlign w:val="center"/>
          </w:tcPr>
          <w:p>
            <w:pPr>
              <w:pStyle w:val="11"/>
            </w:pPr>
          </w:p>
        </w:tc>
        <w:tc>
          <w:tcPr>
            <w:tcW w:w="2551" w:type="dxa"/>
            <w:vAlign w:val="center"/>
          </w:tcPr>
          <w:p>
            <w:pPr>
              <w:pStyle w:val="11"/>
            </w:pPr>
            <w:r>
              <w:t>5646.60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432.06</w:t>
            </w:r>
          </w:p>
        </w:tc>
        <w:tc>
          <w:tcPr>
            <w:tcW w:w="2551" w:type="dxa"/>
            <w:vAlign w:val="center"/>
          </w:tcPr>
          <w:p>
            <w:pPr>
              <w:pStyle w:val="11"/>
            </w:pPr>
            <w:r>
              <w:t>401.06</w:t>
            </w:r>
          </w:p>
        </w:tc>
        <w:tc>
          <w:tcPr>
            <w:tcW w:w="2551"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401.06</w:t>
            </w:r>
          </w:p>
        </w:tc>
        <w:tc>
          <w:tcPr>
            <w:tcW w:w="2551" w:type="dxa"/>
            <w:vAlign w:val="center"/>
          </w:tcPr>
          <w:p>
            <w:pPr>
              <w:pStyle w:val="11"/>
            </w:pPr>
            <w:r>
              <w:t>401.06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2101505</w:t>
            </w:r>
          </w:p>
        </w:tc>
        <w:tc>
          <w:tcPr>
            <w:tcW w:w="4535" w:type="dxa"/>
            <w:vAlign w:val="center"/>
          </w:tcPr>
          <w:p>
            <w:pPr>
              <w:pStyle w:val="12"/>
            </w:pPr>
            <w:r>
              <w:t>医疗保障政策管理</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553.93</w:t>
            </w:r>
          </w:p>
        </w:tc>
        <w:tc>
          <w:tcPr>
            <w:tcW w:w="2551" w:type="dxa"/>
            <w:vAlign w:val="center"/>
          </w:tcPr>
          <w:p>
            <w:pPr>
              <w:pStyle w:val="15"/>
            </w:pPr>
            <w:r>
              <w:t>528.00</w:t>
            </w:r>
          </w:p>
        </w:tc>
        <w:tc>
          <w:tcPr>
            <w:tcW w:w="2551" w:type="dxa"/>
            <w:vAlign w:val="center"/>
          </w:tcPr>
          <w:p>
            <w:pPr>
              <w:pStyle w:val="15"/>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517.46</w:t>
            </w:r>
          </w:p>
        </w:tc>
        <w:tc>
          <w:tcPr>
            <w:tcW w:w="2551" w:type="dxa"/>
            <w:vAlign w:val="center"/>
          </w:tcPr>
          <w:p>
            <w:pPr>
              <w:pStyle w:val="11"/>
            </w:pPr>
            <w:r>
              <w:t>517.46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182.82</w:t>
            </w:r>
          </w:p>
        </w:tc>
        <w:tc>
          <w:tcPr>
            <w:tcW w:w="2551" w:type="dxa"/>
            <w:vAlign w:val="center"/>
          </w:tcPr>
          <w:p>
            <w:pPr>
              <w:pStyle w:val="11"/>
            </w:pPr>
            <w:r>
              <w:t>182.82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50.84</w:t>
            </w:r>
          </w:p>
        </w:tc>
        <w:tc>
          <w:tcPr>
            <w:tcW w:w="2551" w:type="dxa"/>
            <w:vAlign w:val="center"/>
          </w:tcPr>
          <w:p>
            <w:pPr>
              <w:pStyle w:val="11"/>
            </w:pPr>
            <w:r>
              <w:t>50.84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21.44</w:t>
            </w:r>
          </w:p>
        </w:tc>
        <w:tc>
          <w:tcPr>
            <w:tcW w:w="2551" w:type="dxa"/>
            <w:vAlign w:val="center"/>
          </w:tcPr>
          <w:p>
            <w:pPr>
              <w:pStyle w:val="11"/>
            </w:pPr>
            <w:r>
              <w:t>21.44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112.94</w:t>
            </w:r>
          </w:p>
        </w:tc>
        <w:tc>
          <w:tcPr>
            <w:tcW w:w="2551" w:type="dxa"/>
            <w:vAlign w:val="center"/>
          </w:tcPr>
          <w:p>
            <w:pPr>
              <w:pStyle w:val="11"/>
            </w:pPr>
            <w:r>
              <w:t>112.94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49.57</w:t>
            </w:r>
          </w:p>
        </w:tc>
        <w:tc>
          <w:tcPr>
            <w:tcW w:w="2551" w:type="dxa"/>
            <w:vAlign w:val="center"/>
          </w:tcPr>
          <w:p>
            <w:pPr>
              <w:pStyle w:val="11"/>
            </w:pPr>
            <w:r>
              <w:t>49.57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20.30</w:t>
            </w:r>
          </w:p>
        </w:tc>
        <w:tc>
          <w:tcPr>
            <w:tcW w:w="2551" w:type="dxa"/>
            <w:vAlign w:val="center"/>
          </w:tcPr>
          <w:p>
            <w:pPr>
              <w:pStyle w:val="11"/>
            </w:pPr>
            <w:r>
              <w:t>20.30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25.92</w:t>
            </w:r>
          </w:p>
        </w:tc>
        <w:tc>
          <w:tcPr>
            <w:tcW w:w="2551" w:type="dxa"/>
            <w:vAlign w:val="center"/>
          </w:tcPr>
          <w:p>
            <w:pPr>
              <w:pStyle w:val="11"/>
            </w:pPr>
          </w:p>
        </w:tc>
        <w:tc>
          <w:tcPr>
            <w:tcW w:w="2551" w:type="dxa"/>
            <w:vAlign w:val="center"/>
          </w:tcPr>
          <w:p>
            <w:pPr>
              <w:pStyle w:val="11"/>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3.04</w:t>
            </w:r>
          </w:p>
        </w:tc>
        <w:tc>
          <w:tcPr>
            <w:tcW w:w="2551" w:type="dxa"/>
            <w:vAlign w:val="center"/>
          </w:tcPr>
          <w:p>
            <w:pPr>
              <w:pStyle w:val="11"/>
            </w:pPr>
          </w:p>
        </w:tc>
        <w:tc>
          <w:tcPr>
            <w:tcW w:w="2551" w:type="dxa"/>
            <w:vAlign w:val="center"/>
          </w:tcPr>
          <w:p>
            <w:pPr>
              <w:pStyle w:val="11"/>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3.71</w:t>
            </w:r>
          </w:p>
        </w:tc>
        <w:tc>
          <w:tcPr>
            <w:tcW w:w="2551" w:type="dxa"/>
            <w:vAlign w:val="center"/>
          </w:tcPr>
          <w:p>
            <w:pPr>
              <w:pStyle w:val="11"/>
            </w:pPr>
          </w:p>
        </w:tc>
        <w:tc>
          <w:tcPr>
            <w:tcW w:w="2551" w:type="dxa"/>
            <w:vAlign w:val="center"/>
          </w:tcPr>
          <w:p>
            <w:pPr>
              <w:pStyle w:val="11"/>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4.57</w:t>
            </w:r>
          </w:p>
        </w:tc>
        <w:tc>
          <w:tcPr>
            <w:tcW w:w="2551" w:type="dxa"/>
            <w:vAlign w:val="center"/>
          </w:tcPr>
          <w:p>
            <w:pPr>
              <w:pStyle w:val="11"/>
            </w:pPr>
          </w:p>
        </w:tc>
        <w:tc>
          <w:tcPr>
            <w:tcW w:w="2551"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7.08</w:t>
            </w:r>
          </w:p>
        </w:tc>
        <w:tc>
          <w:tcPr>
            <w:tcW w:w="2551" w:type="dxa"/>
            <w:vAlign w:val="center"/>
          </w:tcPr>
          <w:p>
            <w:pPr>
              <w:pStyle w:val="11"/>
            </w:pPr>
          </w:p>
        </w:tc>
        <w:tc>
          <w:tcPr>
            <w:tcW w:w="2551" w:type="dxa"/>
            <w:vAlign w:val="center"/>
          </w:tcPr>
          <w:p>
            <w:pPr>
              <w:pStyle w:val="11"/>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10.54</w:t>
            </w:r>
          </w:p>
        </w:tc>
        <w:tc>
          <w:tcPr>
            <w:tcW w:w="2551" w:type="dxa"/>
            <w:vAlign w:val="center"/>
          </w:tcPr>
          <w:p>
            <w:pPr>
              <w:pStyle w:val="11"/>
            </w:pPr>
            <w:r>
              <w:t>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8.89</w:t>
            </w:r>
          </w:p>
        </w:tc>
        <w:tc>
          <w:tcPr>
            <w:tcW w:w="2551" w:type="dxa"/>
            <w:vAlign w:val="center"/>
          </w:tcPr>
          <w:p>
            <w:pPr>
              <w:pStyle w:val="11"/>
            </w:pPr>
            <w:r>
              <w:t>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bookmarkStart w:id="1" w:name="_GoBack"/>
            <w:bookmarkEnd w:id="1"/>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新乐市医疗保障局本级2024年单位预算信息公开情况说明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按照《中华人民共和国预算法》、《地方预决算公开操作规程》和《关于进一步推进预算公开工作的实施意见》规定，现将新乐市医疗保障局本级2024年单位预算公开如下：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主要职责是：</w:t>
      </w:r>
    </w:p>
    <w:p>
      <w:pPr>
        <w:pStyle w:val="17"/>
      </w:pPr>
      <w:r>
        <w:t>（一）贯彻落实省、石家庄市城镇职工和城乡居民医疗保险、生育保险、长期护理保险、医疗救助等医疗保障地方性法规、政府规章以及政策、制度、规划和标准。</w:t>
      </w:r>
    </w:p>
    <w:p>
      <w:pPr>
        <w:pStyle w:val="17"/>
      </w:pPr>
      <w:r>
        <w:t>（二）贯彻落实省、石家庄市医疗保障基金监督管理办法，建立健全医疗保障基金安全防控机制，使用维护网络信息和智能监控平台，推进医疗保障基金支付方式改革，并组织实施。</w:t>
      </w:r>
    </w:p>
    <w:p>
      <w:pPr>
        <w:pStyle w:val="17"/>
      </w:pPr>
      <w:r>
        <w:t>（三）贯彻落实省、石家庄市城镇职工、城乡居民参保筹资和保障待遇政策，统筹城乡医疗保障政策标准，建立健全与筹资水平相适应的待遇调整机制。组织实施长期护理保险制度方案及政策标准。</w:t>
      </w:r>
    </w:p>
    <w:p>
      <w:pPr>
        <w:pStyle w:val="17"/>
      </w:pPr>
      <w:r>
        <w:t>（四）贯彻落实省、石家庄市城乡统一的药品、医用耗材、医疗服务项目、医疗服务设施等医保支付标准，实行动态调整。</w:t>
      </w:r>
    </w:p>
    <w:p>
      <w:pPr>
        <w:pStyle w:val="17"/>
      </w:pPr>
      <w:r>
        <w:t>（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7"/>
      </w:pPr>
      <w:r>
        <w:t>（六）落实省、石家庄市药品、医用耗材的招标采购政策，指导药品、医用耗材招投标采购平台建设。</w:t>
      </w:r>
    </w:p>
    <w:p>
      <w:pPr>
        <w:pStyle w:val="17"/>
      </w:pPr>
      <w:r>
        <w:t>（七）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（八）负责医疗保障经办管理、公共服务体系和信息化建设。执行异地就医管理、费用结算政策和医疗保障关系转移接续制度。</w:t>
      </w:r>
    </w:p>
    <w:p>
      <w:pPr>
        <w:pStyle w:val="17"/>
      </w:pPr>
      <w:r>
        <w:t>（九）完成市委、市政府交办的其他任务。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6431.53万元，其中：一般公共预算收入6431.53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医疗保障局本级年度单位预算中支出预算的总体情况。2024年支出预算6431.53万元，其中基本支出553.93万元，包括人员经费528.00万元和日常公用经费25.92万元；项目支出5877.60万元，主要为2024年城乡居民医疗保险财政补助5646.60万元；城乡医疗救助财政补助200万元；2024年中央财政医保服务与能力提升补助资金31万元。</w:t>
      </w:r>
    </w:p>
    <w:p>
      <w:pPr>
        <w:pStyle w:val="18"/>
      </w:pPr>
      <w:r>
        <w:t>3、比上年增减情况</w:t>
      </w:r>
    </w:p>
    <w:p>
      <w:pPr>
        <w:pStyle w:val="23"/>
      </w:pPr>
      <w:r>
        <w:t>2024年预算收支安排6431.53万元，较2023年预算减少1047.3</w:t>
      </w:r>
      <w:r>
        <w:rPr>
          <w:rFonts w:hint="eastAsia"/>
          <w:lang w:val="en-US" w:eastAsia="zh-CN"/>
        </w:rPr>
        <w:t>6</w:t>
      </w:r>
      <w:r>
        <w:t>万元，其中：基本支出增加30.37万元，主要为主要是人员工资增加和社保缴费增加项目支出减少1077.73万元，主要为项目预算减少，医疗救助上级补助资金下达至上级部门，本级不做预算。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ascii="Times New Roman" w:hAnsi="Times New Roman" w:eastAsia="方正仿宋_GBK" w:cs="Times New Roman"/>
          <w:color w:val="000000"/>
          <w:sz w:val="28"/>
        </w:rPr>
        <w:t>年，新乐市医疗保障局机关运行经费共计安排</w:t>
      </w:r>
      <w:r>
        <w:rPr>
          <w:rFonts w:hint="eastAsia" w:eastAsia="方正仿宋_GBK" w:cs="Times New Roman"/>
          <w:color w:val="000000"/>
          <w:sz w:val="28"/>
          <w:lang w:val="en-US" w:eastAsia="zh-CN"/>
        </w:rPr>
        <w:t>25.92万</w:t>
      </w:r>
      <w:r>
        <w:rPr>
          <w:rFonts w:ascii="Times New Roman" w:hAnsi="Times New Roman" w:eastAsia="方正仿宋_GBK" w:cs="Times New Roman"/>
          <w:color w:val="000000"/>
          <w:sz w:val="28"/>
        </w:rPr>
        <w:t>元，主要用于日常维修、</w:t>
      </w:r>
      <w:r>
        <w:rPr>
          <w:rFonts w:hint="eastAsia" w:eastAsia="方正仿宋_GBK" w:cs="Times New Roman"/>
          <w:color w:val="000000"/>
          <w:sz w:val="28"/>
          <w:lang w:eastAsia="zh-CN"/>
        </w:rPr>
        <w:t>办公用品、</w:t>
      </w:r>
      <w:r>
        <w:rPr>
          <w:rFonts w:ascii="Times New Roman" w:hAnsi="Times New Roman" w:eastAsia="方正仿宋_GBK" w:cs="Times New Roman"/>
          <w:color w:val="000000"/>
          <w:sz w:val="28"/>
        </w:rPr>
        <w:t>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4</w:t>
      </w:r>
      <w:r>
        <w:t>年，新乐市医疗保障局财政拨款“三公”经费预算安排2.</w:t>
      </w:r>
      <w:r>
        <w:rPr>
          <w:rFonts w:hint="eastAsia"/>
          <w:lang w:val="en-US" w:eastAsia="zh-CN"/>
        </w:rPr>
        <w:t>4</w:t>
      </w:r>
      <w:r>
        <w:t>万元，其中因公出国（境）费0万元；公务用车购置及运维费2.</w:t>
      </w:r>
      <w:r>
        <w:rPr>
          <w:rFonts w:hint="eastAsia"/>
          <w:lang w:val="en-US" w:eastAsia="zh-CN"/>
        </w:rPr>
        <w:t>4</w:t>
      </w:r>
      <w:r>
        <w:t>万元（其中：公务用车购置费为0万元，公务用车运维费2.</w:t>
      </w:r>
      <w:r>
        <w:rPr>
          <w:rFonts w:hint="eastAsia"/>
          <w:lang w:val="en-US" w:eastAsia="zh-CN"/>
        </w:rPr>
        <w:t>4</w:t>
      </w:r>
      <w:r>
        <w:t>万元)；公务接待费0万元。</w:t>
      </w:r>
    </w:p>
    <w:p>
      <w:pPr>
        <w:pStyle w:val="24"/>
      </w:pPr>
      <w:r>
        <w:t>因公出国（境）费0万元，与上年相比持平，无增减变化，主要原因是年初没有安排因公出国费；</w:t>
      </w:r>
    </w:p>
    <w:p>
      <w:pPr>
        <w:pStyle w:val="24"/>
        <w:rPr>
          <w:rFonts w:hint="eastAsia" w:eastAsia="方正仿宋_GBK"/>
          <w:lang w:eastAsia="zh-CN"/>
        </w:rPr>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eastAsia="zh-CN"/>
        </w:rPr>
        <w:t>减少</w:t>
      </w:r>
      <w:r>
        <w:rPr>
          <w:rFonts w:hint="eastAsia"/>
          <w:lang w:val="en-US" w:eastAsia="zh-CN"/>
        </w:rPr>
        <w:t>0.1万元</w:t>
      </w:r>
      <w:r>
        <w:t>，主要原因是公务用车严格执行相关制度，厉行节约</w:t>
      </w:r>
      <w:r>
        <w:rPr>
          <w:rFonts w:hint="eastAsia"/>
          <w:lang w:eastAsia="zh-CN"/>
        </w:rPr>
        <w:t>；</w:t>
      </w:r>
    </w:p>
    <w:p>
      <w:pPr>
        <w:pStyle w:val="24"/>
      </w:pPr>
      <w:r>
        <w:t>公务接待费0万元，与上年相比</w:t>
      </w:r>
      <w:r>
        <w:rPr>
          <w:rFonts w:hint="eastAsia"/>
          <w:lang w:eastAsia="zh-CN"/>
        </w:rPr>
        <w:t>持平</w:t>
      </w:r>
      <w:r>
        <w:t>，主要原因为严格执行中央八项规定。</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1、2024年本级支出-城乡居民医疗保险绩效目标表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13018424P000019100021</w:t>
            </w:r>
          </w:p>
        </w:tc>
        <w:tc>
          <w:tcPr>
            <w:tcW w:w="2835" w:type="dxa"/>
            <w:vAlign w:val="center"/>
          </w:tcPr>
          <w:p>
            <w:pPr>
              <w:pStyle w:val="10"/>
            </w:pPr>
            <w:r>
              <w:t>项目名称</w:t>
            </w:r>
          </w:p>
        </w:tc>
        <w:tc>
          <w:tcPr>
            <w:tcW w:w="6094" w:type="dxa"/>
            <w:gridSpan w:val="3"/>
            <w:vAlign w:val="center"/>
          </w:tcPr>
          <w:p>
            <w:pPr>
              <w:pStyle w:val="12"/>
            </w:pPr>
            <w:r>
              <w:t>2024年本级支出-城乡居民医疗保险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5646.60</w:t>
            </w:r>
          </w:p>
        </w:tc>
        <w:tc>
          <w:tcPr>
            <w:tcW w:w="2835" w:type="dxa"/>
            <w:vAlign w:val="center"/>
          </w:tcPr>
          <w:p>
            <w:pPr>
              <w:pStyle w:val="10"/>
            </w:pPr>
            <w:r>
              <w:t>其中：财政    资金</w:t>
            </w:r>
          </w:p>
        </w:tc>
        <w:tc>
          <w:tcPr>
            <w:tcW w:w="2551" w:type="dxa"/>
            <w:vAlign w:val="center"/>
          </w:tcPr>
          <w:p>
            <w:pPr>
              <w:pStyle w:val="12"/>
            </w:pPr>
            <w:r>
              <w:t>5646.60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用于参加城乡居民医疗保险按规定标准的县级财政补助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1500.00</w:t>
            </w:r>
          </w:p>
        </w:tc>
        <w:tc>
          <w:tcPr>
            <w:tcW w:w="2835" w:type="dxa"/>
            <w:vAlign w:val="center"/>
          </w:tcPr>
          <w:p>
            <w:pPr>
              <w:pStyle w:val="13"/>
            </w:pPr>
            <w:r>
              <w:t>3000.00</w:t>
            </w:r>
          </w:p>
        </w:tc>
        <w:tc>
          <w:tcPr>
            <w:tcW w:w="2551" w:type="dxa"/>
            <w:vAlign w:val="center"/>
          </w:tcPr>
          <w:p>
            <w:pPr>
              <w:pStyle w:val="13"/>
            </w:pPr>
            <w:r>
              <w:t>4500.00</w:t>
            </w:r>
          </w:p>
        </w:tc>
        <w:tc>
          <w:tcPr>
            <w:tcW w:w="3543" w:type="dxa"/>
            <w:gridSpan w:val="2"/>
            <w:vAlign w:val="center"/>
          </w:tcPr>
          <w:p>
            <w:pPr>
              <w:pStyle w:val="13"/>
            </w:pPr>
            <w:r>
              <w:t>5646.60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1.巩固参保率；保障参保人员医疗待遇水平； 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居民参保人数（人）</w:t>
            </w:r>
          </w:p>
        </w:tc>
        <w:tc>
          <w:tcPr>
            <w:tcW w:w="5386" w:type="dxa"/>
            <w:vAlign w:val="center"/>
          </w:tcPr>
          <w:p>
            <w:pPr>
              <w:pStyle w:val="12"/>
            </w:pPr>
            <w:r>
              <w:t>居民参保人数（人）</w:t>
            </w:r>
          </w:p>
        </w:tc>
        <w:tc>
          <w:tcPr>
            <w:tcW w:w="2268" w:type="dxa"/>
            <w:vAlign w:val="center"/>
          </w:tcPr>
          <w:p>
            <w:pPr>
              <w:pStyle w:val="12"/>
            </w:pPr>
            <w:r>
              <w:t>≥420952人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以常住人口数为基数计算的基本参保综合参保率（%）</w:t>
            </w:r>
          </w:p>
        </w:tc>
        <w:tc>
          <w:tcPr>
            <w:tcW w:w="5386" w:type="dxa"/>
            <w:vAlign w:val="center"/>
          </w:tcPr>
          <w:p>
            <w:pPr>
              <w:pStyle w:val="12"/>
            </w:pPr>
            <w:r>
              <w:t>以常住人口数为基数计算的基本参保综合参保率（%）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重复参保人数(人)</w:t>
            </w:r>
          </w:p>
        </w:tc>
        <w:tc>
          <w:tcPr>
            <w:tcW w:w="5386" w:type="dxa"/>
            <w:vAlign w:val="center"/>
          </w:tcPr>
          <w:p>
            <w:pPr>
              <w:pStyle w:val="12"/>
            </w:pPr>
            <w:r>
              <w:t>重复参保人数(人)</w:t>
            </w:r>
          </w:p>
        </w:tc>
        <w:tc>
          <w:tcPr>
            <w:tcW w:w="2268" w:type="dxa"/>
            <w:vAlign w:val="center"/>
          </w:tcPr>
          <w:p>
            <w:pPr>
              <w:pStyle w:val="12"/>
            </w:pPr>
            <w:r>
              <w:t>0人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虚报参保人数（人）</w:t>
            </w:r>
          </w:p>
        </w:tc>
        <w:tc>
          <w:tcPr>
            <w:tcW w:w="5386" w:type="dxa"/>
            <w:vAlign w:val="center"/>
          </w:tcPr>
          <w:p>
            <w:pPr>
              <w:pStyle w:val="12"/>
            </w:pPr>
            <w:r>
              <w:t>虚报参保人数（人）</w:t>
            </w:r>
          </w:p>
        </w:tc>
        <w:tc>
          <w:tcPr>
            <w:tcW w:w="2268" w:type="dxa"/>
            <w:vAlign w:val="center"/>
          </w:tcPr>
          <w:p>
            <w:pPr>
              <w:pStyle w:val="12"/>
            </w:pPr>
            <w:r>
              <w:t>0人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参保人住院费用实际报销比例</w:t>
            </w:r>
          </w:p>
        </w:tc>
        <w:tc>
          <w:tcPr>
            <w:tcW w:w="5386" w:type="dxa"/>
            <w:vAlign w:val="center"/>
          </w:tcPr>
          <w:p>
            <w:pPr>
              <w:pStyle w:val="12"/>
            </w:pPr>
            <w:r>
              <w:t>参保人住院费用实际报销比例</w:t>
            </w:r>
          </w:p>
        </w:tc>
        <w:tc>
          <w:tcPr>
            <w:tcW w:w="2268" w:type="dxa"/>
            <w:vAlign w:val="center"/>
          </w:tcPr>
          <w:p>
            <w:pPr>
              <w:pStyle w:val="12"/>
            </w:pPr>
            <w:r>
              <w:t>≥55%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实行按病种（组）等支付方式改革</w:t>
            </w:r>
          </w:p>
        </w:tc>
        <w:tc>
          <w:tcPr>
            <w:tcW w:w="5386" w:type="dxa"/>
            <w:vAlign w:val="center"/>
          </w:tcPr>
          <w:p>
            <w:pPr>
              <w:pStyle w:val="12"/>
            </w:pPr>
            <w:r>
              <w:t>实行按病种（组）等支付方式改革</w:t>
            </w:r>
          </w:p>
        </w:tc>
        <w:tc>
          <w:tcPr>
            <w:tcW w:w="2268" w:type="dxa"/>
            <w:vAlign w:val="center"/>
          </w:tcPr>
          <w:p>
            <w:pPr>
              <w:pStyle w:val="12"/>
            </w:pPr>
            <w:r>
              <w:t>逐步开展</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开展门诊统筹</w:t>
            </w:r>
          </w:p>
        </w:tc>
        <w:tc>
          <w:tcPr>
            <w:tcW w:w="5386" w:type="dxa"/>
            <w:vAlign w:val="center"/>
          </w:tcPr>
          <w:p>
            <w:pPr>
              <w:pStyle w:val="12"/>
            </w:pPr>
            <w:r>
              <w:t>开展门诊统筹</w:t>
            </w:r>
          </w:p>
        </w:tc>
        <w:tc>
          <w:tcPr>
            <w:tcW w:w="2268" w:type="dxa"/>
            <w:vAlign w:val="center"/>
          </w:tcPr>
          <w:p>
            <w:pPr>
              <w:pStyle w:val="12"/>
            </w:pPr>
            <w:r>
              <w:t>逐步推开</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当年各级财政补助资金到位率(%)</w:t>
            </w:r>
          </w:p>
        </w:tc>
        <w:tc>
          <w:tcPr>
            <w:tcW w:w="5386" w:type="dxa"/>
            <w:vAlign w:val="center"/>
          </w:tcPr>
          <w:p>
            <w:pPr>
              <w:pStyle w:val="12"/>
            </w:pPr>
            <w:r>
              <w:t>当年各级财政补助资金到位率(%)</w:t>
            </w:r>
          </w:p>
        </w:tc>
        <w:tc>
          <w:tcPr>
            <w:tcW w:w="2268" w:type="dxa"/>
            <w:vAlign w:val="center"/>
          </w:tcPr>
          <w:p>
            <w:pPr>
              <w:pStyle w:val="12"/>
            </w:pPr>
            <w:r>
              <w:t>100%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参保居民个人实际缴费标准（元）</w:t>
            </w:r>
          </w:p>
        </w:tc>
        <w:tc>
          <w:tcPr>
            <w:tcW w:w="5386" w:type="dxa"/>
            <w:vAlign w:val="center"/>
          </w:tcPr>
          <w:p>
            <w:pPr>
              <w:pStyle w:val="12"/>
            </w:pPr>
            <w:r>
              <w:t>参保居民个人实际缴费标准（元）</w:t>
            </w:r>
          </w:p>
        </w:tc>
        <w:tc>
          <w:tcPr>
            <w:tcW w:w="2268" w:type="dxa"/>
            <w:vAlign w:val="center"/>
          </w:tcPr>
          <w:p>
            <w:pPr>
              <w:pStyle w:val="12"/>
            </w:pPr>
            <w:r>
              <w:t>390元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≥80%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参保对象满意度（%）</w:t>
            </w:r>
          </w:p>
        </w:tc>
        <w:tc>
          <w:tcPr>
            <w:tcW w:w="5386" w:type="dxa"/>
            <w:vAlign w:val="center"/>
          </w:tcPr>
          <w:p>
            <w:pPr>
              <w:pStyle w:val="12"/>
            </w:pPr>
            <w:r>
              <w:t>参保对象满意度（%）</w:t>
            </w:r>
          </w:p>
        </w:tc>
        <w:tc>
          <w:tcPr>
            <w:tcW w:w="2268" w:type="dxa"/>
            <w:vAlign w:val="center"/>
          </w:tcPr>
          <w:p>
            <w:pPr>
              <w:pStyle w:val="12"/>
            </w:pPr>
            <w:r>
              <w:t>≥90%</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2、2024年本级支出-医疗救助县级财政补助绩效目标表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13018424P00002010001H</w:t>
            </w:r>
          </w:p>
        </w:tc>
        <w:tc>
          <w:tcPr>
            <w:tcW w:w="2835" w:type="dxa"/>
            <w:vAlign w:val="center"/>
          </w:tcPr>
          <w:p>
            <w:pPr>
              <w:pStyle w:val="10"/>
            </w:pPr>
            <w:r>
              <w:t>项目名称</w:t>
            </w:r>
          </w:p>
        </w:tc>
        <w:tc>
          <w:tcPr>
            <w:tcW w:w="6094" w:type="dxa"/>
            <w:gridSpan w:val="3"/>
            <w:vAlign w:val="center"/>
          </w:tcPr>
          <w:p>
            <w:pPr>
              <w:pStyle w:val="12"/>
            </w:pPr>
            <w:r>
              <w:t>2024年本级支出-医疗救助县级财政补助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强化基本医疗保险大病保险医疗救助三重制度综合保障，实事求是确定困难群众医疗保障待遇标准，确保困哪群众基本医疗有保障，不因患重特大疾病影响基本生活，同时避免过度保障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200.00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1.持续实施重特大疾病医疗救助；年度救助对象人次规模与上年持平；强化医疗救助规范管理。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门诊救助人次数</w:t>
            </w:r>
          </w:p>
        </w:tc>
        <w:tc>
          <w:tcPr>
            <w:tcW w:w="5386" w:type="dxa"/>
            <w:vAlign w:val="center"/>
          </w:tcPr>
          <w:p>
            <w:pPr>
              <w:pStyle w:val="12"/>
            </w:pPr>
            <w:r>
              <w:t>门诊救助人次数</w:t>
            </w:r>
          </w:p>
        </w:tc>
        <w:tc>
          <w:tcPr>
            <w:tcW w:w="2268" w:type="dxa"/>
            <w:vAlign w:val="center"/>
          </w:tcPr>
          <w:p>
            <w:pPr>
              <w:pStyle w:val="12"/>
            </w:pPr>
            <w:r>
              <w:t>≥70000人次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住院救助人次数</w:t>
            </w:r>
          </w:p>
        </w:tc>
        <w:tc>
          <w:tcPr>
            <w:tcW w:w="5386" w:type="dxa"/>
            <w:vAlign w:val="center"/>
          </w:tcPr>
          <w:p>
            <w:pPr>
              <w:pStyle w:val="12"/>
            </w:pPr>
            <w:r>
              <w:t>住院救助人次数</w:t>
            </w:r>
          </w:p>
        </w:tc>
        <w:tc>
          <w:tcPr>
            <w:tcW w:w="2268" w:type="dxa"/>
            <w:vAlign w:val="center"/>
          </w:tcPr>
          <w:p>
            <w:pPr>
              <w:pStyle w:val="12"/>
            </w:pPr>
            <w:r>
              <w:t>≥5000人次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资助参保参保人次数</w:t>
            </w:r>
          </w:p>
        </w:tc>
        <w:tc>
          <w:tcPr>
            <w:tcW w:w="5386" w:type="dxa"/>
            <w:vAlign w:val="center"/>
          </w:tcPr>
          <w:p>
            <w:pPr>
              <w:pStyle w:val="12"/>
            </w:pPr>
            <w:r>
              <w:t>资助参保参保人次数</w:t>
            </w:r>
          </w:p>
        </w:tc>
        <w:tc>
          <w:tcPr>
            <w:tcW w:w="2268" w:type="dxa"/>
            <w:vAlign w:val="center"/>
          </w:tcPr>
          <w:p>
            <w:pPr>
              <w:pStyle w:val="12"/>
            </w:pPr>
            <w:r>
              <w:t>≥12327人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门诊医疗费用救助比例</w:t>
            </w:r>
          </w:p>
        </w:tc>
        <w:tc>
          <w:tcPr>
            <w:tcW w:w="5386" w:type="dxa"/>
            <w:vAlign w:val="center"/>
          </w:tcPr>
          <w:p>
            <w:pPr>
              <w:pStyle w:val="12"/>
            </w:pPr>
            <w:r>
              <w:t>门诊医疗费用救助比例</w:t>
            </w:r>
          </w:p>
        </w:tc>
        <w:tc>
          <w:tcPr>
            <w:tcW w:w="2268" w:type="dxa"/>
            <w:vAlign w:val="center"/>
          </w:tcPr>
          <w:p>
            <w:pPr>
              <w:pStyle w:val="12"/>
            </w:pPr>
            <w:r>
              <w:t>≥50%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住院医疗费救助比例</w:t>
            </w:r>
          </w:p>
        </w:tc>
        <w:tc>
          <w:tcPr>
            <w:tcW w:w="5386" w:type="dxa"/>
            <w:vAlign w:val="center"/>
          </w:tcPr>
          <w:p>
            <w:pPr>
              <w:pStyle w:val="12"/>
            </w:pPr>
            <w:r>
              <w:t>住院医疗费救助比例</w:t>
            </w:r>
          </w:p>
        </w:tc>
        <w:tc>
          <w:tcPr>
            <w:tcW w:w="2268" w:type="dxa"/>
            <w:vAlign w:val="center"/>
          </w:tcPr>
          <w:p>
            <w:pPr>
              <w:pStyle w:val="12"/>
            </w:pPr>
            <w:r>
              <w:t>≥80%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一站式即时结算覆盖地区</w:t>
            </w:r>
          </w:p>
        </w:tc>
        <w:tc>
          <w:tcPr>
            <w:tcW w:w="5386" w:type="dxa"/>
            <w:vAlign w:val="center"/>
          </w:tcPr>
          <w:p>
            <w:pPr>
              <w:pStyle w:val="12"/>
            </w:pPr>
            <w:r>
              <w:t>一站式即时结算覆盖地区</w:t>
            </w:r>
          </w:p>
        </w:tc>
        <w:tc>
          <w:tcPr>
            <w:tcW w:w="2268" w:type="dxa"/>
            <w:vAlign w:val="center"/>
          </w:tcPr>
          <w:p>
            <w:pPr>
              <w:pStyle w:val="12"/>
            </w:pPr>
            <w:r>
              <w:t>全覆盖</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特困人员资助金额</w:t>
            </w:r>
          </w:p>
        </w:tc>
        <w:tc>
          <w:tcPr>
            <w:tcW w:w="5386" w:type="dxa"/>
            <w:vAlign w:val="center"/>
          </w:tcPr>
          <w:p>
            <w:pPr>
              <w:pStyle w:val="12"/>
            </w:pPr>
            <w:r>
              <w:t>资助特困人员参加城乡居民医保金额</w:t>
            </w:r>
          </w:p>
        </w:tc>
        <w:tc>
          <w:tcPr>
            <w:tcW w:w="2268" w:type="dxa"/>
            <w:vAlign w:val="center"/>
          </w:tcPr>
          <w:p>
            <w:pPr>
              <w:pStyle w:val="12"/>
            </w:pPr>
            <w:r>
              <w:t>390元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医疗救助对象覆盖范围</w:t>
            </w:r>
          </w:p>
        </w:tc>
        <w:tc>
          <w:tcPr>
            <w:tcW w:w="5386" w:type="dxa"/>
            <w:vAlign w:val="center"/>
          </w:tcPr>
          <w:p>
            <w:pPr>
              <w:pStyle w:val="12"/>
            </w:pPr>
            <w:r>
              <w:t>医疗救助对象覆盖范围</w:t>
            </w:r>
          </w:p>
        </w:tc>
        <w:tc>
          <w:tcPr>
            <w:tcW w:w="2268" w:type="dxa"/>
            <w:vAlign w:val="center"/>
          </w:tcPr>
          <w:p>
            <w:pPr>
              <w:pStyle w:val="12"/>
            </w:pPr>
            <w:r>
              <w:t>应覆盖尽覆盖</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困难群众医疗费用负担减轻程度</w:t>
            </w:r>
          </w:p>
        </w:tc>
        <w:tc>
          <w:tcPr>
            <w:tcW w:w="5386" w:type="dxa"/>
            <w:vAlign w:val="center"/>
          </w:tcPr>
          <w:p>
            <w:pPr>
              <w:pStyle w:val="12"/>
            </w:pPr>
            <w:r>
              <w:t>困难群众医疗费用负担减轻程度</w:t>
            </w:r>
          </w:p>
        </w:tc>
        <w:tc>
          <w:tcPr>
            <w:tcW w:w="2268" w:type="dxa"/>
            <w:vAlign w:val="center"/>
          </w:tcPr>
          <w:p>
            <w:pPr>
              <w:pStyle w:val="12"/>
            </w:pPr>
            <w:r>
              <w:t>明显减轻</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困难群众看病就医方便程度</w:t>
            </w:r>
          </w:p>
        </w:tc>
        <w:tc>
          <w:tcPr>
            <w:tcW w:w="5386" w:type="dxa"/>
            <w:vAlign w:val="center"/>
          </w:tcPr>
          <w:p>
            <w:pPr>
              <w:pStyle w:val="12"/>
            </w:pPr>
            <w:r>
              <w:t>困难群众看病就医方便程度</w:t>
            </w:r>
          </w:p>
        </w:tc>
        <w:tc>
          <w:tcPr>
            <w:tcW w:w="2268" w:type="dxa"/>
            <w:vAlign w:val="center"/>
          </w:tcPr>
          <w:p>
            <w:pPr>
              <w:pStyle w:val="12"/>
            </w:pPr>
            <w:r>
              <w:t>比较方便</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对健全医疗救助体系的影响</w:t>
            </w:r>
          </w:p>
        </w:tc>
        <w:tc>
          <w:tcPr>
            <w:tcW w:w="5386" w:type="dxa"/>
            <w:vAlign w:val="center"/>
          </w:tcPr>
          <w:p>
            <w:pPr>
              <w:pStyle w:val="12"/>
            </w:pPr>
            <w:r>
              <w:t>对健全医疗救助体系的影响</w:t>
            </w:r>
          </w:p>
        </w:tc>
        <w:tc>
          <w:tcPr>
            <w:tcW w:w="2268" w:type="dxa"/>
            <w:vAlign w:val="center"/>
          </w:tcPr>
          <w:p>
            <w:pPr>
              <w:pStyle w:val="12"/>
            </w:pPr>
            <w:r>
              <w:t>成效明显</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对健全医疗保障制度体系的作用</w:t>
            </w:r>
          </w:p>
        </w:tc>
        <w:tc>
          <w:tcPr>
            <w:tcW w:w="5386" w:type="dxa"/>
            <w:vAlign w:val="center"/>
          </w:tcPr>
          <w:p>
            <w:pPr>
              <w:pStyle w:val="12"/>
            </w:pPr>
            <w:r>
              <w:t>对健全医疗保障制度体系的作用</w:t>
            </w:r>
          </w:p>
        </w:tc>
        <w:tc>
          <w:tcPr>
            <w:tcW w:w="2268" w:type="dxa"/>
            <w:vAlign w:val="center"/>
          </w:tcPr>
          <w:p>
            <w:pPr>
              <w:pStyle w:val="12"/>
            </w:pPr>
            <w:r>
              <w:t>效果明显</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5386" w:type="dxa"/>
            <w:vAlign w:val="center"/>
          </w:tcPr>
          <w:p>
            <w:pPr>
              <w:pStyle w:val="12"/>
            </w:pPr>
            <w:r>
              <w:t>政策知晓率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工作满意度</w:t>
            </w:r>
          </w:p>
        </w:tc>
        <w:tc>
          <w:tcPr>
            <w:tcW w:w="5386" w:type="dxa"/>
            <w:vAlign w:val="center"/>
          </w:tcPr>
          <w:p>
            <w:pPr>
              <w:pStyle w:val="12"/>
            </w:pPr>
            <w:r>
              <w:t>工作满意度</w:t>
            </w:r>
          </w:p>
        </w:tc>
        <w:tc>
          <w:tcPr>
            <w:tcW w:w="2268" w:type="dxa"/>
            <w:vAlign w:val="center"/>
          </w:tcPr>
          <w:p>
            <w:pPr>
              <w:pStyle w:val="12"/>
            </w:pPr>
            <w:r>
              <w:t>≥90%</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3、冀财社【2023】208号-提前下达2024年中央财政医疗服务与保障能力提升补助资金绩效目标表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13018424P00387910001E</w:t>
            </w:r>
          </w:p>
        </w:tc>
        <w:tc>
          <w:tcPr>
            <w:tcW w:w="2835" w:type="dxa"/>
            <w:vAlign w:val="center"/>
          </w:tcPr>
          <w:p>
            <w:pPr>
              <w:pStyle w:val="10"/>
            </w:pPr>
            <w:r>
              <w:t>项目名称</w:t>
            </w:r>
          </w:p>
        </w:tc>
        <w:tc>
          <w:tcPr>
            <w:tcW w:w="6094" w:type="dxa"/>
            <w:gridSpan w:val="3"/>
            <w:vAlign w:val="center"/>
          </w:tcPr>
          <w:p>
            <w:pPr>
              <w:pStyle w:val="12"/>
            </w:pPr>
            <w:r>
              <w:t>冀财社【2023】208号-提前下达2024年中央财政医疗服务与保障能力提升补助资金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用于医疗服务与保障能力提升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国家统一医保信息平台正常运行，定点医药机构监督检查全覆盖，推行DIP医保支付方式改革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召开医保政策培训会</w:t>
            </w:r>
          </w:p>
        </w:tc>
        <w:tc>
          <w:tcPr>
            <w:tcW w:w="5386" w:type="dxa"/>
            <w:vAlign w:val="center"/>
          </w:tcPr>
          <w:p>
            <w:pPr>
              <w:pStyle w:val="12"/>
            </w:pPr>
            <w:r>
              <w:t>召开医保政策培训会</w:t>
            </w:r>
          </w:p>
        </w:tc>
        <w:tc>
          <w:tcPr>
            <w:tcW w:w="2268" w:type="dxa"/>
            <w:vAlign w:val="center"/>
          </w:tcPr>
          <w:p>
            <w:pPr>
              <w:pStyle w:val="12"/>
            </w:pPr>
            <w:r>
              <w:t>≥2场次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定点医药机构监督检查覆盖率</w:t>
            </w:r>
          </w:p>
        </w:tc>
        <w:tc>
          <w:tcPr>
            <w:tcW w:w="5386" w:type="dxa"/>
            <w:vAlign w:val="center"/>
          </w:tcPr>
          <w:p>
            <w:pPr>
              <w:pStyle w:val="12"/>
            </w:pPr>
            <w:r>
              <w:t>定点医药机构监督检查覆盖率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启动DIP实际付费工作</w:t>
            </w:r>
          </w:p>
        </w:tc>
        <w:tc>
          <w:tcPr>
            <w:tcW w:w="5386" w:type="dxa"/>
            <w:vAlign w:val="center"/>
          </w:tcPr>
          <w:p>
            <w:pPr>
              <w:pStyle w:val="12"/>
            </w:pPr>
            <w:r>
              <w:t>启动DIP实际付费工作</w:t>
            </w:r>
          </w:p>
        </w:tc>
        <w:tc>
          <w:tcPr>
            <w:tcW w:w="2268" w:type="dxa"/>
            <w:vAlign w:val="center"/>
          </w:tcPr>
          <w:p>
            <w:pPr>
              <w:pStyle w:val="12"/>
            </w:pPr>
            <w:r>
              <w:t>不晚于12月底</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不铺张浪费</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跨省异地就医直接结算率</w:t>
            </w:r>
          </w:p>
        </w:tc>
        <w:tc>
          <w:tcPr>
            <w:tcW w:w="5386" w:type="dxa"/>
            <w:vAlign w:val="center"/>
          </w:tcPr>
          <w:p>
            <w:pPr>
              <w:pStyle w:val="12"/>
            </w:pPr>
            <w:r>
              <w:t>跨省异地就医直接结算率</w:t>
            </w:r>
          </w:p>
        </w:tc>
        <w:tc>
          <w:tcPr>
            <w:tcW w:w="2268" w:type="dxa"/>
            <w:vAlign w:val="center"/>
          </w:tcPr>
          <w:p>
            <w:pPr>
              <w:pStyle w:val="12"/>
            </w:pPr>
            <w:r>
              <w:t>≥60%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参保群众政策知晓率</w:t>
            </w:r>
          </w:p>
        </w:tc>
        <w:tc>
          <w:tcPr>
            <w:tcW w:w="5386" w:type="dxa"/>
            <w:vAlign w:val="center"/>
          </w:tcPr>
          <w:p>
            <w:pPr>
              <w:pStyle w:val="12"/>
            </w:pPr>
            <w:r>
              <w:t>参保群众政策知晓率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守护人民群众生命健康</w:t>
            </w:r>
          </w:p>
        </w:tc>
        <w:tc>
          <w:tcPr>
            <w:tcW w:w="5386" w:type="dxa"/>
            <w:vAlign w:val="center"/>
          </w:tcPr>
          <w:p>
            <w:pPr>
              <w:pStyle w:val="12"/>
            </w:pPr>
            <w:r>
              <w:t>守护人民群众生命健康</w:t>
            </w:r>
          </w:p>
        </w:tc>
        <w:tc>
          <w:tcPr>
            <w:tcW w:w="2268" w:type="dxa"/>
            <w:vAlign w:val="center"/>
          </w:tcPr>
          <w:p>
            <w:pPr>
              <w:pStyle w:val="12"/>
            </w:pPr>
            <w:r>
              <w:t>守护人民群众生命健康</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异地就医网上备案率</w:t>
            </w:r>
          </w:p>
        </w:tc>
        <w:tc>
          <w:tcPr>
            <w:tcW w:w="5386" w:type="dxa"/>
            <w:vAlign w:val="center"/>
          </w:tcPr>
          <w:p>
            <w:pPr>
              <w:pStyle w:val="12"/>
            </w:pPr>
            <w:r>
              <w:t>异地就医网上备案率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参保人员对医保服务的满意度</w:t>
            </w:r>
          </w:p>
        </w:tc>
        <w:tc>
          <w:tcPr>
            <w:tcW w:w="5386" w:type="dxa"/>
            <w:vAlign w:val="center"/>
          </w:tcPr>
          <w:p>
            <w:pPr>
              <w:pStyle w:val="12"/>
            </w:pPr>
            <w:r>
              <w:t>参保人员对医保服务的满意度</w:t>
            </w:r>
          </w:p>
        </w:tc>
        <w:tc>
          <w:tcPr>
            <w:tcW w:w="2268" w:type="dxa"/>
            <w:vAlign w:val="center"/>
          </w:tcPr>
          <w:p>
            <w:pPr>
              <w:pStyle w:val="12"/>
            </w:pPr>
            <w:r>
              <w:t>≥90%</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450001新乐市医疗保障局本级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新乐市医疗保障局（含所属单位）上年末固定资产金额为</w:t>
      </w:r>
      <w:r>
        <w:rPr>
          <w:rFonts w:hint="eastAsia" w:eastAsia="方正仿宋_GBK" w:cs="Times New Roman"/>
          <w:b w:val="0"/>
          <w:color w:val="000000"/>
          <w:sz w:val="28"/>
          <w:lang w:val="en-US" w:eastAsia="zh-CN"/>
        </w:rPr>
        <w:t>75.28</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9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450新乐市医疗保障局</w:t>
            </w:r>
          </w:p>
        </w:tc>
        <w:tc>
          <w:tcPr>
            <w:tcW w:w="5669" w:type="dxa"/>
            <w:tcBorders>
              <w:top w:val="single" w:color="FFFFFF" w:sz="6" w:space="0"/>
              <w:left w:val="single" w:color="FFFFFF" w:sz="6" w:space="0"/>
              <w:right w:val="single" w:color="FFFFFF" w:sz="6" w:space="0"/>
            </w:tcBorders>
            <w:vAlign w:val="center"/>
          </w:tcPr>
          <w:p>
            <w:pPr>
              <w:pStyle w:val="7"/>
            </w:pPr>
            <w:r>
              <w:t>截止时间：2023-12-31</w:t>
            </w:r>
          </w:p>
        </w:tc>
      </w:tr>
    </w:tbl>
    <w:p>
      <w:pPr>
        <w:spacing w:before="0" w:after="0" w:line="240" w:lineRule="auto"/>
        <w:ind w:firstLine="0"/>
        <w:jc w:val="center"/>
        <w:outlineLvl w:val="9"/>
      </w:pP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75.28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r>
              <w:rPr>
                <w:rFonts w:hint="eastAsia"/>
                <w:lang w:val="en-US" w:eastAsia="zh-CN"/>
              </w:rPr>
              <w:t>1</w:t>
            </w:r>
          </w:p>
        </w:tc>
        <w:tc>
          <w:tcPr>
            <w:tcW w:w="4933" w:type="dxa"/>
            <w:vAlign w:val="center"/>
          </w:tcPr>
          <w:p>
            <w:pPr>
              <w:pStyle w:val="11"/>
              <w:rPr>
                <w:rFonts w:hint="eastAsia" w:eastAsia="方正书宋_GBK"/>
                <w:lang w:val="en-US" w:eastAsia="zh-CN"/>
              </w:rPr>
            </w:pPr>
            <w:r>
              <w:rPr>
                <w:rFonts w:hint="eastAsia"/>
                <w:lang w:val="en-US" w:eastAsia="zh-CN"/>
              </w:rP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rPr>
                <w:rFonts w:hint="default" w:eastAsia="方正书宋_GBK"/>
                <w:lang w:val="en-US" w:eastAsia="zh-CN"/>
              </w:rPr>
            </w:pPr>
            <w:r>
              <w:rPr>
                <w:rFonts w:hint="eastAsia"/>
                <w:lang w:val="en-US" w:eastAsia="zh-CN"/>
              </w:rPr>
              <w:t>307</w:t>
            </w:r>
          </w:p>
        </w:tc>
        <w:tc>
          <w:tcPr>
            <w:tcW w:w="4933" w:type="dxa"/>
            <w:vAlign w:val="center"/>
          </w:tcPr>
          <w:p>
            <w:pPr>
              <w:pStyle w:val="11"/>
              <w:rPr>
                <w:rFonts w:hint="default" w:eastAsia="方正书宋_GBK"/>
                <w:lang w:val="en-US" w:eastAsia="zh-CN"/>
              </w:rPr>
            </w:pPr>
            <w:r>
              <w:rPr>
                <w:rFonts w:hint="eastAsia"/>
                <w:lang w:val="en-US" w:eastAsia="zh-CN"/>
              </w:rPr>
              <w:t>62.44</w:t>
            </w:r>
          </w:p>
        </w:tc>
      </w:tr>
    </w:tbl>
    <w:p>
      <w:pPr>
        <w:spacing w:before="0" w:after="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FB5823"/>
    <w:rsid w:val="24D71B9E"/>
    <w:rsid w:val="4B937471"/>
    <w:rsid w:val="547272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WPSOffice手动目录 1"/>
    <w:qFormat/>
    <w:uiPriority w:val="0"/>
    <w:pPr>
      <w:ind w:leftChars="0"/>
    </w:pPr>
    <w:rPr>
      <w:rFonts w:asciiTheme="minorHAnsi" w:hAnsiTheme="minorHAnsi" w:eastAsiaTheme="minorEastAsia" w:cstheme="minorBidi"/>
      <w:sz w:val="20"/>
      <w:szCs w:val="20"/>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9f35a14-6853-4419-84fd-dd61b7f11a52}"/>
        <w:style w:val=""/>
        <w:category>
          <w:name w:val="常规"/>
          <w:gallery w:val="placeholder"/>
        </w:category>
        <w:types>
          <w:type w:val="bbPlcHdr"/>
        </w:types>
        <w:behaviors>
          <w:behavior w:val="content"/>
        </w:behaviors>
        <w:description w:val=""/>
        <w:guid w:val="{a9f35a14-6853-4419-84fd-dd61b7f11a52}"/>
      </w:docPartPr>
      <w:docPartBody>
        <w:p>
          <w:r>
            <w:rPr>
              <w:color w:val="808080"/>
            </w:rPr>
            <w:t>单击此处输入文字。</w:t>
          </w:r>
        </w:p>
      </w:docPartBody>
    </w:docPart>
    <w:docPart>
      <w:docPartPr>
        <w:name w:val="{38bed3e3-9290-4f29-9cdd-c71dff097601}"/>
        <w:style w:val=""/>
        <w:category>
          <w:name w:val="常规"/>
          <w:gallery w:val="placeholder"/>
        </w:category>
        <w:types>
          <w:type w:val="bbPlcHdr"/>
        </w:types>
        <w:behaviors>
          <w:behavior w:val="content"/>
        </w:behaviors>
        <w:description w:val=""/>
        <w:guid w:val="{38bed3e3-9290-4f29-9cdd-c71dff097601}"/>
      </w:docPartPr>
      <w:docPartBody>
        <w:p>
          <w:r>
            <w:rPr>
              <w:color w:val="808080"/>
            </w:rPr>
            <w:t>单击此处输入文字。</w:t>
          </w:r>
        </w:p>
      </w:docPartBody>
    </w:docPart>
    <w:docPart>
      <w:docPartPr>
        <w:name w:val="{00f07fe4-6d32-4c6d-b2b3-8f8fa63fe99e}"/>
        <w:style w:val=""/>
        <w:category>
          <w:name w:val="常规"/>
          <w:gallery w:val="placeholder"/>
        </w:category>
        <w:types>
          <w:type w:val="bbPlcHdr"/>
        </w:types>
        <w:behaviors>
          <w:behavior w:val="content"/>
        </w:behaviors>
        <w:description w:val=""/>
        <w:guid w:val="{00f07fe4-6d32-4c6d-b2b3-8f8fa63fe99e}"/>
      </w:docPartPr>
      <w:docPartBody>
        <w:p>
          <w:r>
            <w:rPr>
              <w:color w:val="808080"/>
            </w:rPr>
            <w:t>单击此处输入文字。</w:t>
          </w:r>
        </w:p>
      </w:docPartBody>
    </w:docPart>
    <w:docPart>
      <w:docPartPr>
        <w:name w:val="{89888dbe-feb5-4c93-b15d-83884fcc6870}"/>
        <w:style w:val=""/>
        <w:category>
          <w:name w:val="常规"/>
          <w:gallery w:val="placeholder"/>
        </w:category>
        <w:types>
          <w:type w:val="bbPlcHdr"/>
        </w:types>
        <w:behaviors>
          <w:behavior w:val="content"/>
        </w:behaviors>
        <w:description w:val=""/>
        <w:guid w:val="{89888dbe-feb5-4c93-b15d-83884fcc6870}"/>
      </w:docPartPr>
      <w:docPartBody>
        <w:p>
          <w:r>
            <w:rPr>
              <w:color w:val="808080"/>
            </w:rPr>
            <w:t>单击此处输入文字。</w:t>
          </w:r>
        </w:p>
      </w:docPartBody>
    </w:docPart>
    <w:docPart>
      <w:docPartPr>
        <w:name w:val="{050b8246-e7a9-4349-9550-737e58c24764}"/>
        <w:style w:val=""/>
        <w:category>
          <w:name w:val="常规"/>
          <w:gallery w:val="placeholder"/>
        </w:category>
        <w:types>
          <w:type w:val="bbPlcHdr"/>
        </w:types>
        <w:behaviors>
          <w:behavior w:val="content"/>
        </w:behaviors>
        <w:description w:val=""/>
        <w:guid w:val="{050b8246-e7a9-4349-9550-737e58c24764}"/>
      </w:docPartPr>
      <w:docPartBody>
        <w:p>
          <w:r>
            <w:rPr>
              <w:color w:val="808080"/>
            </w:rPr>
            <w:t>单击此处输入文字。</w:t>
          </w:r>
        </w:p>
      </w:docPartBody>
    </w:docPart>
    <w:docPart>
      <w:docPartPr>
        <w:name w:val="{d0483635-53e2-473f-b11c-efa55816bdea}"/>
        <w:style w:val=""/>
        <w:category>
          <w:name w:val="常规"/>
          <w:gallery w:val="placeholder"/>
        </w:category>
        <w:types>
          <w:type w:val="bbPlcHdr"/>
        </w:types>
        <w:behaviors>
          <w:behavior w:val="content"/>
        </w:behaviors>
        <w:description w:val=""/>
        <w:guid w:val="{d0483635-53e2-473f-b11c-efa55816bdea}"/>
      </w:docPartPr>
      <w:docPartBody>
        <w:p>
          <w:r>
            <w:rPr>
              <w:color w:val="808080"/>
            </w:rPr>
            <w:t>单击此处输入文字。</w:t>
          </w:r>
        </w:p>
      </w:docPartBody>
    </w:docPart>
    <w:docPart>
      <w:docPartPr>
        <w:name w:val="{7807870c-5650-48b0-974a-fbba5514cf76}"/>
        <w:style w:val=""/>
        <w:category>
          <w:name w:val="常规"/>
          <w:gallery w:val="placeholder"/>
        </w:category>
        <w:types>
          <w:type w:val="bbPlcHdr"/>
        </w:types>
        <w:behaviors>
          <w:behavior w:val="content"/>
        </w:behaviors>
        <w:description w:val=""/>
        <w:guid w:val="{7807870c-5650-48b0-974a-fbba5514cf76}"/>
      </w:docPartPr>
      <w:docPartBody>
        <w:p>
          <w:r>
            <w:rPr>
              <w:color w:val="808080"/>
            </w:rPr>
            <w:t>单击此处输入文字。</w:t>
          </w:r>
        </w:p>
      </w:docPartBody>
    </w:docPart>
    <w:docPart>
      <w:docPartPr>
        <w:name w:val="{021da8b1-d056-4d0b-8972-82468aca2234}"/>
        <w:style w:val=""/>
        <w:category>
          <w:name w:val="常规"/>
          <w:gallery w:val="placeholder"/>
        </w:category>
        <w:types>
          <w:type w:val="bbPlcHdr"/>
        </w:types>
        <w:behaviors>
          <w:behavior w:val="content"/>
        </w:behaviors>
        <w:description w:val=""/>
        <w:guid w:val="{021da8b1-d056-4d0b-8972-82468aca2234}"/>
      </w:docPartPr>
      <w:docPartBody>
        <w:p>
          <w:r>
            <w:rPr>
              <w:color w:val="808080"/>
            </w:rPr>
            <w:t>单击此处输入文字。</w:t>
          </w:r>
        </w:p>
      </w:docPartBody>
    </w:docPart>
    <w:docPart>
      <w:docPartPr>
        <w:name w:val="{fb116a0a-419d-48fd-b9b1-70f1be42a354}"/>
        <w:style w:val=""/>
        <w:category>
          <w:name w:val="常规"/>
          <w:gallery w:val="placeholder"/>
        </w:category>
        <w:types>
          <w:type w:val="bbPlcHdr"/>
        </w:types>
        <w:behaviors>
          <w:behavior w:val="content"/>
        </w:behaviors>
        <w:description w:val=""/>
        <w:guid w:val="{fb116a0a-419d-48fd-b9b1-70f1be42a354}"/>
      </w:docPartPr>
      <w:docPartBody>
        <w:p>
          <w:r>
            <w:rPr>
              <w:color w:val="808080"/>
            </w:rPr>
            <w:t>单击此处输入文字。</w:t>
          </w:r>
        </w:p>
      </w:docPartBody>
    </w:docPart>
    <w:docPart>
      <w:docPartPr>
        <w:name w:val="{c819ec21-7b28-4d63-9b34-d23bc04588b8}"/>
        <w:style w:val=""/>
        <w:category>
          <w:name w:val="常规"/>
          <w:gallery w:val="placeholder"/>
        </w:category>
        <w:types>
          <w:type w:val="bbPlcHdr"/>
        </w:types>
        <w:behaviors>
          <w:behavior w:val="content"/>
        </w:behaviors>
        <w:description w:val=""/>
        <w:guid w:val="{c819ec21-7b28-4d63-9b34-d23bc04588b8}"/>
      </w:docPartPr>
      <w:docPartBody>
        <w:p>
          <w:r>
            <w:rPr>
              <w:color w:val="808080"/>
            </w:rPr>
            <w:t>单击此处输入文字。</w:t>
          </w:r>
        </w:p>
      </w:docPartBody>
    </w:docPart>
    <w:docPart>
      <w:docPartPr>
        <w:name w:val="{5fc847d3-b54d-4f1e-8138-d1b4a6a26c9c}"/>
        <w:style w:val=""/>
        <w:category>
          <w:name w:val="常规"/>
          <w:gallery w:val="placeholder"/>
        </w:category>
        <w:types>
          <w:type w:val="bbPlcHdr"/>
        </w:types>
        <w:behaviors>
          <w:behavior w:val="content"/>
        </w:behaviors>
        <w:description w:val=""/>
        <w:guid w:val="{5fc847d3-b54d-4f1e-8138-d1b4a6a26c9c}"/>
      </w:docPartPr>
      <w:docPartBody>
        <w:p>
          <w:r>
            <w:rPr>
              <w:color w:val="808080"/>
            </w:rPr>
            <w:t>单击此处输入文字。</w:t>
          </w:r>
        </w:p>
      </w:docPartBody>
    </w:docPart>
    <w:docPart>
      <w:docPartPr>
        <w:name w:val="{b390dd8e-d82d-41bf-b593-387b7a694a54}"/>
        <w:style w:val=""/>
        <w:category>
          <w:name w:val="常规"/>
          <w:gallery w:val="placeholder"/>
        </w:category>
        <w:types>
          <w:type w:val="bbPlcHdr"/>
        </w:types>
        <w:behaviors>
          <w:behavior w:val="content"/>
        </w:behaviors>
        <w:description w:val=""/>
        <w:guid w:val="{b390dd8e-d82d-41bf-b593-387b7a694a54}"/>
      </w:docPartPr>
      <w:docPartBody>
        <w:p>
          <w:r>
            <w:rPr>
              <w:color w:val="808080"/>
            </w:rPr>
            <w:t>单击此处输入文字。</w:t>
          </w:r>
        </w:p>
      </w:docPartBody>
    </w:docPart>
    <w:docPart>
      <w:docPartPr>
        <w:name w:val="{178d29ce-5fb6-4d0e-8283-366a3d41387f}"/>
        <w:style w:val=""/>
        <w:category>
          <w:name w:val="常规"/>
          <w:gallery w:val="placeholder"/>
        </w:category>
        <w:types>
          <w:type w:val="bbPlcHdr"/>
        </w:types>
        <w:behaviors>
          <w:behavior w:val="content"/>
        </w:behaviors>
        <w:description w:val=""/>
        <w:guid w:val="{178d29ce-5fb6-4d0e-8283-366a3d41387f}"/>
      </w:docPartPr>
      <w:docPartBody>
        <w:p>
          <w:r>
            <w:rPr>
              <w:color w:val="808080"/>
            </w:rPr>
            <w:t>单击此处输入文字。</w:t>
          </w:r>
        </w:p>
      </w:docPartBody>
    </w:docPart>
    <w:docPart>
      <w:docPartPr>
        <w:name w:val="{ec8e59b0-b954-44ac-8249-b9317737fa52}"/>
        <w:style w:val=""/>
        <w:category>
          <w:name w:val="常规"/>
          <w:gallery w:val="placeholder"/>
        </w:category>
        <w:types>
          <w:type w:val="bbPlcHdr"/>
        </w:types>
        <w:behaviors>
          <w:behavior w:val="content"/>
        </w:behaviors>
        <w:description w:val=""/>
        <w:guid w:val="{ec8e59b0-b954-44ac-8249-b9317737fa52}"/>
      </w:docPartPr>
      <w:docPartBody>
        <w:p>
          <w:r>
            <w:rPr>
              <w:color w:val="808080"/>
            </w:rPr>
            <w:t>单击此处输入文字。</w:t>
          </w:r>
        </w:p>
      </w:docPartBody>
    </w:docPart>
    <w:docPart>
      <w:docPartPr>
        <w:name w:val="{ee01c25d-7f8e-4ebe-9b5b-17e7d7b8a65a}"/>
        <w:style w:val=""/>
        <w:category>
          <w:name w:val="常规"/>
          <w:gallery w:val="placeholder"/>
        </w:category>
        <w:types>
          <w:type w:val="bbPlcHdr"/>
        </w:types>
        <w:behaviors>
          <w:behavior w:val="content"/>
        </w:behaviors>
        <w:description w:val=""/>
        <w:guid w:val="{ee01c25d-7f8e-4ebe-9b5b-17e7d7b8a65a}"/>
      </w:docPartPr>
      <w:docPartBody>
        <w:p>
          <w:r>
            <w:rPr>
              <w:color w:val="808080"/>
            </w:rPr>
            <w:t>单击此处输入文字。</w:t>
          </w:r>
        </w:p>
      </w:docPartBody>
    </w:docPart>
    <w:docPart>
      <w:docPartPr>
        <w:name w:val="{17437110-80b0-4389-a53e-56e1e5688a4b}"/>
        <w:style w:val=""/>
        <w:category>
          <w:name w:val="常规"/>
          <w:gallery w:val="placeholder"/>
        </w:category>
        <w:types>
          <w:type w:val="bbPlcHdr"/>
        </w:types>
        <w:behaviors>
          <w:behavior w:val="content"/>
        </w:behaviors>
        <w:description w:val=""/>
        <w:guid w:val="{17437110-80b0-4389-a53e-56e1e5688a4b}"/>
      </w:docPartPr>
      <w:docPartBody>
        <w:p>
          <w:r>
            <w:rPr>
              <w:color w:val="808080"/>
            </w:rPr>
            <w:t>单击此处输入文字。</w:t>
          </w:r>
        </w:p>
      </w:docPartBody>
    </w:docPart>
    <w:docPart>
      <w:docPartPr>
        <w:name w:val="{272397d9-5070-40c5-be92-d3292c39c028}"/>
        <w:style w:val=""/>
        <w:category>
          <w:name w:val="常规"/>
          <w:gallery w:val="placeholder"/>
        </w:category>
        <w:types>
          <w:type w:val="bbPlcHdr"/>
        </w:types>
        <w:behaviors>
          <w:behavior w:val="content"/>
        </w:behaviors>
        <w:description w:val=""/>
        <w:guid w:val="{272397d9-5070-40c5-be92-d3292c39c028}"/>
      </w:docPartPr>
      <w:docPartBody>
        <w:p>
          <w:r>
            <w:rPr>
              <w:color w:val="808080"/>
            </w:rPr>
            <w:t>单击此处输入文字。</w:t>
          </w:r>
        </w:p>
      </w:docPartBody>
    </w:docPart>
    <w:docPart>
      <w:docPartPr>
        <w:name w:val="{c21ed3a8-e7cf-4e24-af59-920e424af9b6}"/>
        <w:style w:val=""/>
        <w:category>
          <w:name w:val="常规"/>
          <w:gallery w:val="placeholder"/>
        </w:category>
        <w:types>
          <w:type w:val="bbPlcHdr"/>
        </w:types>
        <w:behaviors>
          <w:behavior w:val="content"/>
        </w:behaviors>
        <w:description w:val=""/>
        <w:guid w:val="{c21ed3a8-e7cf-4e24-af59-920e424af9b6}"/>
      </w:docPartPr>
      <w:docPartBody>
        <w:p>
          <w:r>
            <w:rPr>
              <w:color w:val="808080"/>
            </w:rPr>
            <w:t>单击此处输入文字。</w:t>
          </w:r>
        </w:p>
      </w:docPartBody>
    </w:docPart>
    <w:docPart>
      <w:docPartPr>
        <w:name w:val="{57d0d004-78fb-4a48-8f59-61d7c3da9d69}"/>
        <w:style w:val=""/>
        <w:category>
          <w:name w:val="常规"/>
          <w:gallery w:val="placeholder"/>
        </w:category>
        <w:types>
          <w:type w:val="bbPlcHdr"/>
        </w:types>
        <w:behaviors>
          <w:behavior w:val="content"/>
        </w:behaviors>
        <w:description w:val=""/>
        <w:guid w:val="{57d0d004-78fb-4a48-8f59-61d7c3da9d69}"/>
      </w:docPartPr>
      <w:docPartBody>
        <w:p>
          <w:r>
            <w:rPr>
              <w:color w:val="808080"/>
            </w:rPr>
            <w:t>单击此处输入文字。</w:t>
          </w:r>
        </w:p>
      </w:docPartBody>
    </w:docPart>
    <w:docPart>
      <w:docPartPr>
        <w:name w:val="{76d556d6-ade0-4243-9c5d-87ad68d62e1a}"/>
        <w:style w:val=""/>
        <w:category>
          <w:name w:val="常规"/>
          <w:gallery w:val="placeholder"/>
        </w:category>
        <w:types>
          <w:type w:val="bbPlcHdr"/>
        </w:types>
        <w:behaviors>
          <w:behavior w:val="content"/>
        </w:behaviors>
        <w:description w:val=""/>
        <w:guid w:val="{76d556d6-ade0-4243-9c5d-87ad68d62e1a}"/>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2"/>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2024-03-26T16:53:52Z</dcterms:created>
  <dcterms:modified xsi:type="dcterms:W3CDTF">2024-03-26T08:53:52Z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2024-03-26T16:53:53Z</dcterms:created>
  <dcterms:modified xsi:type="dcterms:W3CDTF">2024-03-26T08:53:53Z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2024-03-26T16:53:47Z</dcterms:created>
  <dcterms:modified xsi:type="dcterms:W3CDTF">2024-03-26T08:53:47Z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2024-03-26T16:53:52Z</dcterms:created>
  <dcterms:modified xsi:type="dcterms:W3CDTF">2024-03-26T08:53:52Z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2024-03-26T16:53:52Z</dcterms:created>
  <dcterms:modified xsi:type="dcterms:W3CDTF">2024-03-26T08:53:52Z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2024-03-26T16:53:51Z</dcterms:created>
  <dcterms:modified xsi:type="dcterms:W3CDTF">2024-03-26T08:53:50Z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4003609-81d8-4f23-89a4-136f305439b0}">
  <ds:schemaRefs/>
</ds:datastoreItem>
</file>

<file path=customXml/itemProps10.xml><?xml version="1.0" encoding="utf-8"?>
<ds:datastoreItem xmlns:ds="http://schemas.openxmlformats.org/officeDocument/2006/customXml" ds:itemID="{d4dc37aa-5f06-446b-8d9b-5254c1966c5e}">
  <ds:schemaRefs/>
</ds:datastoreItem>
</file>

<file path=customXml/itemProps11.xml><?xml version="1.0" encoding="utf-8"?>
<ds:datastoreItem xmlns:ds="http://schemas.openxmlformats.org/officeDocument/2006/customXml" ds:itemID="{430d4af6-4cf0-448b-8bfc-c7e2d9d6a632}">
  <ds:schemaRefs/>
</ds:datastoreItem>
</file>

<file path=customXml/itemProps12.xml><?xml version="1.0" encoding="utf-8"?>
<ds:datastoreItem xmlns:ds="http://schemas.openxmlformats.org/officeDocument/2006/customXml" ds:itemID="{0f3d8977-cc9f-4f23-b060-b8115410324e}">
  <ds:schemaRefs/>
</ds:datastoreItem>
</file>

<file path=customXml/itemProps2.xml><?xml version="1.0" encoding="utf-8"?>
<ds:datastoreItem xmlns:ds="http://schemas.openxmlformats.org/officeDocument/2006/customXml" ds:itemID="{88baa6df-34ed-4553-94e0-d67079471ad2}">
  <ds:schemaRefs/>
</ds:datastoreItem>
</file>

<file path=customXml/itemProps3.xml><?xml version="1.0" encoding="utf-8"?>
<ds:datastoreItem xmlns:ds="http://schemas.openxmlformats.org/officeDocument/2006/customXml" ds:itemID="{d8d5ee1d-aa99-4ffc-a903-15aed64482c5}">
  <ds:schemaRefs/>
</ds:datastoreItem>
</file>

<file path=customXml/itemProps4.xml><?xml version="1.0" encoding="utf-8"?>
<ds:datastoreItem xmlns:ds="http://schemas.openxmlformats.org/officeDocument/2006/customXml" ds:itemID="{ab65b7cd-e19f-4c17-8512-b867da16032e}">
  <ds:schemaRefs/>
</ds:datastoreItem>
</file>

<file path=customXml/itemProps5.xml><?xml version="1.0" encoding="utf-8"?>
<ds:datastoreItem xmlns:ds="http://schemas.openxmlformats.org/officeDocument/2006/customXml" ds:itemID="{5f26fe3a-da58-4fad-bf21-e45411948a16}">
  <ds:schemaRefs/>
</ds:datastoreItem>
</file>

<file path=customXml/itemProps6.xml><?xml version="1.0" encoding="utf-8"?>
<ds:datastoreItem xmlns:ds="http://schemas.openxmlformats.org/officeDocument/2006/customXml" ds:itemID="{21686d14-a271-4b4c-bca9-074a6d62df94}">
  <ds:schemaRefs/>
</ds:datastoreItem>
</file>

<file path=customXml/itemProps7.xml><?xml version="1.0" encoding="utf-8"?>
<ds:datastoreItem xmlns:ds="http://schemas.openxmlformats.org/officeDocument/2006/customXml" ds:itemID="{4d9696ab-3e75-4756-8843-4f4014cd01b9}">
  <ds:schemaRefs/>
</ds:datastoreItem>
</file>

<file path=customXml/itemProps8.xml><?xml version="1.0" encoding="utf-8"?>
<ds:datastoreItem xmlns:ds="http://schemas.openxmlformats.org/officeDocument/2006/customXml" ds:itemID="{258b33ed-9ac9-49a9-a0a0-5f39f100edca}">
  <ds:schemaRefs/>
</ds:datastoreItem>
</file>

<file path=customXml/itemProps9.xml><?xml version="1.0" encoding="utf-8"?>
<ds:datastoreItem xmlns:ds="http://schemas.openxmlformats.org/officeDocument/2006/customXml" ds:itemID="{810ebd5c-fd94-44e6-9247-e83c719aff23}">
  <ds:schemaRefs/>
</ds:datastoreItem>
</file>

<file path=docProps/app.xml><?xml version="1.0" encoding="utf-8"?>
<Properties xmlns="http://schemas.openxmlformats.org/officeDocument/2006/extended-properties" xmlns:vt="http://schemas.openxmlformats.org/officeDocument/2006/docPropsVTypes">
  <Pages>36</Pages>
  <Words>7747</Words>
  <Characters>9810</Characters>
  <TotalTime>0</TotalTime>
  <ScaleCrop>false</ScaleCrop>
  <LinksUpToDate>false</LinksUpToDate>
  <CharactersWithSpaces>10005</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2024-03-26T16:53:00Z</dcterms:created>
  <dc:creator>Administrator</dc:creator>
  <cp:lastModifiedBy>Administrator</cp:lastModifiedBy>
  <dcterms:modified xsi:type="dcterms:W3CDTF">2025-09-09T06:56:03Z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9E74E376A5194FB1AD4505EE532C3206</vt:lpwstr>
  </property>
</Properties>
</file>