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一、新乐市协神乡人民政府本级收支预算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一、新乐市协神乡人民政府本级收支预算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1677.72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787.13</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170.31</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31.96</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620.85</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62.47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1677.72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1677.72</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1677.72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1677.72</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1677.72</w:t>
            </w:r>
          </w:p>
        </w:tc>
        <w:tc>
          <w:tcPr>
            <w:tcW w:w="1134" w:type="dxa"/>
            <w:vAlign w:val="center"/>
          </w:tcPr>
          <w:p>
            <w:pPr>
              <w:pStyle w:val="单元格样式7"/>
            </w:pPr>
            <w:r>
              <w:t xml:space="preserve">1677.72</w:t>
            </w:r>
          </w:p>
        </w:tc>
        <w:tc>
          <w:tcPr>
            <w:tcW w:w="1134" w:type="dxa"/>
            <w:vAlign w:val="center"/>
          </w:tcPr>
          <w:p>
            <w:pPr>
              <w:pStyle w:val="单元格样式7"/>
            </w:pPr>
            <w:r>
              <w:t xml:space="preserve">1677.72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170.31</w:t>
            </w:r>
          </w:p>
        </w:tc>
        <w:tc>
          <w:tcPr>
            <w:tcW w:w="1134" w:type="dxa"/>
            <w:vAlign w:val="center"/>
          </w:tcPr>
          <w:p>
            <w:pPr>
              <w:pStyle w:val="单元格样式4"/>
            </w:pPr>
            <w:r>
              <w:t xml:space="preserve">170.31</w:t>
            </w:r>
          </w:p>
        </w:tc>
        <w:tc>
          <w:tcPr>
            <w:tcW w:w="1134" w:type="dxa"/>
            <w:vAlign w:val="center"/>
          </w:tcPr>
          <w:p>
            <w:pPr>
              <w:pStyle w:val="单元格样式4"/>
            </w:pPr>
            <w:r>
              <w:t xml:space="preserve">170.31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161.34</w:t>
            </w:r>
          </w:p>
        </w:tc>
        <w:tc>
          <w:tcPr>
            <w:tcW w:w="1134" w:type="dxa"/>
            <w:vAlign w:val="center"/>
          </w:tcPr>
          <w:p>
            <w:pPr>
              <w:pStyle w:val="单元格样式4"/>
            </w:pPr>
            <w:r>
              <w:t xml:space="preserve">161.34</w:t>
            </w:r>
          </w:p>
        </w:tc>
        <w:tc>
          <w:tcPr>
            <w:tcW w:w="1134" w:type="dxa"/>
            <w:vAlign w:val="center"/>
          </w:tcPr>
          <w:p>
            <w:pPr>
              <w:pStyle w:val="单元格样式4"/>
            </w:pPr>
            <w:r>
              <w:t xml:space="preserve">161.34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70.05</w:t>
            </w:r>
          </w:p>
        </w:tc>
        <w:tc>
          <w:tcPr>
            <w:tcW w:w="1134" w:type="dxa"/>
            <w:vAlign w:val="center"/>
          </w:tcPr>
          <w:p>
            <w:pPr>
              <w:pStyle w:val="单元格样式4"/>
            </w:pPr>
            <w:r>
              <w:t xml:space="preserve">70.05</w:t>
            </w:r>
          </w:p>
        </w:tc>
        <w:tc>
          <w:tcPr>
            <w:tcW w:w="1134" w:type="dxa"/>
            <w:vAlign w:val="center"/>
          </w:tcPr>
          <w:p>
            <w:pPr>
              <w:pStyle w:val="单元格样式4"/>
            </w:pPr>
            <w:r>
              <w:t xml:space="preserve">70.05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62.75</w:t>
            </w:r>
          </w:p>
        </w:tc>
        <w:tc>
          <w:tcPr>
            <w:tcW w:w="1134" w:type="dxa"/>
            <w:vAlign w:val="center"/>
          </w:tcPr>
          <w:p>
            <w:pPr>
              <w:pStyle w:val="单元格样式4"/>
            </w:pPr>
            <w:r>
              <w:t xml:space="preserve">62.75</w:t>
            </w:r>
          </w:p>
        </w:tc>
        <w:tc>
          <w:tcPr>
            <w:tcW w:w="1134" w:type="dxa"/>
            <w:vAlign w:val="center"/>
          </w:tcPr>
          <w:p>
            <w:pPr>
              <w:pStyle w:val="单元格样式4"/>
            </w:pPr>
            <w:r>
              <w:t xml:space="preserve">62.75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28.54</w:t>
            </w:r>
          </w:p>
        </w:tc>
        <w:tc>
          <w:tcPr>
            <w:tcW w:w="1134" w:type="dxa"/>
            <w:vAlign w:val="center"/>
          </w:tcPr>
          <w:p>
            <w:pPr>
              <w:pStyle w:val="单元格样式4"/>
            </w:pPr>
            <w:r>
              <w:t xml:space="preserve">28.54</w:t>
            </w:r>
          </w:p>
        </w:tc>
        <w:tc>
          <w:tcPr>
            <w:tcW w:w="1134" w:type="dxa"/>
            <w:vAlign w:val="center"/>
          </w:tcPr>
          <w:p>
            <w:pPr>
              <w:pStyle w:val="单元格样式4"/>
            </w:pPr>
            <w:r>
              <w:t xml:space="preserve">28.54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620.85</w:t>
            </w:r>
          </w:p>
        </w:tc>
        <w:tc>
          <w:tcPr>
            <w:tcW w:w="1134" w:type="dxa"/>
            <w:vAlign w:val="center"/>
          </w:tcPr>
          <w:p>
            <w:pPr>
              <w:pStyle w:val="单元格样式4"/>
            </w:pPr>
            <w:r>
              <w:t xml:space="preserve">620.85</w:t>
            </w:r>
          </w:p>
        </w:tc>
        <w:tc>
          <w:tcPr>
            <w:tcW w:w="1134" w:type="dxa"/>
            <w:vAlign w:val="center"/>
          </w:tcPr>
          <w:p>
            <w:pPr>
              <w:pStyle w:val="单元格样式4"/>
            </w:pPr>
            <w:r>
              <w:t xml:space="preserve">620.85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171.59</w:t>
            </w:r>
          </w:p>
        </w:tc>
        <w:tc>
          <w:tcPr>
            <w:tcW w:w="1134" w:type="dxa"/>
            <w:vAlign w:val="center"/>
          </w:tcPr>
          <w:p>
            <w:pPr>
              <w:pStyle w:val="单元格样式4"/>
            </w:pPr>
            <w:r>
              <w:t xml:space="preserve">171.59</w:t>
            </w:r>
          </w:p>
        </w:tc>
        <w:tc>
          <w:tcPr>
            <w:tcW w:w="1134" w:type="dxa"/>
            <w:vAlign w:val="center"/>
          </w:tcPr>
          <w:p>
            <w:pPr>
              <w:pStyle w:val="单元格样式4"/>
            </w:pPr>
            <w:r>
              <w:t xml:space="preserve">171.59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81.59</w:t>
            </w:r>
          </w:p>
        </w:tc>
        <w:tc>
          <w:tcPr>
            <w:tcW w:w="1134" w:type="dxa"/>
            <w:vAlign w:val="center"/>
          </w:tcPr>
          <w:p>
            <w:pPr>
              <w:pStyle w:val="单元格样式4"/>
            </w:pPr>
            <w:r>
              <w:t xml:space="preserve">81.59</w:t>
            </w:r>
          </w:p>
        </w:tc>
        <w:tc>
          <w:tcPr>
            <w:tcW w:w="1134" w:type="dxa"/>
            <w:vAlign w:val="center"/>
          </w:tcPr>
          <w:p>
            <w:pPr>
              <w:pStyle w:val="单元格样式4"/>
            </w:pPr>
            <w:r>
              <w:t xml:space="preserve">81.59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2130199</w:t>
            </w:r>
          </w:p>
        </w:tc>
        <w:tc>
          <w:tcPr>
            <w:tcW w:w="1559" w:type="dxa"/>
            <w:vAlign w:val="center"/>
          </w:tcPr>
          <w:p>
            <w:pPr>
              <w:pStyle w:val="单元格样式2"/>
            </w:pPr>
            <w:r>
              <w:t xml:space="preserve">其他农业农村支出</w:t>
            </w:r>
          </w:p>
        </w:tc>
        <w:tc>
          <w:tcPr>
            <w:tcW w:w="1134" w:type="dxa"/>
            <w:vAlign w:val="center"/>
          </w:tcPr>
          <w:p>
            <w:pPr>
              <w:pStyle w:val="单元格样式4"/>
            </w:pPr>
            <w:r>
              <w:t xml:space="preserve">90.00</w:t>
            </w:r>
          </w:p>
        </w:tc>
        <w:tc>
          <w:tcPr>
            <w:tcW w:w="1134" w:type="dxa"/>
            <w:vAlign w:val="center"/>
          </w:tcPr>
          <w:p>
            <w:pPr>
              <w:pStyle w:val="单元格样式4"/>
            </w:pPr>
            <w:r>
              <w:t xml:space="preserve">90.00</w:t>
            </w:r>
          </w:p>
        </w:tc>
        <w:tc>
          <w:tcPr>
            <w:tcW w:w="1134" w:type="dxa"/>
            <w:vAlign w:val="center"/>
          </w:tcPr>
          <w:p>
            <w:pPr>
              <w:pStyle w:val="单元格样式4"/>
            </w:pPr>
            <w:r>
              <w:t xml:space="preserve">90.00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1677.72</w:t>
            </w:r>
          </w:p>
        </w:tc>
        <w:tc>
          <w:tcPr>
            <w:tcW w:w="1361" w:type="dxa"/>
            <w:vAlign w:val="center"/>
          </w:tcPr>
          <w:p>
            <w:pPr>
              <w:pStyle w:val="单元格样式7"/>
            </w:pPr>
            <w:r>
              <w:t xml:space="preserve">961.87</w:t>
            </w:r>
          </w:p>
        </w:tc>
        <w:tc>
          <w:tcPr>
            <w:tcW w:w="1361" w:type="dxa"/>
            <w:vAlign w:val="center"/>
          </w:tcPr>
          <w:p>
            <w:pPr>
              <w:pStyle w:val="单元格样式7"/>
            </w:pPr>
            <w:r>
              <w:t xml:space="preserve">715.85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170.31</w:t>
            </w:r>
          </w:p>
        </w:tc>
        <w:tc>
          <w:tcPr>
            <w:tcW w:w="1361" w:type="dxa"/>
            <w:vAlign w:val="center"/>
          </w:tcPr>
          <w:p>
            <w:pPr>
              <w:pStyle w:val="单元格样式4"/>
            </w:pPr>
            <w:r>
              <w:t xml:space="preserve">170.31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161.34</w:t>
            </w:r>
          </w:p>
        </w:tc>
        <w:tc>
          <w:tcPr>
            <w:tcW w:w="1361" w:type="dxa"/>
            <w:vAlign w:val="center"/>
          </w:tcPr>
          <w:p>
            <w:pPr>
              <w:pStyle w:val="单元格样式4"/>
            </w:pPr>
            <w:r>
              <w:t xml:space="preserve">161.34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70.05</w:t>
            </w:r>
          </w:p>
        </w:tc>
        <w:tc>
          <w:tcPr>
            <w:tcW w:w="1361" w:type="dxa"/>
            <w:vAlign w:val="center"/>
          </w:tcPr>
          <w:p>
            <w:pPr>
              <w:pStyle w:val="单元格样式4"/>
            </w:pPr>
            <w:r>
              <w:t xml:space="preserve">70.05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62.75</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28.54</w:t>
            </w:r>
          </w:p>
        </w:tc>
        <w:tc>
          <w:tcPr>
            <w:tcW w:w="1361" w:type="dxa"/>
            <w:vAlign w:val="center"/>
          </w:tcPr>
          <w:p>
            <w:pPr>
              <w:pStyle w:val="单元格样式4"/>
            </w:pPr>
            <w:r>
              <w:t xml:space="preserve">28.54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5.10</w:t>
            </w:r>
          </w:p>
        </w:tc>
        <w:tc>
          <w:tcPr>
            <w:tcW w:w="1361" w:type="dxa"/>
            <w:vAlign w:val="center"/>
          </w:tcPr>
          <w:p>
            <w:pPr>
              <w:pStyle w:val="单元格样式4"/>
            </w:pPr>
            <w:r>
              <w:t xml:space="preserve">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5.10</w:t>
            </w:r>
          </w:p>
        </w:tc>
        <w:tc>
          <w:tcPr>
            <w:tcW w:w="1361" w:type="dxa"/>
            <w:vAlign w:val="center"/>
          </w:tcPr>
          <w:p>
            <w:pPr>
              <w:pStyle w:val="单元格样式4"/>
            </w:pPr>
            <w:r>
              <w:t xml:space="preserve">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3.87</w:t>
            </w:r>
          </w:p>
        </w:tc>
        <w:tc>
          <w:tcPr>
            <w:tcW w:w="1361" w:type="dxa"/>
            <w:vAlign w:val="center"/>
          </w:tcPr>
          <w:p>
            <w:pPr>
              <w:pStyle w:val="单元格样式4"/>
            </w:pPr>
            <w:r>
              <w:t xml:space="preserve">3.87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3.87</w:t>
            </w:r>
          </w:p>
        </w:tc>
        <w:tc>
          <w:tcPr>
            <w:tcW w:w="1361" w:type="dxa"/>
            <w:vAlign w:val="center"/>
          </w:tcPr>
          <w:p>
            <w:pPr>
              <w:pStyle w:val="单元格样式4"/>
            </w:pPr>
            <w:r>
              <w:t xml:space="preserve">3.87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620.85</w:t>
            </w:r>
          </w:p>
        </w:tc>
        <w:tc>
          <w:tcPr>
            <w:tcW w:w="1361" w:type="dxa"/>
            <w:vAlign w:val="center"/>
          </w:tcPr>
          <w:p>
            <w:pPr>
              <w:pStyle w:val="单元格样式4"/>
            </w:pPr>
          </w:p>
        </w:tc>
        <w:tc>
          <w:tcPr>
            <w:tcW w:w="1361" w:type="dxa"/>
            <w:vAlign w:val="center"/>
          </w:tcPr>
          <w:p>
            <w:pPr>
              <w:pStyle w:val="单元格样式4"/>
            </w:pPr>
            <w:r>
              <w:t xml:space="preserve">620.85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171.59</w:t>
            </w:r>
          </w:p>
        </w:tc>
        <w:tc>
          <w:tcPr>
            <w:tcW w:w="1361" w:type="dxa"/>
            <w:vAlign w:val="center"/>
          </w:tcPr>
          <w:p>
            <w:pPr>
              <w:pStyle w:val="单元格样式4"/>
            </w:pPr>
          </w:p>
        </w:tc>
        <w:tc>
          <w:tcPr>
            <w:tcW w:w="1361" w:type="dxa"/>
            <w:vAlign w:val="center"/>
          </w:tcPr>
          <w:p>
            <w:pPr>
              <w:pStyle w:val="单元格样式4"/>
            </w:pPr>
            <w:r>
              <w:t xml:space="preserve">171.59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81.59</w:t>
            </w:r>
          </w:p>
        </w:tc>
        <w:tc>
          <w:tcPr>
            <w:tcW w:w="1361" w:type="dxa"/>
            <w:vAlign w:val="center"/>
          </w:tcPr>
          <w:p>
            <w:pPr>
              <w:pStyle w:val="单元格样式4"/>
            </w:pPr>
          </w:p>
        </w:tc>
        <w:tc>
          <w:tcPr>
            <w:tcW w:w="1361" w:type="dxa"/>
            <w:vAlign w:val="center"/>
          </w:tcPr>
          <w:p>
            <w:pPr>
              <w:pStyle w:val="单元格样式4"/>
            </w:pPr>
            <w:r>
              <w:t xml:space="preserve">81.59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1677.72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787.13</w:t>
            </w:r>
          </w:p>
        </w:tc>
        <w:tc>
          <w:tcPr>
            <w:tcW w:w="1474" w:type="dxa"/>
            <w:vAlign w:val="center"/>
          </w:tcPr>
          <w:p>
            <w:pPr>
              <w:pStyle w:val="单元格样式4"/>
            </w:pPr>
            <w:r>
              <w:t xml:space="preserve">787.13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170.31</w:t>
            </w:r>
          </w:p>
        </w:tc>
        <w:tc>
          <w:tcPr>
            <w:tcW w:w="1474" w:type="dxa"/>
            <w:vAlign w:val="center"/>
          </w:tcPr>
          <w:p>
            <w:pPr>
              <w:pStyle w:val="单元格样式4"/>
            </w:pPr>
            <w:r>
              <w:t xml:space="preserve">170.31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31.96</w:t>
            </w:r>
          </w:p>
        </w:tc>
        <w:tc>
          <w:tcPr>
            <w:tcW w:w="1474" w:type="dxa"/>
            <w:vAlign w:val="center"/>
          </w:tcPr>
          <w:p>
            <w:pPr>
              <w:pStyle w:val="单元格样式4"/>
            </w:pPr>
            <w:r>
              <w:t xml:space="preserve">31.96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620.85</w:t>
            </w:r>
          </w:p>
        </w:tc>
        <w:tc>
          <w:tcPr>
            <w:tcW w:w="1474" w:type="dxa"/>
            <w:vAlign w:val="center"/>
          </w:tcPr>
          <w:p>
            <w:pPr>
              <w:pStyle w:val="单元格样式4"/>
            </w:pPr>
            <w:r>
              <w:t xml:space="preserve">620.85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62.47</w:t>
            </w:r>
          </w:p>
        </w:tc>
        <w:tc>
          <w:tcPr>
            <w:tcW w:w="1474" w:type="dxa"/>
            <w:vAlign w:val="center"/>
          </w:tcPr>
          <w:p>
            <w:pPr>
              <w:pStyle w:val="单元格样式4"/>
            </w:pPr>
            <w:r>
              <w:t xml:space="preserve">62.47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1677.72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1677.72</w:t>
            </w:r>
          </w:p>
        </w:tc>
        <w:tc>
          <w:tcPr>
            <w:tcW w:w="1474" w:type="dxa"/>
            <w:vAlign w:val="center"/>
          </w:tcPr>
          <w:p>
            <w:pPr>
              <w:pStyle w:val="单元格样式7"/>
            </w:pPr>
            <w:r>
              <w:t xml:space="preserve">1677.72</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1677.72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1677.72</w:t>
            </w:r>
          </w:p>
        </w:tc>
        <w:tc>
          <w:tcPr>
            <w:tcW w:w="1474" w:type="dxa"/>
            <w:vAlign w:val="center"/>
          </w:tcPr>
          <w:p>
            <w:pPr>
              <w:pStyle w:val="单元格样式7"/>
            </w:pPr>
            <w:r>
              <w:t xml:space="preserve">1677.72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1677.72</w:t>
            </w:r>
          </w:p>
        </w:tc>
        <w:tc>
          <w:tcPr>
            <w:tcW w:w="2551" w:type="dxa"/>
            <w:vAlign w:val="center"/>
          </w:tcPr>
          <w:p>
            <w:pPr>
              <w:pStyle w:val="单元格样式7"/>
            </w:pPr>
            <w:r>
              <w:t xml:space="preserve">961.87</w:t>
            </w:r>
          </w:p>
        </w:tc>
        <w:tc>
          <w:tcPr>
            <w:tcW w:w="2551" w:type="dxa"/>
            <w:vAlign w:val="center"/>
          </w:tcPr>
          <w:p>
            <w:pPr>
              <w:pStyle w:val="单元格样式7"/>
            </w:pPr>
            <w:r>
              <w:t xml:space="preserve">715.85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170.31</w:t>
            </w:r>
          </w:p>
        </w:tc>
        <w:tc>
          <w:tcPr>
            <w:tcW w:w="2551" w:type="dxa"/>
            <w:vAlign w:val="center"/>
          </w:tcPr>
          <w:p>
            <w:pPr>
              <w:pStyle w:val="单元格样式4"/>
            </w:pPr>
            <w:r>
              <w:t xml:space="preserve">170.31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161.34</w:t>
            </w:r>
          </w:p>
        </w:tc>
        <w:tc>
          <w:tcPr>
            <w:tcW w:w="2551" w:type="dxa"/>
            <w:vAlign w:val="center"/>
          </w:tcPr>
          <w:p>
            <w:pPr>
              <w:pStyle w:val="单元格样式4"/>
            </w:pPr>
            <w:r>
              <w:t xml:space="preserve">161.34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70.05</w:t>
            </w:r>
          </w:p>
        </w:tc>
        <w:tc>
          <w:tcPr>
            <w:tcW w:w="2551" w:type="dxa"/>
            <w:vAlign w:val="center"/>
          </w:tcPr>
          <w:p>
            <w:pPr>
              <w:pStyle w:val="单元格样式4"/>
            </w:pPr>
            <w:r>
              <w:t xml:space="preserve">70.05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62.75</w:t>
            </w:r>
          </w:p>
        </w:tc>
        <w:tc>
          <w:tcPr>
            <w:tcW w:w="2551" w:type="dxa"/>
            <w:vAlign w:val="center"/>
          </w:tcPr>
          <w:p>
            <w:pPr>
              <w:pStyle w:val="单元格样式4"/>
            </w:pPr>
            <w:r>
              <w:t xml:space="preserve">62.75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28.54</w:t>
            </w:r>
          </w:p>
        </w:tc>
        <w:tc>
          <w:tcPr>
            <w:tcW w:w="2551" w:type="dxa"/>
            <w:vAlign w:val="center"/>
          </w:tcPr>
          <w:p>
            <w:pPr>
              <w:pStyle w:val="单元格样式4"/>
            </w:pPr>
            <w:r>
              <w:t xml:space="preserve">28.54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3.87</w:t>
            </w:r>
          </w:p>
        </w:tc>
        <w:tc>
          <w:tcPr>
            <w:tcW w:w="2551" w:type="dxa"/>
            <w:vAlign w:val="center"/>
          </w:tcPr>
          <w:p>
            <w:pPr>
              <w:pStyle w:val="单元格样式4"/>
            </w:pPr>
            <w:r>
              <w:t xml:space="preserve">3.87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3.87</w:t>
            </w:r>
          </w:p>
        </w:tc>
        <w:tc>
          <w:tcPr>
            <w:tcW w:w="2551" w:type="dxa"/>
            <w:vAlign w:val="center"/>
          </w:tcPr>
          <w:p>
            <w:pPr>
              <w:pStyle w:val="单元格样式4"/>
            </w:pPr>
            <w:r>
              <w:t xml:space="preserve">3.87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620.85</w:t>
            </w:r>
          </w:p>
        </w:tc>
        <w:tc>
          <w:tcPr>
            <w:tcW w:w="2551" w:type="dxa"/>
            <w:vAlign w:val="center"/>
          </w:tcPr>
          <w:p>
            <w:pPr>
              <w:pStyle w:val="单元格样式4"/>
            </w:pPr>
          </w:p>
        </w:tc>
        <w:tc>
          <w:tcPr>
            <w:tcW w:w="2551" w:type="dxa"/>
            <w:vAlign w:val="center"/>
          </w:tcPr>
          <w:p>
            <w:pPr>
              <w:pStyle w:val="单元格样式4"/>
            </w:pPr>
            <w:r>
              <w:t xml:space="preserve">620.85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171.59</w:t>
            </w:r>
          </w:p>
        </w:tc>
        <w:tc>
          <w:tcPr>
            <w:tcW w:w="2551" w:type="dxa"/>
            <w:vAlign w:val="center"/>
          </w:tcPr>
          <w:p>
            <w:pPr>
              <w:pStyle w:val="单元格样式4"/>
            </w:pPr>
          </w:p>
        </w:tc>
        <w:tc>
          <w:tcPr>
            <w:tcW w:w="2551" w:type="dxa"/>
            <w:vAlign w:val="center"/>
          </w:tcPr>
          <w:p>
            <w:pPr>
              <w:pStyle w:val="单元格样式4"/>
            </w:pPr>
            <w:r>
              <w:t xml:space="preserve">171.59</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81.59</w:t>
            </w:r>
          </w:p>
        </w:tc>
        <w:tc>
          <w:tcPr>
            <w:tcW w:w="2551" w:type="dxa"/>
            <w:vAlign w:val="center"/>
          </w:tcPr>
          <w:p>
            <w:pPr>
              <w:pStyle w:val="单元格样式4"/>
            </w:pPr>
          </w:p>
        </w:tc>
        <w:tc>
          <w:tcPr>
            <w:tcW w:w="2551" w:type="dxa"/>
            <w:vAlign w:val="center"/>
          </w:tcPr>
          <w:p>
            <w:pPr>
              <w:pStyle w:val="单元格样式4"/>
            </w:pPr>
            <w:r>
              <w:t xml:space="preserve">81.59</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2551" w:type="dxa"/>
            <w:vAlign w:val="center"/>
          </w:tcPr>
          <w:p>
            <w:pPr>
              <w:pStyle w:val="单元格样式4"/>
            </w:pPr>
            <w:r>
              <w:t xml:space="preserve">90.00</w:t>
            </w:r>
          </w:p>
        </w:tc>
        <w:tc>
          <w:tcPr>
            <w:tcW w:w="2551" w:type="dxa"/>
            <w:vAlign w:val="center"/>
          </w:tcPr>
          <w:p>
            <w:pPr>
              <w:pStyle w:val="单元格样式4"/>
            </w:pP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449.26</w:t>
            </w:r>
          </w:p>
        </w:tc>
        <w:tc>
          <w:tcPr>
            <w:tcW w:w="2551" w:type="dxa"/>
            <w:vAlign w:val="center"/>
          </w:tcPr>
          <w:p>
            <w:pPr>
              <w:pStyle w:val="单元格样式4"/>
            </w:pPr>
          </w:p>
        </w:tc>
        <w:tc>
          <w:tcPr>
            <w:tcW w:w="2551" w:type="dxa"/>
            <w:vAlign w:val="center"/>
          </w:tcPr>
          <w:p>
            <w:pPr>
              <w:pStyle w:val="单元格样式4"/>
            </w:pPr>
            <w:r>
              <w:t xml:space="preserve">449.26</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449.26</w:t>
            </w:r>
          </w:p>
        </w:tc>
        <w:tc>
          <w:tcPr>
            <w:tcW w:w="2551" w:type="dxa"/>
            <w:vAlign w:val="center"/>
          </w:tcPr>
          <w:p>
            <w:pPr>
              <w:pStyle w:val="单元格样式4"/>
            </w:pPr>
          </w:p>
        </w:tc>
        <w:tc>
          <w:tcPr>
            <w:tcW w:w="2551" w:type="dxa"/>
            <w:vAlign w:val="center"/>
          </w:tcPr>
          <w:p>
            <w:pPr>
              <w:pStyle w:val="单元格样式4"/>
            </w:pPr>
            <w:r>
              <w:t xml:space="preserve">449.26</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961.87</w:t>
            </w:r>
          </w:p>
        </w:tc>
        <w:tc>
          <w:tcPr>
            <w:tcW w:w="2551" w:type="dxa"/>
            <w:vAlign w:val="center"/>
          </w:tcPr>
          <w:p>
            <w:pPr>
              <w:pStyle w:val="单元格样式7"/>
            </w:pPr>
            <w:r>
              <w:t xml:space="preserve">820.44</w:t>
            </w:r>
          </w:p>
        </w:tc>
        <w:tc>
          <w:tcPr>
            <w:tcW w:w="2551" w:type="dxa"/>
            <w:vAlign w:val="center"/>
          </w:tcPr>
          <w:p>
            <w:pPr>
              <w:pStyle w:val="单元格样式7"/>
            </w:pPr>
            <w:r>
              <w:t xml:space="preserve">141.43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749.15</w:t>
            </w:r>
          </w:p>
        </w:tc>
        <w:tc>
          <w:tcPr>
            <w:tcW w:w="2551" w:type="dxa"/>
            <w:vAlign w:val="center"/>
          </w:tcPr>
          <w:p>
            <w:pPr>
              <w:pStyle w:val="单元格样式4"/>
            </w:pPr>
            <w:r>
              <w:t xml:space="preserve">745.29</w:t>
            </w:r>
          </w:p>
        </w:tc>
        <w:tc>
          <w:tcPr>
            <w:tcW w:w="2551" w:type="dxa"/>
            <w:vAlign w:val="center"/>
          </w:tcPr>
          <w:p>
            <w:pPr>
              <w:pStyle w:val="单元格样式4"/>
            </w:pPr>
            <w:r>
              <w:t xml:space="preserve">3.86</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256.51</w:t>
            </w:r>
          </w:p>
        </w:tc>
        <w:tc>
          <w:tcPr>
            <w:tcW w:w="2551" w:type="dxa"/>
            <w:vAlign w:val="center"/>
          </w:tcPr>
          <w:p>
            <w:pPr>
              <w:pStyle w:val="单元格样式4"/>
            </w:pPr>
            <w:r>
              <w:t xml:space="preserve">256.51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143.14</w:t>
            </w:r>
          </w:p>
        </w:tc>
        <w:tc>
          <w:tcPr>
            <w:tcW w:w="2551" w:type="dxa"/>
            <w:vAlign w:val="center"/>
          </w:tcPr>
          <w:p>
            <w:pPr>
              <w:pStyle w:val="单元格样式4"/>
            </w:pPr>
            <w:r>
              <w:t xml:space="preserve">143.14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53.78</w:t>
            </w:r>
          </w:p>
        </w:tc>
        <w:tc>
          <w:tcPr>
            <w:tcW w:w="2551" w:type="dxa"/>
            <w:vAlign w:val="center"/>
          </w:tcPr>
          <w:p>
            <w:pPr>
              <w:pStyle w:val="单元格样式4"/>
            </w:pPr>
            <w:r>
              <w:t xml:space="preserve">53.78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101.31</w:t>
            </w:r>
          </w:p>
        </w:tc>
        <w:tc>
          <w:tcPr>
            <w:tcW w:w="2551" w:type="dxa"/>
            <w:vAlign w:val="center"/>
          </w:tcPr>
          <w:p>
            <w:pPr>
              <w:pStyle w:val="单元格样式4"/>
            </w:pPr>
            <w:r>
              <w:t xml:space="preserve">101.31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62.75</w:t>
            </w:r>
          </w:p>
        </w:tc>
        <w:tc>
          <w:tcPr>
            <w:tcW w:w="2551" w:type="dxa"/>
            <w:vAlign w:val="center"/>
          </w:tcPr>
          <w:p>
            <w:pPr>
              <w:pStyle w:val="单元格样式4"/>
            </w:pPr>
            <w:r>
              <w:t xml:space="preserve">62.75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28.54</w:t>
            </w:r>
          </w:p>
        </w:tc>
        <w:tc>
          <w:tcPr>
            <w:tcW w:w="2551" w:type="dxa"/>
            <w:vAlign w:val="center"/>
          </w:tcPr>
          <w:p>
            <w:pPr>
              <w:pStyle w:val="单元格样式4"/>
            </w:pPr>
            <w:r>
              <w:t xml:space="preserve">28.54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7.73</w:t>
            </w:r>
          </w:p>
        </w:tc>
        <w:tc>
          <w:tcPr>
            <w:tcW w:w="2551" w:type="dxa"/>
            <w:vAlign w:val="center"/>
          </w:tcPr>
          <w:p>
            <w:pPr>
              <w:pStyle w:val="单元格样式4"/>
            </w:pPr>
            <w:r>
              <w:t xml:space="preserve">3.87</w:t>
            </w:r>
          </w:p>
        </w:tc>
        <w:tc>
          <w:tcPr>
            <w:tcW w:w="2551" w:type="dxa"/>
            <w:vAlign w:val="center"/>
          </w:tcPr>
          <w:p>
            <w:pPr>
              <w:pStyle w:val="单元格样式4"/>
            </w:pPr>
            <w:r>
              <w:t xml:space="preserve">3.86</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0.96</w:t>
            </w:r>
          </w:p>
        </w:tc>
        <w:tc>
          <w:tcPr>
            <w:tcW w:w="2551" w:type="dxa"/>
            <w:vAlign w:val="center"/>
          </w:tcPr>
          <w:p>
            <w:pPr>
              <w:pStyle w:val="单元格样式4"/>
            </w:pPr>
            <w:r>
              <w:t xml:space="preserve">0.96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133.57</w:t>
            </w:r>
          </w:p>
        </w:tc>
        <w:tc>
          <w:tcPr>
            <w:tcW w:w="2551" w:type="dxa"/>
            <w:vAlign w:val="center"/>
          </w:tcPr>
          <w:p>
            <w:pPr>
              <w:pStyle w:val="单元格样式4"/>
            </w:pPr>
          </w:p>
        </w:tc>
        <w:tc>
          <w:tcPr>
            <w:tcW w:w="2551" w:type="dxa"/>
            <w:vAlign w:val="center"/>
          </w:tcPr>
          <w:p>
            <w:pPr>
              <w:pStyle w:val="单元格样式4"/>
            </w:pPr>
            <w:r>
              <w:t xml:space="preserve">133.57</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23.00</w:t>
            </w:r>
          </w:p>
        </w:tc>
        <w:tc>
          <w:tcPr>
            <w:tcW w:w="2551" w:type="dxa"/>
            <w:vAlign w:val="center"/>
          </w:tcPr>
          <w:p>
            <w:pPr>
              <w:pStyle w:val="单元格样式4"/>
            </w:pPr>
          </w:p>
        </w:tc>
        <w:tc>
          <w:tcPr>
            <w:tcW w:w="2551" w:type="dxa"/>
            <w:vAlign w:val="center"/>
          </w:tcPr>
          <w:p>
            <w:pPr>
              <w:pStyle w:val="单元格样式4"/>
            </w:pPr>
            <w:r>
              <w:t xml:space="preserve">23.00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4.70</w:t>
            </w:r>
          </w:p>
        </w:tc>
        <w:tc>
          <w:tcPr>
            <w:tcW w:w="2551" w:type="dxa"/>
            <w:vAlign w:val="center"/>
          </w:tcPr>
          <w:p>
            <w:pPr>
              <w:pStyle w:val="单元格样式4"/>
            </w:pPr>
          </w:p>
        </w:tc>
        <w:tc>
          <w:tcPr>
            <w:tcW w:w="2551" w:type="dxa"/>
            <w:vAlign w:val="center"/>
          </w:tcPr>
          <w:p>
            <w:pPr>
              <w:pStyle w:val="单元格样式4"/>
            </w:pPr>
            <w:r>
              <w:t xml:space="preserve">4.70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4.27</w:t>
            </w:r>
          </w:p>
        </w:tc>
        <w:tc>
          <w:tcPr>
            <w:tcW w:w="2551" w:type="dxa"/>
            <w:vAlign w:val="center"/>
          </w:tcPr>
          <w:p>
            <w:pPr>
              <w:pStyle w:val="单元格样式4"/>
            </w:pPr>
          </w:p>
        </w:tc>
        <w:tc>
          <w:tcPr>
            <w:tcW w:w="2551" w:type="dxa"/>
            <w:vAlign w:val="center"/>
          </w:tcPr>
          <w:p>
            <w:pPr>
              <w:pStyle w:val="单元格样式4"/>
            </w:pPr>
            <w:r>
              <w:t xml:space="preserve">4.27</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5.03</w:t>
            </w:r>
          </w:p>
        </w:tc>
        <w:tc>
          <w:tcPr>
            <w:tcW w:w="2551" w:type="dxa"/>
            <w:vAlign w:val="center"/>
          </w:tcPr>
          <w:p>
            <w:pPr>
              <w:pStyle w:val="单元格样式4"/>
            </w:pPr>
          </w:p>
        </w:tc>
        <w:tc>
          <w:tcPr>
            <w:tcW w:w="2551" w:type="dxa"/>
            <w:vAlign w:val="center"/>
          </w:tcPr>
          <w:p>
            <w:pPr>
              <w:pStyle w:val="单元格样式4"/>
            </w:pPr>
            <w:r>
              <w:t xml:space="preserve">5.03</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18.40</w:t>
            </w:r>
          </w:p>
        </w:tc>
        <w:tc>
          <w:tcPr>
            <w:tcW w:w="2551" w:type="dxa"/>
            <w:vAlign w:val="center"/>
          </w:tcPr>
          <w:p>
            <w:pPr>
              <w:pStyle w:val="单元格样式4"/>
            </w:pPr>
          </w:p>
        </w:tc>
        <w:tc>
          <w:tcPr>
            <w:tcW w:w="2551" w:type="dxa"/>
            <w:vAlign w:val="center"/>
          </w:tcPr>
          <w:p>
            <w:pPr>
              <w:pStyle w:val="单元格样式4"/>
            </w:pPr>
            <w:r>
              <w:t xml:space="preserve">18.40</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10.37</w:t>
            </w:r>
          </w:p>
        </w:tc>
        <w:tc>
          <w:tcPr>
            <w:tcW w:w="2551" w:type="dxa"/>
            <w:vAlign w:val="center"/>
          </w:tcPr>
          <w:p>
            <w:pPr>
              <w:pStyle w:val="单元格样式4"/>
            </w:pPr>
          </w:p>
        </w:tc>
        <w:tc>
          <w:tcPr>
            <w:tcW w:w="2551" w:type="dxa"/>
            <w:vAlign w:val="center"/>
          </w:tcPr>
          <w:p>
            <w:pPr>
              <w:pStyle w:val="单元格样式4"/>
            </w:pPr>
            <w:r>
              <w:t xml:space="preserve">10.37</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75.15</w:t>
            </w:r>
          </w:p>
        </w:tc>
        <w:tc>
          <w:tcPr>
            <w:tcW w:w="2551" w:type="dxa"/>
            <w:vAlign w:val="center"/>
          </w:tcPr>
          <w:p>
            <w:pPr>
              <w:pStyle w:val="单元格样式4"/>
            </w:pPr>
            <w:r>
              <w:t xml:space="preserve">75.15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70.05</w:t>
            </w:r>
          </w:p>
        </w:tc>
        <w:tc>
          <w:tcPr>
            <w:tcW w:w="2551" w:type="dxa"/>
            <w:vAlign w:val="center"/>
          </w:tcPr>
          <w:p>
            <w:pPr>
              <w:pStyle w:val="单元格样式4"/>
            </w:pPr>
            <w:r>
              <w:t xml:space="preserve">70.05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5.80</w:t>
            </w:r>
          </w:p>
        </w:tc>
        <w:tc>
          <w:tcPr>
            <w:tcW w:w="2381" w:type="dxa"/>
            <w:vAlign w:val="center"/>
          </w:tcPr>
          <w:p>
            <w:pPr>
              <w:pStyle w:val="单元格样式7"/>
            </w:pPr>
            <w:r>
              <w:t xml:space="preserve">5.80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新乐市协神乡人民政府本级2025年单位预算信息公开情况说明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按照《中华人民共和国预算法》、《地方预决算公开操作规程》和《关于进一步推进预算公开工作的实施意见》规定，现将新乐市协神乡人民政府本级2025年单位预算公开如下：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宣传、贯彻、执行党的路线方针、政策和国家的法律、法规，执行本级人民代表大会的决议和上级行政机关的决定和命令。</w:t>
      </w:r>
    </w:p>
    <w:p>
      <w:pPr>
        <w:pStyle w:val="插入文本样式-插入单位职责文件"/>
      </w:pPr>
      <w:r>
        <w:t xml:space="preserve">（一）促进经济发展</w:t>
      </w:r>
    </w:p>
    <w:p>
      <w:pPr>
        <w:pStyle w:val="插入文本样式-插入单位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单位职责文件"/>
      </w:pPr>
      <w:r>
        <w:t xml:space="preserve">（二）加强社会管理</w:t>
      </w:r>
    </w:p>
    <w:p>
      <w:pPr>
        <w:pStyle w:val="插入文本样式-插入单位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单位职责文件"/>
      </w:pPr>
      <w:r>
        <w:t xml:space="preserve">（三）提供公共服务</w:t>
      </w:r>
    </w:p>
    <w:p>
      <w:pPr>
        <w:pStyle w:val="插入文本样式-插入单位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单位职责文件"/>
      </w:pPr>
      <w:r>
        <w:t xml:space="preserve">（四）维护农村稳定</w:t>
      </w:r>
    </w:p>
    <w:p>
      <w:pPr>
        <w:pStyle w:val="插入文本样式-插入单位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新乐市协神乡人民政府本级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1677.72万元，其中：一般公共预算收入1677.72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协神乡人民政府本级年度单位预算中支出预算的总体情况。2025年支出预算1677.72万元，其中基本支出961.87万元，包括人员经费820.44万元和日常公用经费141.43万元；项目支出715.85万元，主要为2025年本级支出-村级组织运转经费（农村干部基础职务补贴及正常离任农村干部生活补贴）、2025年本级支出-村级组织运转经费（服务群众专项经费）、2025年本级支出-村级组织运转经费（村级组织办公经费）、2025年本级支出-村级组织运转经费（村党组织活动经费）、2025年本级支出-机关事务管理运行保障经费、2025年本级支出-乡村振兴工作经费、2024年北青同革命老区项目、2024年西杨家庄村革命老区项目、2025年本级支出-公共文化馆（站）免费开放经费（三馆一站）、冀财教【2024】149号-提前下达2025年省级公共图书馆美术馆文化馆免费开放补助资金、冀财教【2024】109号-提前下达2025年公共图书馆文化馆（站）免费开放补助资金。</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2025年预算收支安排1677.72万元，较2024年预算减少321.60万元，其中：基本支出减少74.68万元，主要为公用经费减少77.47万元，公用经费中的劳务费减少85万元。项目支出减少246.92万元，主要为基础设施建设项目减少。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2025年，我单位机关运行经费共计安排141.43万元，主要用于日常维修、办公用房水电费、办公用房取暖费、办公用房物业管理费等日常运行支出。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5.80万元，其中因公出国（境）费0.00万元；公务用车购置及运维费5.80万元（其中：公务用车购置费为0.00万元，公务用车运维费5.80万元)；公务接待费0.00万元。与2024年相比增加0.00万元，增减变化的主要原因是2025年与2024年比没有变化，“三公”经费主要为公务用车运维费。</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1、2024年北青同村革命老区项目绩效目标表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2024年北青同村革命老区项目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用于2024年北青同革命老区项目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66.51</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新改建农村公路里程</w:t>
            </w:r>
          </w:p>
        </w:tc>
        <w:tc>
          <w:tcPr>
            <w:tcW w:w="5386" w:type="dxa"/>
            <w:vAlign w:val="center"/>
          </w:tcPr>
          <w:p>
            <w:pPr>
              <w:pStyle w:val="单元格样式2"/>
            </w:pPr>
            <w:r>
              <w:t xml:space="preserve">新改建农村公路里程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实现道路连接村个数</w:t>
            </w:r>
          </w:p>
        </w:tc>
        <w:tc>
          <w:tcPr>
            <w:tcW w:w="5386" w:type="dxa"/>
            <w:vAlign w:val="center"/>
          </w:tcPr>
          <w:p>
            <w:pPr>
              <w:pStyle w:val="单元格样式2"/>
            </w:pPr>
            <w:r>
              <w:t xml:space="preserve">实现道路连接村个数</w:t>
            </w:r>
          </w:p>
        </w:tc>
        <w:tc>
          <w:tcPr>
            <w:tcW w:w="2268" w:type="dxa"/>
            <w:vAlign w:val="center"/>
          </w:tcPr>
          <w:p>
            <w:pPr>
              <w:pStyle w:val="单元格样式2"/>
            </w:pPr>
            <w:r>
              <w:t xml:space="preserve">≥2个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新增硬化路里程</w:t>
            </w:r>
          </w:p>
        </w:tc>
        <w:tc>
          <w:tcPr>
            <w:tcW w:w="5386" w:type="dxa"/>
            <w:vAlign w:val="center"/>
          </w:tcPr>
          <w:p>
            <w:pPr>
              <w:pStyle w:val="单元格样式2"/>
            </w:pPr>
            <w:r>
              <w:t xml:space="preserve">新增硬化路里程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项目工程质量合格率</w:t>
            </w:r>
          </w:p>
        </w:tc>
        <w:tc>
          <w:tcPr>
            <w:tcW w:w="5386" w:type="dxa"/>
            <w:vAlign w:val="center"/>
          </w:tcPr>
          <w:p>
            <w:pPr>
              <w:pStyle w:val="单元格样式2"/>
            </w:pPr>
            <w:r>
              <w:t xml:space="preserve">项目工程质量合格率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对地区经济增长的贡献程度</w:t>
            </w:r>
          </w:p>
        </w:tc>
        <w:tc>
          <w:tcPr>
            <w:tcW w:w="5386" w:type="dxa"/>
            <w:vAlign w:val="center"/>
          </w:tcPr>
          <w:p>
            <w:pPr>
              <w:pStyle w:val="单元格样式2"/>
            </w:pPr>
            <w:r>
              <w:t xml:space="preserve">对地区经济增长的贡献程度</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建制村通客车率</w:t>
            </w:r>
          </w:p>
        </w:tc>
        <w:tc>
          <w:tcPr>
            <w:tcW w:w="5386" w:type="dxa"/>
            <w:vAlign w:val="center"/>
          </w:tcPr>
          <w:p>
            <w:pPr>
              <w:pStyle w:val="单元格样式2"/>
            </w:pPr>
            <w:r>
              <w:t xml:space="preserve">建制村通客车率</w:t>
            </w:r>
          </w:p>
        </w:tc>
        <w:tc>
          <w:tcPr>
            <w:tcW w:w="2268" w:type="dxa"/>
            <w:vAlign w:val="center"/>
          </w:tcPr>
          <w:p>
            <w:pPr>
              <w:pStyle w:val="单元格样式2"/>
            </w:pPr>
            <w:r>
              <w:t xml:space="preserve">≥60百分比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具备条件的村通硬化路率</w:t>
            </w:r>
          </w:p>
        </w:tc>
        <w:tc>
          <w:tcPr>
            <w:tcW w:w="5386" w:type="dxa"/>
            <w:vAlign w:val="center"/>
          </w:tcPr>
          <w:p>
            <w:pPr>
              <w:pStyle w:val="单元格样式2"/>
            </w:pPr>
            <w:r>
              <w:t xml:space="preserve">具备条件的村通硬化路率</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居民出行平均缩短时间</w:t>
            </w:r>
          </w:p>
        </w:tc>
        <w:tc>
          <w:tcPr>
            <w:tcW w:w="5386" w:type="dxa"/>
            <w:vAlign w:val="center"/>
          </w:tcPr>
          <w:p>
            <w:pPr>
              <w:pStyle w:val="单元格样式2"/>
            </w:pPr>
            <w:r>
              <w:t xml:space="preserve">居民出行平均缩短时间20分钟</w:t>
            </w:r>
          </w:p>
        </w:tc>
        <w:tc>
          <w:tcPr>
            <w:tcW w:w="2268" w:type="dxa"/>
            <w:vAlign w:val="center"/>
          </w:tcPr>
          <w:p>
            <w:pPr>
              <w:pStyle w:val="单元格样式2"/>
            </w:pPr>
            <w:r>
              <w:t xml:space="preserve">≤20百分比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2、2024年西杨家庄村革命老区项目绩效目标表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13018425P00522110007P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2024年西杨家庄村革命老区项目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用于支付西杨家庄革命老区资金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15.08</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新改建农村公路里程</w:t>
            </w:r>
          </w:p>
        </w:tc>
        <w:tc>
          <w:tcPr>
            <w:tcW w:w="5386" w:type="dxa"/>
            <w:vAlign w:val="center"/>
          </w:tcPr>
          <w:p>
            <w:pPr>
              <w:pStyle w:val="单元格样式2"/>
            </w:pPr>
            <w:r>
              <w:t xml:space="preserve">新改建农村公路里程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实现道路连接村个数</w:t>
            </w:r>
          </w:p>
        </w:tc>
        <w:tc>
          <w:tcPr>
            <w:tcW w:w="5386" w:type="dxa"/>
            <w:vAlign w:val="center"/>
          </w:tcPr>
          <w:p>
            <w:pPr>
              <w:pStyle w:val="单元格样式2"/>
            </w:pPr>
            <w:r>
              <w:t xml:space="preserve">实现道路连接村个数</w:t>
            </w:r>
          </w:p>
        </w:tc>
        <w:tc>
          <w:tcPr>
            <w:tcW w:w="2268" w:type="dxa"/>
            <w:vAlign w:val="center"/>
          </w:tcPr>
          <w:p>
            <w:pPr>
              <w:pStyle w:val="单元格样式2"/>
            </w:pPr>
            <w:r>
              <w:t xml:space="preserve">≥2个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新增硬化路里程</w:t>
            </w:r>
          </w:p>
        </w:tc>
        <w:tc>
          <w:tcPr>
            <w:tcW w:w="5386" w:type="dxa"/>
            <w:vAlign w:val="center"/>
          </w:tcPr>
          <w:p>
            <w:pPr>
              <w:pStyle w:val="单元格样式2"/>
            </w:pPr>
            <w:r>
              <w:t xml:space="preserve">新增硬化路里程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项目工程质量合格率</w:t>
            </w:r>
          </w:p>
        </w:tc>
        <w:tc>
          <w:tcPr>
            <w:tcW w:w="5386" w:type="dxa"/>
            <w:vAlign w:val="center"/>
          </w:tcPr>
          <w:p>
            <w:pPr>
              <w:pStyle w:val="单元格样式2"/>
            </w:pPr>
            <w:r>
              <w:t xml:space="preserve">项目工程质量合格率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对地区经济增长的贡献程度</w:t>
            </w:r>
          </w:p>
        </w:tc>
        <w:tc>
          <w:tcPr>
            <w:tcW w:w="5386" w:type="dxa"/>
            <w:vAlign w:val="center"/>
          </w:tcPr>
          <w:p>
            <w:pPr>
              <w:pStyle w:val="单元格样式2"/>
            </w:pPr>
            <w:r>
              <w:t xml:space="preserve">对地区经济增长的贡献程度</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建制村通客车率</w:t>
            </w:r>
          </w:p>
        </w:tc>
        <w:tc>
          <w:tcPr>
            <w:tcW w:w="5386" w:type="dxa"/>
            <w:vAlign w:val="center"/>
          </w:tcPr>
          <w:p>
            <w:pPr>
              <w:pStyle w:val="单元格样式2"/>
            </w:pPr>
            <w:r>
              <w:t xml:space="preserve">建制村通客车率</w:t>
            </w:r>
          </w:p>
        </w:tc>
        <w:tc>
          <w:tcPr>
            <w:tcW w:w="2268" w:type="dxa"/>
            <w:vAlign w:val="center"/>
          </w:tcPr>
          <w:p>
            <w:pPr>
              <w:pStyle w:val="单元格样式2"/>
            </w:pPr>
            <w:r>
              <w:t xml:space="preserve">≥60百分比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具备条件的村通硬化路率</w:t>
            </w:r>
          </w:p>
        </w:tc>
        <w:tc>
          <w:tcPr>
            <w:tcW w:w="5386" w:type="dxa"/>
            <w:vAlign w:val="center"/>
          </w:tcPr>
          <w:p>
            <w:pPr>
              <w:pStyle w:val="单元格样式2"/>
            </w:pPr>
            <w:r>
              <w:t xml:space="preserve">具备条件的村通硬化路率</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居民出行平均缩短时间</w:t>
            </w:r>
          </w:p>
        </w:tc>
        <w:tc>
          <w:tcPr>
            <w:tcW w:w="5386" w:type="dxa"/>
            <w:vAlign w:val="center"/>
          </w:tcPr>
          <w:p>
            <w:pPr>
              <w:pStyle w:val="单元格样式2"/>
            </w:pPr>
            <w:r>
              <w:t xml:space="preserve">居民出行平均缩短时间20分钟</w:t>
            </w:r>
          </w:p>
        </w:tc>
        <w:tc>
          <w:tcPr>
            <w:tcW w:w="2268" w:type="dxa"/>
            <w:vAlign w:val="center"/>
          </w:tcPr>
          <w:p>
            <w:pPr>
              <w:pStyle w:val="单元格样式2"/>
            </w:pPr>
            <w:r>
              <w:t xml:space="preserve">≤20百分比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3、2025年本级支出-村级组织运转经费（村党组织活动经费）绩效目标表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13018425P00001010038M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党组织活动经费用于保障各村党支部党员活动开支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32.20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4、2025年本级支出-村级组织运转经费（村级组织办公经费）绩效目标表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13018425P00001010054Y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2025年本级支出-村级组织运转经费（村级组织办公经费）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用于村级组织运转经费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1.达到产出、效益、满意度等指标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5、2025年本级支出-村级组织运转经费（服务群众专项经费）绩效目标表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2025年本级支出-村级组织运转经费（服务群众专项经费）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服务群众专项经费用于各村党支部服务群众各项开支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6、2025年本级支出-村级组织运转经费（农村干部基础职务补贴及正常离任农村干部生活补贴）绩效目标表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13018425P000010100372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2025年本级支出-村级组织运转经费（农村干部基础职务补贴及正常离任农村干部生活补贴）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用于保障我乡各村村干部基础职务补贴及正常离任农村干部生活补贴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312.56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1.达到产出、效益、满意度等指标</w:t>
            </w:r>
            <w:r>
              <w:rPr/>
              <w:tab/>
            </w:r>
            <w:r>
              <w:rPr/>
              <w:tab/>
            </w:r>
            <w:r>
              <w:rPr/>
              <w:tab/>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7、2025年本级支出-公共文化馆（站）免费开放经费（三馆一站）绩效目标表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13018425P00001110013H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2025年本级支出-公共文化馆（站）免费开放经费（三馆一站）</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1.5万元将全部用于“三馆一站”资金支出，丰富广大群众文体娱乐生活，切实提高群众生活幸福指数。</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免费开放场馆（站）租住举办各类展览、培训、讲座等文化活动的数量</w:t>
            </w:r>
          </w:p>
        </w:tc>
        <w:tc>
          <w:tcPr>
            <w:tcW w:w="5386" w:type="dxa"/>
            <w:vAlign w:val="center"/>
          </w:tcPr>
          <w:p>
            <w:pPr>
              <w:pStyle w:val="单元格样式2"/>
            </w:pPr>
            <w:r>
              <w:t xml:space="preserve">文化活动数量</w:t>
            </w:r>
          </w:p>
        </w:tc>
        <w:tc>
          <w:tcPr>
            <w:tcW w:w="2268" w:type="dxa"/>
            <w:vAlign w:val="center"/>
          </w:tcPr>
          <w:p>
            <w:pPr>
              <w:pStyle w:val="单元格样式2"/>
            </w:pPr>
            <w:r>
              <w:t xml:space="preserve">≥40次</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举办文化活动成本</w:t>
            </w:r>
          </w:p>
        </w:tc>
        <w:tc>
          <w:tcPr>
            <w:tcW w:w="5386" w:type="dxa"/>
            <w:vAlign w:val="center"/>
          </w:tcPr>
          <w:p>
            <w:pPr>
              <w:pStyle w:val="单元格样式2"/>
            </w:pPr>
            <w:r>
              <w:t xml:space="preserve">举办文化活动成本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p>
            <w:pPr>
              <w:pStyle w:val="单元格样式2"/>
            </w:pP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举办文化活动严格按照环保标准</w:t>
            </w:r>
          </w:p>
        </w:tc>
        <w:tc>
          <w:tcPr>
            <w:tcW w:w="5386" w:type="dxa"/>
            <w:vAlign w:val="center"/>
          </w:tcPr>
          <w:p>
            <w:pPr>
              <w:pStyle w:val="单元格样式2"/>
            </w:pPr>
            <w:r>
              <w:t xml:space="preserve">举办文化活动严格按照环保标准</w:t>
            </w:r>
          </w:p>
        </w:tc>
        <w:tc>
          <w:tcPr>
            <w:tcW w:w="2268" w:type="dxa"/>
            <w:vAlign w:val="center"/>
          </w:tcPr>
          <w:p>
            <w:pPr>
              <w:pStyle w:val="单元格样式2"/>
            </w:pPr>
            <w:r>
              <w:t xml:space="preserve">举办文化活动严格按照环保标准</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8、2025年本级支出-机关事务管理运行保障经费绩效目标表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13018425P005223100144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2025年本级支出-机关事务管理运行保障经费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用于机关事务管理支出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90.00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保障数量</w:t>
            </w:r>
          </w:p>
        </w:tc>
        <w:tc>
          <w:tcPr>
            <w:tcW w:w="5386" w:type="dxa"/>
            <w:vAlign w:val="center"/>
          </w:tcPr>
          <w:p>
            <w:pPr>
              <w:pStyle w:val="单元格样式2"/>
            </w:pPr>
            <w:r>
              <w:t xml:space="preserve">保障各项工作顺利开展率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发放规范</w:t>
            </w:r>
          </w:p>
        </w:tc>
        <w:tc>
          <w:tcPr>
            <w:tcW w:w="5386" w:type="dxa"/>
            <w:vAlign w:val="center"/>
          </w:tcPr>
          <w:p>
            <w:pPr>
              <w:pStyle w:val="单元格样式2"/>
            </w:pPr>
            <w:r>
              <w:t xml:space="preserve">资金使用情况与规范使用的匹配率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及时发放率</w:t>
            </w:r>
          </w:p>
        </w:tc>
        <w:tc>
          <w:tcPr>
            <w:tcW w:w="5386" w:type="dxa"/>
            <w:vAlign w:val="center"/>
          </w:tcPr>
          <w:p>
            <w:pPr>
              <w:pStyle w:val="单元格样式2"/>
            </w:pPr>
            <w:r>
              <w:t xml:space="preserve">及时发放率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发放金额</w:t>
            </w:r>
          </w:p>
        </w:tc>
        <w:tc>
          <w:tcPr>
            <w:tcW w:w="5386" w:type="dxa"/>
            <w:vAlign w:val="center"/>
          </w:tcPr>
          <w:p>
            <w:pPr>
              <w:pStyle w:val="单元格样式2"/>
            </w:pPr>
            <w:r>
              <w:t xml:space="preserve">发放金额</w:t>
            </w:r>
          </w:p>
        </w:tc>
        <w:tc>
          <w:tcPr>
            <w:tcW w:w="2268" w:type="dxa"/>
            <w:vAlign w:val="center"/>
          </w:tcPr>
          <w:p>
            <w:pPr>
              <w:pStyle w:val="单元格样式2"/>
            </w:pPr>
            <w:r>
              <w:t xml:space="preserve">≤90万元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发放金额</w:t>
            </w:r>
          </w:p>
        </w:tc>
        <w:tc>
          <w:tcPr>
            <w:tcW w:w="5386" w:type="dxa"/>
            <w:vAlign w:val="center"/>
          </w:tcPr>
          <w:p>
            <w:pPr>
              <w:pStyle w:val="单元格样式2"/>
            </w:pPr>
            <w:r>
              <w:t xml:space="preserve">实际发放金额与计划发放金额的占比</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w:t>
            </w:r>
          </w:p>
        </w:tc>
        <w:tc>
          <w:tcPr>
            <w:tcW w:w="5386" w:type="dxa"/>
            <w:vAlign w:val="center"/>
          </w:tcPr>
          <w:p>
            <w:pPr>
              <w:pStyle w:val="单元格样式2"/>
            </w:pPr>
            <w:r>
              <w:t xml:space="preserve">实际完成工作与计划完成工作的占比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不涉及</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不涉及</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9、2025年本级支出-乡村振兴工作经费绩效目标表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13018425P000019100181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2025年本级支出-乡村振兴工作经费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用于乡村振兴工作经费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90.00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完成宜居村庄建设数量</w:t>
            </w:r>
          </w:p>
        </w:tc>
        <w:tc>
          <w:tcPr>
            <w:tcW w:w="5386" w:type="dxa"/>
            <w:vAlign w:val="center"/>
          </w:tcPr>
          <w:p>
            <w:pPr>
              <w:pStyle w:val="单元格样式2"/>
            </w:pPr>
            <w:r>
              <w:t xml:space="preserve">完成宜居村庄建设数量</w:t>
            </w:r>
          </w:p>
        </w:tc>
        <w:tc>
          <w:tcPr>
            <w:tcW w:w="2268" w:type="dxa"/>
            <w:vAlign w:val="center"/>
          </w:tcPr>
          <w:p>
            <w:pPr>
              <w:pStyle w:val="单元格样式2"/>
            </w:pPr>
            <w:r>
              <w:t xml:space="preserve">≥3个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90万元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经济效益增值率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社会效益增加值</w:t>
            </w:r>
          </w:p>
        </w:tc>
        <w:tc>
          <w:tcPr>
            <w:tcW w:w="5386" w:type="dxa"/>
            <w:vAlign w:val="center"/>
          </w:tcPr>
          <w:p>
            <w:pPr>
              <w:pStyle w:val="单元格样式2"/>
            </w:pPr>
            <w:r>
              <w:t xml:space="preserve">社会效益增加值</w:t>
            </w:r>
          </w:p>
        </w:tc>
        <w:tc>
          <w:tcPr>
            <w:tcW w:w="2268" w:type="dxa"/>
            <w:vAlign w:val="center"/>
          </w:tcPr>
          <w:p>
            <w:pPr>
              <w:pStyle w:val="单元格样式2"/>
            </w:pPr>
            <w:r>
              <w:t xml:space="preserve">≥85百分比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卫生环境显著提升</w:t>
            </w:r>
          </w:p>
        </w:tc>
        <w:tc>
          <w:tcPr>
            <w:tcW w:w="5386" w:type="dxa"/>
            <w:vAlign w:val="center"/>
          </w:tcPr>
          <w:p>
            <w:pPr>
              <w:pStyle w:val="单元格样式2"/>
            </w:pPr>
            <w:r>
              <w:t xml:space="preserve">卫生环境显著提升</w:t>
            </w:r>
          </w:p>
        </w:tc>
        <w:tc>
          <w:tcPr>
            <w:tcW w:w="2268" w:type="dxa"/>
            <w:vAlign w:val="center"/>
          </w:tcPr>
          <w:p>
            <w:pPr>
              <w:pStyle w:val="单元格样式2"/>
            </w:pPr>
            <w:r>
              <w:t xml:space="preserve">卫生环境显著提升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全面提升乡村人居环境</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10、冀财教【2024】109号-提前下达2025年公共图书馆文化馆（站）免费开放补助资金绩效目标表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13018425P00001110040A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冀财教【2024】109号-提前下达2025年公共图书馆文化馆（站）免费开放补助资金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用于公共支出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群众参与人数较上年增长率</w:t>
            </w:r>
          </w:p>
        </w:tc>
        <w:tc>
          <w:tcPr>
            <w:tcW w:w="5386" w:type="dxa"/>
            <w:vAlign w:val="center"/>
          </w:tcPr>
          <w:p>
            <w:pPr>
              <w:pStyle w:val="单元格样式2"/>
            </w:pPr>
            <w:r>
              <w:t xml:space="preserve">群众参与人数较上年增长率</w:t>
            </w:r>
          </w:p>
        </w:tc>
        <w:tc>
          <w:tcPr>
            <w:tcW w:w="2268" w:type="dxa"/>
            <w:vAlign w:val="center"/>
          </w:tcPr>
          <w:p>
            <w:pPr>
              <w:pStyle w:val="单元格样式2"/>
            </w:pPr>
            <w:r>
              <w:t xml:space="preserve">≥2百分比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11、冀财教【2024】149号-提前下达2025年省级公共图书馆美术馆文化馆免费开放补助资金绩效目标表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冀财教【2024】149号-提前下达2025年省级公共图书馆美术馆文化馆免费开放补助资金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用于公共文化支出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群众参与人数较上年增长率</w:t>
            </w:r>
          </w:p>
        </w:tc>
        <w:tc>
          <w:tcPr>
            <w:tcW w:w="5386" w:type="dxa"/>
            <w:vAlign w:val="center"/>
          </w:tcPr>
          <w:p>
            <w:pPr>
              <w:pStyle w:val="单元格样式2"/>
            </w:pPr>
            <w:r>
              <w:t xml:space="preserve">群众参与人数较上年增长率</w:t>
            </w:r>
          </w:p>
        </w:tc>
        <w:tc>
          <w:tcPr>
            <w:tcW w:w="2268" w:type="dxa"/>
            <w:vAlign w:val="center"/>
          </w:tcPr>
          <w:p>
            <w:pPr>
              <w:pStyle w:val="单元格样式2"/>
            </w:pPr>
            <w:r>
              <w:t xml:space="preserve">≥2百分比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81.59</w:t>
            </w:r>
          </w:p>
        </w:tc>
        <w:tc>
          <w:tcPr>
            <w:tcW w:w="964" w:type="dxa"/>
            <w:vAlign w:val="center"/>
          </w:tcPr>
          <w:p>
            <w:pPr>
              <w:pStyle w:val="单元格样式7"/>
            </w:pPr>
            <w:r>
              <w:t xml:space="preserve">81.59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81.59</w:t>
            </w:r>
          </w:p>
        </w:tc>
      </w:tr>
      <w:tr>
        <w:trPr>
          <w:cantSplit/>
          <w:trHeight w:hRule="auto" w:val="0"/>
          <w:jc w:val="center"/>
        </w:trPr>
        <w:tc>
          <w:tcPr>
            <w:tcW w:w="1701" w:type="dxa"/>
            <w:vAlign w:val="center"/>
          </w:tcPr>
          <w:p>
            <w:pPr>
              <w:pStyle w:val="单元格样式6"/>
            </w:pPr>
            <w:r>
              <w:t xml:space="preserve">新乐市协神乡人民政府本级小计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81.59</w:t>
            </w:r>
          </w:p>
        </w:tc>
        <w:tc>
          <w:tcPr>
            <w:tcW w:w="964" w:type="dxa"/>
            <w:vAlign w:val="center"/>
          </w:tcPr>
          <w:p>
            <w:pPr>
              <w:pStyle w:val="单元格样式7"/>
            </w:pPr>
            <w:r>
              <w:t xml:space="preserve">81.59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81.59</w:t>
            </w:r>
          </w:p>
        </w:tc>
      </w:tr>
      <w:tr>
        <w:trPr>
          <w:cantSplit/>
          <w:trHeight w:hRule="auto" w:val="0"/>
          <w:jc w:val="center"/>
        </w:trPr>
        <w:tc>
          <w:tcPr>
            <w:tcW w:w="1701" w:type="dxa"/>
            <w:vAlign w:val="center"/>
          </w:tcPr>
          <w:p>
            <w:pPr>
              <w:pStyle w:val="单元格样式2"/>
            </w:pPr>
            <w:r>
              <w:t xml:space="preserve">2024年北青同村革命老区项目</w:t>
            </w:r>
          </w:p>
        </w:tc>
        <w:tc>
          <w:tcPr>
            <w:tcW w:w="964" w:type="dxa"/>
            <w:vAlign w:val="center"/>
          </w:tcPr>
          <w:p>
            <w:pPr>
              <w:pStyle w:val="单元格样式4"/>
            </w:pPr>
            <w:r>
              <w:t xml:space="preserve">66.51</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66.51</w:t>
            </w:r>
          </w:p>
        </w:tc>
        <w:tc>
          <w:tcPr>
            <w:tcW w:w="964" w:type="dxa"/>
            <w:vAlign w:val="center"/>
          </w:tcPr>
          <w:p>
            <w:pPr>
              <w:pStyle w:val="单元格样式4"/>
            </w:pPr>
            <w:r>
              <w:t xml:space="preserve">66.51</w:t>
            </w:r>
          </w:p>
        </w:tc>
        <w:tc>
          <w:tcPr>
            <w:tcW w:w="964" w:type="dxa"/>
            <w:vAlign w:val="center"/>
          </w:tcPr>
          <w:p>
            <w:pPr>
              <w:pStyle w:val="单元格样式4"/>
            </w:pPr>
            <w:r>
              <w:t xml:space="preserve">66.51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66.51</w:t>
            </w:r>
          </w:p>
        </w:tc>
      </w:tr>
      <w:tr>
        <w:trPr>
          <w:cantSplit/>
          <w:trHeight w:hRule="auto" w:val="0"/>
          <w:jc w:val="center"/>
        </w:trPr>
        <w:tc>
          <w:tcPr>
            <w:tcW w:w="1701" w:type="dxa"/>
            <w:vAlign w:val="center"/>
          </w:tcPr>
          <w:p>
            <w:pPr>
              <w:pStyle w:val="单元格样式2"/>
            </w:pPr>
            <w:r>
              <w:t xml:space="preserve">2024年西杨家庄村革命老区项目</w:t>
            </w:r>
          </w:p>
        </w:tc>
        <w:tc>
          <w:tcPr>
            <w:tcW w:w="964" w:type="dxa"/>
            <w:vAlign w:val="center"/>
          </w:tcPr>
          <w:p>
            <w:pPr>
              <w:pStyle w:val="单元格样式4"/>
            </w:pPr>
            <w:r>
              <w:t xml:space="preserve">15.08</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15.08</w:t>
            </w:r>
          </w:p>
        </w:tc>
        <w:tc>
          <w:tcPr>
            <w:tcW w:w="964" w:type="dxa"/>
            <w:vAlign w:val="center"/>
          </w:tcPr>
          <w:p>
            <w:pPr>
              <w:pStyle w:val="单元格样式4"/>
            </w:pPr>
            <w:r>
              <w:t xml:space="preserve">15.08</w:t>
            </w:r>
          </w:p>
        </w:tc>
        <w:tc>
          <w:tcPr>
            <w:tcW w:w="964" w:type="dxa"/>
            <w:vAlign w:val="center"/>
          </w:tcPr>
          <w:p>
            <w:pPr>
              <w:pStyle w:val="单元格样式4"/>
            </w:pPr>
            <w:r>
              <w:t xml:space="preserve">15.08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15.08</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新乐市协神乡人民政府本级上年末固定资产金额为331.18万元（详见下表）。本年度拟购置固定资产总额为0.00万元，已按要求列入政府采购预算，详见政府采购预算表。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914001新乐市协神乡人民政府本级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331.18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3570.76</w:t>
            </w:r>
          </w:p>
        </w:tc>
        <w:tc>
          <w:tcPr>
            <w:tcW w:w="2835" w:type="dxa"/>
            <w:vAlign w:val="center"/>
          </w:tcPr>
          <w:p>
            <w:pPr>
              <w:pStyle w:val="单元格样式4"/>
            </w:pPr>
            <w:r>
              <w:t xml:space="preserve">278.49</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2713.30</w:t>
            </w:r>
          </w:p>
        </w:tc>
        <w:tc>
          <w:tcPr>
            <w:tcW w:w="2835" w:type="dxa"/>
            <w:vAlign w:val="center"/>
          </w:tcPr>
          <w:p>
            <w:pPr>
              <w:pStyle w:val="单元格样式4"/>
            </w:pPr>
            <w:r>
              <w:t xml:space="preserve">201.04</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24.86</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310</w:t>
            </w:r>
          </w:p>
        </w:tc>
        <w:tc>
          <w:tcPr>
            <w:tcW w:w="2835" w:type="dxa"/>
            <w:vAlign w:val="center"/>
          </w:tcPr>
          <w:p>
            <w:pPr>
              <w:pStyle w:val="单元格样式4"/>
            </w:pPr>
            <w:r>
              <w:t xml:space="preserve">27.83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32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33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35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2025-09-11T09:42:23Z</dcterms:created>
  <dcterms:modified xsi:type="dcterms:W3CDTF">2025-09-11T09:42:23Z</dcterms:modified>
</cp:coreProperties>
</file>