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一、新乐市城市管理综合行政执法局本级收支预算</w:t>
        </w:r>
        <w:r>
          <w:tab/>
        </w:r>
        <w:r>
          <w:fldChar w:fldCharType="begin"/>
        </w:r>
        <w:r>
          <w:instrText xml:space="preserve">PAGEREF _Toc_4_4_0000000001 \h</w:instrText>
        </w:r>
        <w:r>
          <w:fldChar w:fldCharType="separate"/>
        </w:r>
        <w:r>
          <w:t xml:space="preserve">1</w:t>
        </w:r>
        <w:r>
          <w:fldChar w:fldCharType="end"/>
        </w:r>
      </w:hyperlink>
    </w:p>
    <w:p>
      <w:pPr>
        <w:pStyle w:val="TOC1"/>
        <w:tabs>
          <w:tab w:val="right" w:leader="dot" w:pos="14562"/>
        </w:tabs>
      </w:pPr>
      <w:hyperlink w:anchor="_Toc_4_4_0000000002" w:history="1">
        <w:r>
          <w:rPr>
            <w:b w:val="0"/>
          </w:rPr>
          <w:t xml:space="preserve">二、新乐市市场管理中心收支预算</w:t>
        </w:r>
        <w:r>
          <w:tab/>
        </w:r>
        <w:r>
          <w:fldChar w:fldCharType="begin"/>
        </w:r>
        <w:r>
          <w:instrText xml:space="preserve">PAGEREF _Toc_4_4_0000000002 \h</w:instrText>
        </w:r>
        <w:r>
          <w:fldChar w:fldCharType="separate"/>
        </w:r>
        <w:r>
          <w:t xml:space="preserve">45</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一、新乐市城市管理综合行政执法局本级收支预算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24594.77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1425.23</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582.48</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325.58</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10098.86</w:t>
            </w: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76.44</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21289.93</w:t>
            </w: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3497.59</w:t>
            </w: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26020.00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37843.97</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11823.97</w:t>
            </w: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37843.97</w:t>
            </w:r>
          </w:p>
        </w:tc>
        <w:tc>
          <w:tcPr>
            <w:tcW w:w="4535" w:type="dxa"/>
            <w:vAlign w:val="center"/>
          </w:tcPr>
          <w:p>
            <w:pPr>
              <w:pStyle w:val="单元格样式6"/>
            </w:pPr>
            <w:r>
              <w:t xml:space="preserve">支出总计</w:t>
            </w:r>
          </w:p>
        </w:tc>
        <w:tc>
          <w:tcPr>
            <w:tcW w:w="2126" w:type="dxa"/>
            <w:vAlign w:val="center"/>
          </w:tcPr>
          <w:p>
            <w:pPr>
              <w:pStyle w:val="单元格样式7"/>
            </w:pPr>
            <w:r>
              <w:t xml:space="preserve">37843.97</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37843.97</w:t>
            </w:r>
          </w:p>
        </w:tc>
        <w:tc>
          <w:tcPr>
            <w:tcW w:w="1134" w:type="dxa"/>
            <w:vAlign w:val="center"/>
          </w:tcPr>
          <w:p>
            <w:pPr>
              <w:pStyle w:val="单元格样式7"/>
            </w:pPr>
            <w:r>
              <w:t xml:space="preserve">26020.00</w:t>
            </w:r>
          </w:p>
        </w:tc>
        <w:tc>
          <w:tcPr>
            <w:tcW w:w="1134" w:type="dxa"/>
            <w:vAlign w:val="center"/>
          </w:tcPr>
          <w:p>
            <w:pPr>
              <w:pStyle w:val="单元格样式7"/>
            </w:pPr>
            <w:r>
              <w:t xml:space="preserve">26020.00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11823.97</w:t>
            </w: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582.48</w:t>
            </w:r>
          </w:p>
        </w:tc>
        <w:tc>
          <w:tcPr>
            <w:tcW w:w="1134" w:type="dxa"/>
            <w:vAlign w:val="center"/>
          </w:tcPr>
          <w:p>
            <w:pPr>
              <w:pStyle w:val="单元格样式4"/>
            </w:pPr>
            <w:r>
              <w:t xml:space="preserve">582.48</w:t>
            </w:r>
          </w:p>
        </w:tc>
        <w:tc>
          <w:tcPr>
            <w:tcW w:w="1134" w:type="dxa"/>
            <w:vAlign w:val="center"/>
          </w:tcPr>
          <w:p>
            <w:pPr>
              <w:pStyle w:val="单元格样式4"/>
            </w:pPr>
            <w:r>
              <w:t xml:space="preserve">582.48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532.81</w:t>
            </w:r>
          </w:p>
        </w:tc>
        <w:tc>
          <w:tcPr>
            <w:tcW w:w="1134" w:type="dxa"/>
            <w:vAlign w:val="center"/>
          </w:tcPr>
          <w:p>
            <w:pPr>
              <w:pStyle w:val="单元格样式4"/>
            </w:pPr>
            <w:r>
              <w:t xml:space="preserve">532.81</w:t>
            </w:r>
          </w:p>
        </w:tc>
        <w:tc>
          <w:tcPr>
            <w:tcW w:w="1134" w:type="dxa"/>
            <w:vAlign w:val="center"/>
          </w:tcPr>
          <w:p>
            <w:pPr>
              <w:pStyle w:val="单元格样式4"/>
            </w:pPr>
            <w:r>
              <w:t xml:space="preserve">532.81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34.74</w:t>
            </w:r>
          </w:p>
        </w:tc>
        <w:tc>
          <w:tcPr>
            <w:tcW w:w="1134" w:type="dxa"/>
            <w:vAlign w:val="center"/>
          </w:tcPr>
          <w:p>
            <w:pPr>
              <w:pStyle w:val="单元格样式4"/>
            </w:pPr>
            <w:r>
              <w:t xml:space="preserve">34.74</w:t>
            </w:r>
          </w:p>
        </w:tc>
        <w:tc>
          <w:tcPr>
            <w:tcW w:w="1134" w:type="dxa"/>
            <w:vAlign w:val="center"/>
          </w:tcPr>
          <w:p>
            <w:pPr>
              <w:pStyle w:val="单元格样式4"/>
            </w:pPr>
            <w:r>
              <w:t xml:space="preserve">34.74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483.32</w:t>
            </w:r>
          </w:p>
        </w:tc>
        <w:tc>
          <w:tcPr>
            <w:tcW w:w="1134" w:type="dxa"/>
            <w:vAlign w:val="center"/>
          </w:tcPr>
          <w:p>
            <w:pPr>
              <w:pStyle w:val="单元格样式4"/>
            </w:pPr>
            <w:r>
              <w:t xml:space="preserve">483.32</w:t>
            </w:r>
          </w:p>
        </w:tc>
        <w:tc>
          <w:tcPr>
            <w:tcW w:w="1134" w:type="dxa"/>
            <w:vAlign w:val="center"/>
          </w:tcPr>
          <w:p>
            <w:pPr>
              <w:pStyle w:val="单元格样式4"/>
            </w:pPr>
            <w:r>
              <w:t xml:space="preserve">483.32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14.75</w:t>
            </w:r>
          </w:p>
        </w:tc>
        <w:tc>
          <w:tcPr>
            <w:tcW w:w="1134" w:type="dxa"/>
            <w:vAlign w:val="center"/>
          </w:tcPr>
          <w:p>
            <w:pPr>
              <w:pStyle w:val="单元格样式4"/>
            </w:pPr>
            <w:r>
              <w:t xml:space="preserve">14.75</w:t>
            </w:r>
          </w:p>
        </w:tc>
        <w:tc>
          <w:tcPr>
            <w:tcW w:w="1134" w:type="dxa"/>
            <w:vAlign w:val="center"/>
          </w:tcPr>
          <w:p>
            <w:pPr>
              <w:pStyle w:val="单元格样式4"/>
            </w:pPr>
            <w:r>
              <w:t xml:space="preserve">14.75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49.67</w:t>
            </w:r>
          </w:p>
        </w:tc>
        <w:tc>
          <w:tcPr>
            <w:tcW w:w="1134" w:type="dxa"/>
            <w:vAlign w:val="center"/>
          </w:tcPr>
          <w:p>
            <w:pPr>
              <w:pStyle w:val="单元格样式4"/>
            </w:pPr>
            <w:r>
              <w:t xml:space="preserve">49.67</w:t>
            </w:r>
          </w:p>
        </w:tc>
        <w:tc>
          <w:tcPr>
            <w:tcW w:w="1134" w:type="dxa"/>
            <w:vAlign w:val="center"/>
          </w:tcPr>
          <w:p>
            <w:pPr>
              <w:pStyle w:val="单元格样式4"/>
            </w:pPr>
            <w:r>
              <w:t xml:space="preserve">49.67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49.67</w:t>
            </w:r>
          </w:p>
        </w:tc>
        <w:tc>
          <w:tcPr>
            <w:tcW w:w="1134" w:type="dxa"/>
            <w:vAlign w:val="center"/>
          </w:tcPr>
          <w:p>
            <w:pPr>
              <w:pStyle w:val="单元格样式4"/>
            </w:pPr>
            <w:r>
              <w:t xml:space="preserve">49.67</w:t>
            </w:r>
          </w:p>
        </w:tc>
        <w:tc>
          <w:tcPr>
            <w:tcW w:w="1134" w:type="dxa"/>
            <w:vAlign w:val="center"/>
          </w:tcPr>
          <w:p>
            <w:pPr>
              <w:pStyle w:val="单元格样式4"/>
            </w:pPr>
            <w:r>
              <w:t xml:space="preserve">49.67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r>
              <w:t xml:space="preserve">325.58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r>
              <w:t xml:space="preserve">1973.09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10098.86</w:t>
            </w:r>
          </w:p>
        </w:tc>
        <w:tc>
          <w:tcPr>
            <w:tcW w:w="1134" w:type="dxa"/>
            <w:vAlign w:val="center"/>
          </w:tcPr>
          <w:p>
            <w:pPr>
              <w:pStyle w:val="单元格样式4"/>
            </w:pPr>
            <w:r>
              <w:t xml:space="preserve">10013.41</w:t>
            </w:r>
          </w:p>
        </w:tc>
        <w:tc>
          <w:tcPr>
            <w:tcW w:w="1134" w:type="dxa"/>
            <w:vAlign w:val="center"/>
          </w:tcPr>
          <w:p>
            <w:pPr>
              <w:pStyle w:val="单元格样式4"/>
            </w:pPr>
            <w:r>
              <w:t xml:space="preserve">10013.41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85.45</w:t>
            </w: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21201</w:t>
            </w:r>
          </w:p>
        </w:tc>
        <w:tc>
          <w:tcPr>
            <w:tcW w:w="1559" w:type="dxa"/>
            <w:vAlign w:val="center"/>
          </w:tcPr>
          <w:p>
            <w:pPr>
              <w:pStyle w:val="单元格样式2"/>
            </w:pPr>
            <w:r>
              <w:t xml:space="preserve">城乡社区管理事务</w:t>
            </w:r>
          </w:p>
        </w:tc>
        <w:tc>
          <w:tcPr>
            <w:tcW w:w="1134" w:type="dxa"/>
            <w:vAlign w:val="center"/>
          </w:tcPr>
          <w:p>
            <w:pPr>
              <w:pStyle w:val="单元格样式4"/>
            </w:pPr>
            <w:r>
              <w:t xml:space="preserve">8468.68</w:t>
            </w:r>
          </w:p>
        </w:tc>
        <w:tc>
          <w:tcPr>
            <w:tcW w:w="1134" w:type="dxa"/>
            <w:vAlign w:val="center"/>
          </w:tcPr>
          <w:p>
            <w:pPr>
              <w:pStyle w:val="单元格样式4"/>
            </w:pPr>
            <w:r>
              <w:t xml:space="preserve">8383.23</w:t>
            </w:r>
          </w:p>
        </w:tc>
        <w:tc>
          <w:tcPr>
            <w:tcW w:w="1134" w:type="dxa"/>
            <w:vAlign w:val="center"/>
          </w:tcPr>
          <w:p>
            <w:pPr>
              <w:pStyle w:val="单元格样式4"/>
            </w:pPr>
            <w:r>
              <w:t xml:space="preserve">8383.23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85.45</w:t>
            </w: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4453.23</w:t>
            </w:r>
          </w:p>
        </w:tc>
        <w:tc>
          <w:tcPr>
            <w:tcW w:w="1134" w:type="dxa"/>
            <w:vAlign w:val="center"/>
          </w:tcPr>
          <w:p>
            <w:pPr>
              <w:pStyle w:val="单元格样式4"/>
            </w:pPr>
            <w:r>
              <w:t xml:space="preserve">4453.23</w:t>
            </w:r>
          </w:p>
        </w:tc>
        <w:tc>
          <w:tcPr>
            <w:tcW w:w="1134" w:type="dxa"/>
            <w:vAlign w:val="center"/>
          </w:tcPr>
          <w:p>
            <w:pPr>
              <w:pStyle w:val="单元格样式4"/>
            </w:pPr>
            <w:r>
              <w:t xml:space="preserve">4453.23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2120104</w:t>
            </w:r>
          </w:p>
        </w:tc>
        <w:tc>
          <w:tcPr>
            <w:tcW w:w="1559" w:type="dxa"/>
            <w:vAlign w:val="center"/>
          </w:tcPr>
          <w:p>
            <w:pPr>
              <w:pStyle w:val="单元格样式2"/>
            </w:pPr>
            <w:r>
              <w:t xml:space="preserve">城管执法</w:t>
            </w:r>
          </w:p>
        </w:tc>
        <w:tc>
          <w:tcPr>
            <w:tcW w:w="1134" w:type="dxa"/>
            <w:vAlign w:val="center"/>
          </w:tcPr>
          <w:p>
            <w:pPr>
              <w:pStyle w:val="单元格样式4"/>
            </w:pPr>
            <w:r>
              <w:t xml:space="preserve">4015.45</w:t>
            </w:r>
          </w:p>
        </w:tc>
        <w:tc>
          <w:tcPr>
            <w:tcW w:w="1134" w:type="dxa"/>
            <w:vAlign w:val="center"/>
          </w:tcPr>
          <w:p>
            <w:pPr>
              <w:pStyle w:val="单元格样式4"/>
            </w:pPr>
            <w:r>
              <w:t xml:space="preserve">3930.00</w:t>
            </w:r>
          </w:p>
        </w:tc>
        <w:tc>
          <w:tcPr>
            <w:tcW w:w="1134" w:type="dxa"/>
            <w:vAlign w:val="center"/>
          </w:tcPr>
          <w:p>
            <w:pPr>
              <w:pStyle w:val="单元格样式4"/>
            </w:pPr>
            <w:r>
              <w:t xml:space="preserve">3930.00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85.45</w:t>
            </w: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21205</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2120501</w:t>
            </w:r>
          </w:p>
        </w:tc>
        <w:tc>
          <w:tcPr>
            <w:tcW w:w="1559" w:type="dxa"/>
            <w:vAlign w:val="center"/>
          </w:tcPr>
          <w:p>
            <w:pPr>
              <w:pStyle w:val="单元格样式2"/>
            </w:pPr>
            <w:r>
              <w:t xml:space="preserve">城乡社区环境卫生</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r>
              <w:t xml:space="preserve">204.95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1425.23</w:t>
            </w:r>
          </w:p>
        </w:tc>
        <w:tc>
          <w:tcPr>
            <w:tcW w:w="1134" w:type="dxa"/>
            <w:vAlign w:val="center"/>
          </w:tcPr>
          <w:p>
            <w:pPr>
              <w:pStyle w:val="单元格样式4"/>
            </w:pPr>
            <w:r>
              <w:t xml:space="preserve">1425.23</w:t>
            </w:r>
          </w:p>
        </w:tc>
        <w:tc>
          <w:tcPr>
            <w:tcW w:w="1134" w:type="dxa"/>
            <w:vAlign w:val="center"/>
          </w:tcPr>
          <w:p>
            <w:pPr>
              <w:pStyle w:val="单元格样式4"/>
            </w:pPr>
            <w:r>
              <w:t xml:space="preserve">1425.23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1425.23</w:t>
            </w:r>
          </w:p>
        </w:tc>
        <w:tc>
          <w:tcPr>
            <w:tcW w:w="1134" w:type="dxa"/>
            <w:vAlign w:val="center"/>
          </w:tcPr>
          <w:p>
            <w:pPr>
              <w:pStyle w:val="单元格样式4"/>
            </w:pPr>
            <w:r>
              <w:t xml:space="preserve">1425.23</w:t>
            </w:r>
          </w:p>
        </w:tc>
        <w:tc>
          <w:tcPr>
            <w:tcW w:w="1134" w:type="dxa"/>
            <w:vAlign w:val="center"/>
          </w:tcPr>
          <w:p>
            <w:pPr>
              <w:pStyle w:val="单元格样式4"/>
            </w:pPr>
            <w:r>
              <w:t xml:space="preserve">1425.23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76.44</w:t>
            </w:r>
          </w:p>
        </w:tc>
        <w:tc>
          <w:tcPr>
            <w:tcW w:w="1134" w:type="dxa"/>
            <w:vAlign w:val="center"/>
          </w:tcPr>
          <w:p>
            <w:pPr>
              <w:pStyle w:val="单元格样式4"/>
            </w:pPr>
            <w:r>
              <w:t xml:space="preserve">76.44</w:t>
            </w:r>
          </w:p>
        </w:tc>
        <w:tc>
          <w:tcPr>
            <w:tcW w:w="1134" w:type="dxa"/>
            <w:vAlign w:val="center"/>
          </w:tcPr>
          <w:p>
            <w:pPr>
              <w:pStyle w:val="单元格样式4"/>
            </w:pPr>
            <w:r>
              <w:t xml:space="preserve">76.44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76.44</w:t>
            </w:r>
          </w:p>
        </w:tc>
        <w:tc>
          <w:tcPr>
            <w:tcW w:w="1134" w:type="dxa"/>
            <w:vAlign w:val="center"/>
          </w:tcPr>
          <w:p>
            <w:pPr>
              <w:pStyle w:val="单元格样式4"/>
            </w:pPr>
            <w:r>
              <w:t xml:space="preserve">76.44</w:t>
            </w:r>
          </w:p>
        </w:tc>
        <w:tc>
          <w:tcPr>
            <w:tcW w:w="1134" w:type="dxa"/>
            <w:vAlign w:val="center"/>
          </w:tcPr>
          <w:p>
            <w:pPr>
              <w:pStyle w:val="单元格样式4"/>
            </w:pPr>
            <w:r>
              <w:t xml:space="preserve">76.44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76.44</w:t>
            </w:r>
          </w:p>
        </w:tc>
        <w:tc>
          <w:tcPr>
            <w:tcW w:w="1134" w:type="dxa"/>
            <w:vAlign w:val="center"/>
          </w:tcPr>
          <w:p>
            <w:pPr>
              <w:pStyle w:val="单元格样式4"/>
            </w:pPr>
            <w:r>
              <w:t xml:space="preserve">76.44</w:t>
            </w:r>
          </w:p>
        </w:tc>
        <w:tc>
          <w:tcPr>
            <w:tcW w:w="1134" w:type="dxa"/>
            <w:vAlign w:val="center"/>
          </w:tcPr>
          <w:p>
            <w:pPr>
              <w:pStyle w:val="单元格样式4"/>
            </w:pPr>
            <w:r>
              <w:t xml:space="preserve">76.44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21289.93</w:t>
            </w:r>
          </w:p>
        </w:tc>
        <w:tc>
          <w:tcPr>
            <w:tcW w:w="1134" w:type="dxa"/>
            <w:vAlign w:val="center"/>
          </w:tcPr>
          <w:p>
            <w:pPr>
              <w:pStyle w:val="单元格样式4"/>
            </w:pPr>
            <w:r>
              <w:t xml:space="preserve">13049.00</w:t>
            </w:r>
          </w:p>
        </w:tc>
        <w:tc>
          <w:tcPr>
            <w:tcW w:w="1134" w:type="dxa"/>
            <w:vAlign w:val="center"/>
          </w:tcPr>
          <w:p>
            <w:pPr>
              <w:pStyle w:val="单元格样式4"/>
            </w:pPr>
            <w:r>
              <w:t xml:space="preserve">13049.00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8240.93</w:t>
            </w: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21289.93</w:t>
            </w:r>
          </w:p>
        </w:tc>
        <w:tc>
          <w:tcPr>
            <w:tcW w:w="1134" w:type="dxa"/>
            <w:vAlign w:val="center"/>
          </w:tcPr>
          <w:p>
            <w:pPr>
              <w:pStyle w:val="单元格样式4"/>
            </w:pPr>
            <w:r>
              <w:t xml:space="preserve">13049.00</w:t>
            </w:r>
          </w:p>
        </w:tc>
        <w:tc>
          <w:tcPr>
            <w:tcW w:w="1134" w:type="dxa"/>
            <w:vAlign w:val="center"/>
          </w:tcPr>
          <w:p>
            <w:pPr>
              <w:pStyle w:val="单元格样式4"/>
            </w:pPr>
            <w:r>
              <w:t xml:space="preserve">13049.00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8240.93</w:t>
            </w: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2240799</w:t>
            </w:r>
          </w:p>
        </w:tc>
        <w:tc>
          <w:tcPr>
            <w:tcW w:w="1559" w:type="dxa"/>
            <w:vAlign w:val="center"/>
          </w:tcPr>
          <w:p>
            <w:pPr>
              <w:pStyle w:val="单元格样式2"/>
            </w:pPr>
            <w:r>
              <w:t xml:space="preserve">其他自然灾害救灾及恢复重建支出</w:t>
            </w:r>
          </w:p>
        </w:tc>
        <w:tc>
          <w:tcPr>
            <w:tcW w:w="1134" w:type="dxa"/>
            <w:vAlign w:val="center"/>
          </w:tcPr>
          <w:p>
            <w:pPr>
              <w:pStyle w:val="单元格样式4"/>
            </w:pPr>
            <w:r>
              <w:t xml:space="preserve">21289.93</w:t>
            </w:r>
          </w:p>
        </w:tc>
        <w:tc>
          <w:tcPr>
            <w:tcW w:w="1134" w:type="dxa"/>
            <w:vAlign w:val="center"/>
          </w:tcPr>
          <w:p>
            <w:pPr>
              <w:pStyle w:val="单元格样式4"/>
            </w:pPr>
            <w:r>
              <w:t xml:space="preserve">13049.00</w:t>
            </w:r>
          </w:p>
        </w:tc>
        <w:tc>
          <w:tcPr>
            <w:tcW w:w="1134" w:type="dxa"/>
            <w:vAlign w:val="center"/>
          </w:tcPr>
          <w:p>
            <w:pPr>
              <w:pStyle w:val="单元格样式4"/>
            </w:pPr>
            <w:r>
              <w:t xml:space="preserve">13049.00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8240.93</w:t>
            </w:r>
          </w:p>
        </w:tc>
      </w:tr>
      <w:tr>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3497.59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3497.59</w:t>
            </w:r>
          </w:p>
        </w:tc>
      </w:tr>
      <w:tr>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3497.59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3497.59</w:t>
            </w:r>
          </w:p>
        </w:tc>
      </w:tr>
      <w:tr>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3497.59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3497.59</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37843.97</w:t>
            </w:r>
          </w:p>
        </w:tc>
        <w:tc>
          <w:tcPr>
            <w:tcW w:w="1361" w:type="dxa"/>
            <w:vAlign w:val="center"/>
          </w:tcPr>
          <w:p>
            <w:pPr>
              <w:pStyle w:val="单元格样式7"/>
            </w:pPr>
            <w:r>
              <w:t xml:space="preserve">5437.73</w:t>
            </w:r>
          </w:p>
        </w:tc>
        <w:tc>
          <w:tcPr>
            <w:tcW w:w="1361" w:type="dxa"/>
            <w:vAlign w:val="center"/>
          </w:tcPr>
          <w:p>
            <w:pPr>
              <w:pStyle w:val="单元格样式7"/>
            </w:pPr>
            <w:r>
              <w:t xml:space="preserve">32406.24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582.48</w:t>
            </w:r>
          </w:p>
        </w:tc>
        <w:tc>
          <w:tcPr>
            <w:tcW w:w="1361" w:type="dxa"/>
            <w:vAlign w:val="center"/>
          </w:tcPr>
          <w:p>
            <w:pPr>
              <w:pStyle w:val="单元格样式4"/>
            </w:pPr>
            <w:r>
              <w:t xml:space="preserve">582.48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532.81</w:t>
            </w:r>
          </w:p>
        </w:tc>
        <w:tc>
          <w:tcPr>
            <w:tcW w:w="1361" w:type="dxa"/>
            <w:vAlign w:val="center"/>
          </w:tcPr>
          <w:p>
            <w:pPr>
              <w:pStyle w:val="单元格样式4"/>
            </w:pPr>
            <w:r>
              <w:t xml:space="preserve">532.81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34.74</w:t>
            </w:r>
          </w:p>
        </w:tc>
        <w:tc>
          <w:tcPr>
            <w:tcW w:w="1361" w:type="dxa"/>
            <w:vAlign w:val="center"/>
          </w:tcPr>
          <w:p>
            <w:pPr>
              <w:pStyle w:val="单元格样式4"/>
            </w:pPr>
            <w:r>
              <w:t xml:space="preserve">34.74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483.32</w:t>
            </w:r>
          </w:p>
        </w:tc>
        <w:tc>
          <w:tcPr>
            <w:tcW w:w="1361" w:type="dxa"/>
            <w:vAlign w:val="center"/>
          </w:tcPr>
          <w:p>
            <w:pPr>
              <w:pStyle w:val="单元格样式4"/>
            </w:pPr>
            <w:r>
              <w:t xml:space="preserve">483.32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14.75</w:t>
            </w:r>
          </w:p>
        </w:tc>
        <w:tc>
          <w:tcPr>
            <w:tcW w:w="1361" w:type="dxa"/>
            <w:vAlign w:val="center"/>
          </w:tcPr>
          <w:p>
            <w:pPr>
              <w:pStyle w:val="单元格样式4"/>
            </w:pPr>
            <w:r>
              <w:t xml:space="preserve">14.75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49.67</w:t>
            </w:r>
          </w:p>
        </w:tc>
        <w:tc>
          <w:tcPr>
            <w:tcW w:w="1361" w:type="dxa"/>
            <w:vAlign w:val="center"/>
          </w:tcPr>
          <w:p>
            <w:pPr>
              <w:pStyle w:val="单元格样式4"/>
            </w:pPr>
            <w:r>
              <w:t xml:space="preserve">49.67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49.67</w:t>
            </w:r>
          </w:p>
        </w:tc>
        <w:tc>
          <w:tcPr>
            <w:tcW w:w="1361" w:type="dxa"/>
            <w:vAlign w:val="center"/>
          </w:tcPr>
          <w:p>
            <w:pPr>
              <w:pStyle w:val="单元格样式4"/>
            </w:pPr>
            <w:r>
              <w:t xml:space="preserve">49.67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325.58</w:t>
            </w:r>
          </w:p>
        </w:tc>
        <w:tc>
          <w:tcPr>
            <w:tcW w:w="1361" w:type="dxa"/>
            <w:vAlign w:val="center"/>
          </w:tcPr>
          <w:p>
            <w:pPr>
              <w:pStyle w:val="单元格样式4"/>
            </w:pPr>
            <w:r>
              <w:t xml:space="preserve">325.58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325.58</w:t>
            </w:r>
          </w:p>
        </w:tc>
        <w:tc>
          <w:tcPr>
            <w:tcW w:w="1361" w:type="dxa"/>
            <w:vAlign w:val="center"/>
          </w:tcPr>
          <w:p>
            <w:pPr>
              <w:pStyle w:val="单元格样式4"/>
            </w:pPr>
            <w:r>
              <w:t xml:space="preserve">325.58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325.58</w:t>
            </w:r>
          </w:p>
        </w:tc>
        <w:tc>
          <w:tcPr>
            <w:tcW w:w="1361" w:type="dxa"/>
            <w:vAlign w:val="center"/>
          </w:tcPr>
          <w:p>
            <w:pPr>
              <w:pStyle w:val="单元格样式4"/>
            </w:pPr>
            <w:r>
              <w:t xml:space="preserve">325.58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r>
              <w:t xml:space="preserve">1973.09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10098.86</w:t>
            </w:r>
          </w:p>
        </w:tc>
        <w:tc>
          <w:tcPr>
            <w:tcW w:w="1361" w:type="dxa"/>
            <w:vAlign w:val="center"/>
          </w:tcPr>
          <w:p>
            <w:pPr>
              <w:pStyle w:val="单元格样式4"/>
            </w:pPr>
            <w:r>
              <w:t xml:space="preserve">4453.23</w:t>
            </w:r>
          </w:p>
        </w:tc>
        <w:tc>
          <w:tcPr>
            <w:tcW w:w="1361" w:type="dxa"/>
            <w:vAlign w:val="center"/>
          </w:tcPr>
          <w:p>
            <w:pPr>
              <w:pStyle w:val="单元格样式4"/>
            </w:pPr>
            <w:r>
              <w:t xml:space="preserve">5645.63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1361" w:type="dxa"/>
            <w:vAlign w:val="center"/>
          </w:tcPr>
          <w:p>
            <w:pPr>
              <w:pStyle w:val="单元格样式4"/>
            </w:pPr>
            <w:r>
              <w:t xml:space="preserve">8468.68</w:t>
            </w:r>
          </w:p>
        </w:tc>
        <w:tc>
          <w:tcPr>
            <w:tcW w:w="1361" w:type="dxa"/>
            <w:vAlign w:val="center"/>
          </w:tcPr>
          <w:p>
            <w:pPr>
              <w:pStyle w:val="单元格样式4"/>
            </w:pPr>
            <w:r>
              <w:t xml:space="preserve">4453.23</w:t>
            </w:r>
          </w:p>
        </w:tc>
        <w:tc>
          <w:tcPr>
            <w:tcW w:w="1361" w:type="dxa"/>
            <w:vAlign w:val="center"/>
          </w:tcPr>
          <w:p>
            <w:pPr>
              <w:pStyle w:val="单元格样式4"/>
            </w:pPr>
            <w:r>
              <w:t xml:space="preserve">4015.45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4453.23</w:t>
            </w:r>
          </w:p>
        </w:tc>
        <w:tc>
          <w:tcPr>
            <w:tcW w:w="1361" w:type="dxa"/>
            <w:vAlign w:val="center"/>
          </w:tcPr>
          <w:p>
            <w:pPr>
              <w:pStyle w:val="单元格样式4"/>
            </w:pPr>
            <w:r>
              <w:t xml:space="preserve">4453.23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1361" w:type="dxa"/>
            <w:vAlign w:val="center"/>
          </w:tcPr>
          <w:p>
            <w:pPr>
              <w:pStyle w:val="单元格样式4"/>
            </w:pPr>
            <w:r>
              <w:t xml:space="preserve">4015.45</w:t>
            </w:r>
          </w:p>
        </w:tc>
        <w:tc>
          <w:tcPr>
            <w:tcW w:w="1361" w:type="dxa"/>
            <w:vAlign w:val="center"/>
          </w:tcPr>
          <w:p>
            <w:pPr>
              <w:pStyle w:val="单元格样式4"/>
            </w:pPr>
          </w:p>
        </w:tc>
        <w:tc>
          <w:tcPr>
            <w:tcW w:w="1361" w:type="dxa"/>
            <w:vAlign w:val="center"/>
          </w:tcPr>
          <w:p>
            <w:pPr>
              <w:pStyle w:val="单元格样式4"/>
            </w:pPr>
            <w:r>
              <w:t xml:space="preserve">4015.45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r>
              <w:t xml:space="preserve">204.95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1425.23</w:t>
            </w:r>
          </w:p>
        </w:tc>
        <w:tc>
          <w:tcPr>
            <w:tcW w:w="1361" w:type="dxa"/>
            <w:vAlign w:val="center"/>
          </w:tcPr>
          <w:p>
            <w:pPr>
              <w:pStyle w:val="单元格样式4"/>
            </w:pPr>
          </w:p>
        </w:tc>
        <w:tc>
          <w:tcPr>
            <w:tcW w:w="1361" w:type="dxa"/>
            <w:vAlign w:val="center"/>
          </w:tcPr>
          <w:p>
            <w:pPr>
              <w:pStyle w:val="单元格样式4"/>
            </w:pPr>
            <w:r>
              <w:t xml:space="preserve">1425.23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1425.23</w:t>
            </w:r>
          </w:p>
        </w:tc>
        <w:tc>
          <w:tcPr>
            <w:tcW w:w="1361" w:type="dxa"/>
            <w:vAlign w:val="center"/>
          </w:tcPr>
          <w:p>
            <w:pPr>
              <w:pStyle w:val="单元格样式4"/>
            </w:pPr>
          </w:p>
        </w:tc>
        <w:tc>
          <w:tcPr>
            <w:tcW w:w="1361" w:type="dxa"/>
            <w:vAlign w:val="center"/>
          </w:tcPr>
          <w:p>
            <w:pPr>
              <w:pStyle w:val="单元格样式4"/>
            </w:pPr>
            <w:r>
              <w:t xml:space="preserve">1425.23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76.44</w:t>
            </w:r>
          </w:p>
        </w:tc>
        <w:tc>
          <w:tcPr>
            <w:tcW w:w="1361" w:type="dxa"/>
            <w:vAlign w:val="center"/>
          </w:tcPr>
          <w:p>
            <w:pPr>
              <w:pStyle w:val="单元格样式4"/>
            </w:pPr>
            <w:r>
              <w:t xml:space="preserve">76.44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76.44</w:t>
            </w:r>
          </w:p>
        </w:tc>
        <w:tc>
          <w:tcPr>
            <w:tcW w:w="1361" w:type="dxa"/>
            <w:vAlign w:val="center"/>
          </w:tcPr>
          <w:p>
            <w:pPr>
              <w:pStyle w:val="单元格样式4"/>
            </w:pPr>
            <w:r>
              <w:t xml:space="preserve">76.44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76.44</w:t>
            </w:r>
          </w:p>
        </w:tc>
        <w:tc>
          <w:tcPr>
            <w:tcW w:w="1361" w:type="dxa"/>
            <w:vAlign w:val="center"/>
          </w:tcPr>
          <w:p>
            <w:pPr>
              <w:pStyle w:val="单元格样式4"/>
            </w:pPr>
            <w:r>
              <w:t xml:space="preserve">76.44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r>
              <w:t xml:space="preserve">21289.93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r>
              <w:t xml:space="preserve">3497.59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24594.77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1425.23</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582.48</w:t>
            </w:r>
          </w:p>
        </w:tc>
        <w:tc>
          <w:tcPr>
            <w:tcW w:w="1474" w:type="dxa"/>
            <w:vAlign w:val="center"/>
          </w:tcPr>
          <w:p>
            <w:pPr>
              <w:pStyle w:val="单元格样式4"/>
            </w:pPr>
            <w:r>
              <w:t xml:space="preserve">582.48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325.58</w:t>
            </w:r>
          </w:p>
        </w:tc>
        <w:tc>
          <w:tcPr>
            <w:tcW w:w="1474" w:type="dxa"/>
            <w:vAlign w:val="center"/>
          </w:tcPr>
          <w:p>
            <w:pPr>
              <w:pStyle w:val="单元格样式4"/>
            </w:pPr>
            <w:r>
              <w:t xml:space="preserve">325.58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1973.09</w:t>
            </w:r>
          </w:p>
        </w:tc>
        <w:tc>
          <w:tcPr>
            <w:tcW w:w="1474" w:type="dxa"/>
            <w:vAlign w:val="center"/>
          </w:tcPr>
          <w:p>
            <w:pPr>
              <w:pStyle w:val="单元格样式4"/>
            </w:pPr>
            <w:r>
              <w:t xml:space="preserve">1973.09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10098.86</w:t>
            </w:r>
          </w:p>
        </w:tc>
        <w:tc>
          <w:tcPr>
            <w:tcW w:w="1474" w:type="dxa"/>
            <w:vAlign w:val="center"/>
          </w:tcPr>
          <w:p>
            <w:pPr>
              <w:pStyle w:val="单元格样式4"/>
            </w:pPr>
            <w:r>
              <w:t xml:space="preserve">8673.63</w:t>
            </w:r>
          </w:p>
        </w:tc>
        <w:tc>
          <w:tcPr>
            <w:tcW w:w="1474" w:type="dxa"/>
            <w:vAlign w:val="center"/>
          </w:tcPr>
          <w:p>
            <w:pPr>
              <w:pStyle w:val="单元格样式4"/>
            </w:pPr>
            <w:r>
              <w:t xml:space="preserve">1425.23</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76.44</w:t>
            </w:r>
          </w:p>
        </w:tc>
        <w:tc>
          <w:tcPr>
            <w:tcW w:w="1474" w:type="dxa"/>
            <w:vAlign w:val="center"/>
          </w:tcPr>
          <w:p>
            <w:pPr>
              <w:pStyle w:val="单元格样式4"/>
            </w:pPr>
            <w:r>
              <w:t xml:space="preserve">76.44</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21289.93</w:t>
            </w:r>
          </w:p>
        </w:tc>
        <w:tc>
          <w:tcPr>
            <w:tcW w:w="1474" w:type="dxa"/>
            <w:vAlign w:val="center"/>
          </w:tcPr>
          <w:p>
            <w:pPr>
              <w:pStyle w:val="单元格样式4"/>
            </w:pPr>
            <w:r>
              <w:t xml:space="preserve">21289.93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3497.59</w:t>
            </w:r>
          </w:p>
        </w:tc>
        <w:tc>
          <w:tcPr>
            <w:tcW w:w="1474" w:type="dxa"/>
            <w:vAlign w:val="center"/>
          </w:tcPr>
          <w:p>
            <w:pPr>
              <w:pStyle w:val="单元格样式4"/>
            </w:pPr>
          </w:p>
        </w:tc>
        <w:tc>
          <w:tcPr>
            <w:tcW w:w="1474" w:type="dxa"/>
            <w:vAlign w:val="center"/>
          </w:tcPr>
          <w:p>
            <w:pPr>
              <w:pStyle w:val="单元格样式4"/>
            </w:pPr>
            <w:r>
              <w:t xml:space="preserve">3497.59</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26020.00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37843.97</w:t>
            </w:r>
          </w:p>
        </w:tc>
        <w:tc>
          <w:tcPr>
            <w:tcW w:w="1474" w:type="dxa"/>
            <w:vAlign w:val="center"/>
          </w:tcPr>
          <w:p>
            <w:pPr>
              <w:pStyle w:val="单元格样式7"/>
            </w:pPr>
            <w:r>
              <w:t xml:space="preserve">32921.15</w:t>
            </w:r>
          </w:p>
        </w:tc>
        <w:tc>
          <w:tcPr>
            <w:tcW w:w="1474" w:type="dxa"/>
            <w:vAlign w:val="center"/>
          </w:tcPr>
          <w:p>
            <w:pPr>
              <w:pStyle w:val="单元格样式7"/>
            </w:pPr>
            <w:r>
              <w:t xml:space="preserve">4922.82</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11823.97</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8326.38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3497.59</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37843.97</w:t>
            </w:r>
          </w:p>
        </w:tc>
        <w:tc>
          <w:tcPr>
            <w:tcW w:w="3402" w:type="dxa"/>
            <w:vAlign w:val="center"/>
          </w:tcPr>
          <w:p>
            <w:pPr>
              <w:pStyle w:val="单元格样式6"/>
            </w:pPr>
            <w:r>
              <w:t xml:space="preserve">支出总计</w:t>
            </w:r>
          </w:p>
        </w:tc>
        <w:tc>
          <w:tcPr>
            <w:tcW w:w="1474" w:type="dxa"/>
            <w:vAlign w:val="center"/>
          </w:tcPr>
          <w:p>
            <w:pPr>
              <w:pStyle w:val="单元格样式7"/>
            </w:pPr>
            <w:r>
              <w:t xml:space="preserve">37843.97</w:t>
            </w:r>
          </w:p>
        </w:tc>
        <w:tc>
          <w:tcPr>
            <w:tcW w:w="1474" w:type="dxa"/>
            <w:vAlign w:val="center"/>
          </w:tcPr>
          <w:p>
            <w:pPr>
              <w:pStyle w:val="单元格样式7"/>
            </w:pPr>
            <w:r>
              <w:t xml:space="preserve">32921.15</w:t>
            </w:r>
          </w:p>
        </w:tc>
        <w:tc>
          <w:tcPr>
            <w:tcW w:w="1474" w:type="dxa"/>
            <w:vAlign w:val="center"/>
          </w:tcPr>
          <w:p>
            <w:pPr>
              <w:pStyle w:val="单元格样式7"/>
            </w:pPr>
            <w:r>
              <w:t xml:space="preserve">4922.82</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32921.15</w:t>
            </w:r>
          </w:p>
        </w:tc>
        <w:tc>
          <w:tcPr>
            <w:tcW w:w="2551" w:type="dxa"/>
            <w:vAlign w:val="center"/>
          </w:tcPr>
          <w:p>
            <w:pPr>
              <w:pStyle w:val="单元格样式7"/>
            </w:pPr>
            <w:r>
              <w:t xml:space="preserve">5437.73</w:t>
            </w:r>
          </w:p>
        </w:tc>
        <w:tc>
          <w:tcPr>
            <w:tcW w:w="2551" w:type="dxa"/>
            <w:vAlign w:val="center"/>
          </w:tcPr>
          <w:p>
            <w:pPr>
              <w:pStyle w:val="单元格样式7"/>
            </w:pPr>
            <w:r>
              <w:t xml:space="preserve">27483.42</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582.48</w:t>
            </w:r>
          </w:p>
        </w:tc>
        <w:tc>
          <w:tcPr>
            <w:tcW w:w="2551" w:type="dxa"/>
            <w:vAlign w:val="center"/>
          </w:tcPr>
          <w:p>
            <w:pPr>
              <w:pStyle w:val="单元格样式4"/>
            </w:pPr>
            <w:r>
              <w:t xml:space="preserve">582.48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532.81</w:t>
            </w:r>
          </w:p>
        </w:tc>
        <w:tc>
          <w:tcPr>
            <w:tcW w:w="2551" w:type="dxa"/>
            <w:vAlign w:val="center"/>
          </w:tcPr>
          <w:p>
            <w:pPr>
              <w:pStyle w:val="单元格样式4"/>
            </w:pPr>
            <w:r>
              <w:t xml:space="preserve">532.81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34.74</w:t>
            </w:r>
          </w:p>
        </w:tc>
        <w:tc>
          <w:tcPr>
            <w:tcW w:w="2551" w:type="dxa"/>
            <w:vAlign w:val="center"/>
          </w:tcPr>
          <w:p>
            <w:pPr>
              <w:pStyle w:val="单元格样式4"/>
            </w:pPr>
            <w:r>
              <w:t xml:space="preserve">34.74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483.32</w:t>
            </w:r>
          </w:p>
        </w:tc>
        <w:tc>
          <w:tcPr>
            <w:tcW w:w="2551" w:type="dxa"/>
            <w:vAlign w:val="center"/>
          </w:tcPr>
          <w:p>
            <w:pPr>
              <w:pStyle w:val="单元格样式4"/>
            </w:pPr>
            <w:r>
              <w:t xml:space="preserve">483.32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14.75</w:t>
            </w:r>
          </w:p>
        </w:tc>
        <w:tc>
          <w:tcPr>
            <w:tcW w:w="2551" w:type="dxa"/>
            <w:vAlign w:val="center"/>
          </w:tcPr>
          <w:p>
            <w:pPr>
              <w:pStyle w:val="单元格样式4"/>
            </w:pPr>
            <w:r>
              <w:t xml:space="preserve">14.75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49.67</w:t>
            </w:r>
          </w:p>
        </w:tc>
        <w:tc>
          <w:tcPr>
            <w:tcW w:w="2551" w:type="dxa"/>
            <w:vAlign w:val="center"/>
          </w:tcPr>
          <w:p>
            <w:pPr>
              <w:pStyle w:val="单元格样式4"/>
            </w:pPr>
            <w:r>
              <w:t xml:space="preserve">49.67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49.67</w:t>
            </w:r>
          </w:p>
        </w:tc>
        <w:tc>
          <w:tcPr>
            <w:tcW w:w="2551" w:type="dxa"/>
            <w:vAlign w:val="center"/>
          </w:tcPr>
          <w:p>
            <w:pPr>
              <w:pStyle w:val="单元格样式4"/>
            </w:pPr>
            <w:r>
              <w:t xml:space="preserve">49.67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325.58</w:t>
            </w:r>
          </w:p>
        </w:tc>
        <w:tc>
          <w:tcPr>
            <w:tcW w:w="2551" w:type="dxa"/>
            <w:vAlign w:val="center"/>
          </w:tcPr>
          <w:p>
            <w:pPr>
              <w:pStyle w:val="单元格样式4"/>
            </w:pPr>
            <w:r>
              <w:t xml:space="preserve">325.58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325.58</w:t>
            </w:r>
          </w:p>
        </w:tc>
        <w:tc>
          <w:tcPr>
            <w:tcW w:w="2551" w:type="dxa"/>
            <w:vAlign w:val="center"/>
          </w:tcPr>
          <w:p>
            <w:pPr>
              <w:pStyle w:val="单元格样式4"/>
            </w:pPr>
            <w:r>
              <w:t xml:space="preserve">325.58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325.58</w:t>
            </w:r>
          </w:p>
        </w:tc>
        <w:tc>
          <w:tcPr>
            <w:tcW w:w="2551" w:type="dxa"/>
            <w:vAlign w:val="center"/>
          </w:tcPr>
          <w:p>
            <w:pPr>
              <w:pStyle w:val="单元格样式4"/>
            </w:pPr>
            <w:r>
              <w:t xml:space="preserve">325.58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1973.09</w:t>
            </w:r>
          </w:p>
        </w:tc>
        <w:tc>
          <w:tcPr>
            <w:tcW w:w="2551" w:type="dxa"/>
            <w:vAlign w:val="center"/>
          </w:tcPr>
          <w:p>
            <w:pPr>
              <w:pStyle w:val="单元格样式4"/>
            </w:pPr>
          </w:p>
        </w:tc>
        <w:tc>
          <w:tcPr>
            <w:tcW w:w="2551"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1973.09</w:t>
            </w:r>
          </w:p>
        </w:tc>
        <w:tc>
          <w:tcPr>
            <w:tcW w:w="2551" w:type="dxa"/>
            <w:vAlign w:val="center"/>
          </w:tcPr>
          <w:p>
            <w:pPr>
              <w:pStyle w:val="单元格样式4"/>
            </w:pPr>
          </w:p>
        </w:tc>
        <w:tc>
          <w:tcPr>
            <w:tcW w:w="2551"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1973.09</w:t>
            </w:r>
          </w:p>
        </w:tc>
        <w:tc>
          <w:tcPr>
            <w:tcW w:w="2551" w:type="dxa"/>
            <w:vAlign w:val="center"/>
          </w:tcPr>
          <w:p>
            <w:pPr>
              <w:pStyle w:val="单元格样式4"/>
            </w:pPr>
          </w:p>
        </w:tc>
        <w:tc>
          <w:tcPr>
            <w:tcW w:w="2551" w:type="dxa"/>
            <w:vAlign w:val="center"/>
          </w:tcPr>
          <w:p>
            <w:pPr>
              <w:pStyle w:val="单元格样式4"/>
            </w:pPr>
            <w:r>
              <w:t xml:space="preserve">1973.09</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8673.63</w:t>
            </w:r>
          </w:p>
        </w:tc>
        <w:tc>
          <w:tcPr>
            <w:tcW w:w="2551" w:type="dxa"/>
            <w:vAlign w:val="center"/>
          </w:tcPr>
          <w:p>
            <w:pPr>
              <w:pStyle w:val="单元格样式4"/>
            </w:pPr>
            <w:r>
              <w:t xml:space="preserve">4453.23</w:t>
            </w:r>
          </w:p>
        </w:tc>
        <w:tc>
          <w:tcPr>
            <w:tcW w:w="2551" w:type="dxa"/>
            <w:vAlign w:val="center"/>
          </w:tcPr>
          <w:p>
            <w:pPr>
              <w:pStyle w:val="单元格样式4"/>
            </w:pPr>
            <w:r>
              <w:t xml:space="preserve">4220.40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21201</w:t>
            </w:r>
          </w:p>
        </w:tc>
        <w:tc>
          <w:tcPr>
            <w:tcW w:w="4535" w:type="dxa"/>
            <w:vAlign w:val="center"/>
          </w:tcPr>
          <w:p>
            <w:pPr>
              <w:pStyle w:val="单元格样式2"/>
            </w:pPr>
            <w:r>
              <w:t xml:space="preserve">城乡社区管理事务</w:t>
            </w:r>
          </w:p>
        </w:tc>
        <w:tc>
          <w:tcPr>
            <w:tcW w:w="2551" w:type="dxa"/>
            <w:vAlign w:val="center"/>
          </w:tcPr>
          <w:p>
            <w:pPr>
              <w:pStyle w:val="单元格样式4"/>
            </w:pPr>
            <w:r>
              <w:t xml:space="preserve">8468.68</w:t>
            </w:r>
          </w:p>
        </w:tc>
        <w:tc>
          <w:tcPr>
            <w:tcW w:w="2551" w:type="dxa"/>
            <w:vAlign w:val="center"/>
          </w:tcPr>
          <w:p>
            <w:pPr>
              <w:pStyle w:val="单元格样式4"/>
            </w:pPr>
            <w:r>
              <w:t xml:space="preserve">4453.23</w:t>
            </w:r>
          </w:p>
        </w:tc>
        <w:tc>
          <w:tcPr>
            <w:tcW w:w="2551" w:type="dxa"/>
            <w:vAlign w:val="center"/>
          </w:tcPr>
          <w:p>
            <w:pPr>
              <w:pStyle w:val="单元格样式4"/>
            </w:pPr>
            <w:r>
              <w:t xml:space="preserve">4015.45</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2120101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4453.23</w:t>
            </w:r>
          </w:p>
        </w:tc>
        <w:tc>
          <w:tcPr>
            <w:tcW w:w="2551" w:type="dxa"/>
            <w:vAlign w:val="center"/>
          </w:tcPr>
          <w:p>
            <w:pPr>
              <w:pStyle w:val="单元格样式4"/>
            </w:pPr>
            <w:r>
              <w:t xml:space="preserve">4453.23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2120104</w:t>
            </w:r>
          </w:p>
        </w:tc>
        <w:tc>
          <w:tcPr>
            <w:tcW w:w="4535" w:type="dxa"/>
            <w:vAlign w:val="center"/>
          </w:tcPr>
          <w:p>
            <w:pPr>
              <w:pStyle w:val="单元格样式2"/>
            </w:pPr>
            <w:r>
              <w:t xml:space="preserve">城管执法</w:t>
            </w:r>
          </w:p>
        </w:tc>
        <w:tc>
          <w:tcPr>
            <w:tcW w:w="2551" w:type="dxa"/>
            <w:vAlign w:val="center"/>
          </w:tcPr>
          <w:p>
            <w:pPr>
              <w:pStyle w:val="单元格样式4"/>
            </w:pPr>
            <w:r>
              <w:t xml:space="preserve">4015.45</w:t>
            </w:r>
          </w:p>
        </w:tc>
        <w:tc>
          <w:tcPr>
            <w:tcW w:w="2551" w:type="dxa"/>
            <w:vAlign w:val="center"/>
          </w:tcPr>
          <w:p>
            <w:pPr>
              <w:pStyle w:val="单元格样式4"/>
            </w:pPr>
          </w:p>
        </w:tc>
        <w:tc>
          <w:tcPr>
            <w:tcW w:w="2551" w:type="dxa"/>
            <w:vAlign w:val="center"/>
          </w:tcPr>
          <w:p>
            <w:pPr>
              <w:pStyle w:val="单元格样式4"/>
            </w:pPr>
            <w:r>
              <w:t xml:space="preserve">4015.45</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21205</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204.95</w:t>
            </w:r>
          </w:p>
        </w:tc>
        <w:tc>
          <w:tcPr>
            <w:tcW w:w="2551" w:type="dxa"/>
            <w:vAlign w:val="center"/>
          </w:tcPr>
          <w:p>
            <w:pPr>
              <w:pStyle w:val="单元格样式4"/>
            </w:pPr>
          </w:p>
        </w:tc>
        <w:tc>
          <w:tcPr>
            <w:tcW w:w="2551" w:type="dxa"/>
            <w:vAlign w:val="center"/>
          </w:tcPr>
          <w:p>
            <w:pPr>
              <w:pStyle w:val="单元格样式4"/>
            </w:pPr>
            <w:r>
              <w:t xml:space="preserve">204.95</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2120501</w:t>
            </w:r>
          </w:p>
        </w:tc>
        <w:tc>
          <w:tcPr>
            <w:tcW w:w="4535" w:type="dxa"/>
            <w:vAlign w:val="center"/>
          </w:tcPr>
          <w:p>
            <w:pPr>
              <w:pStyle w:val="单元格样式2"/>
            </w:pPr>
            <w:r>
              <w:t xml:space="preserve">城乡社区环境卫生</w:t>
            </w:r>
          </w:p>
        </w:tc>
        <w:tc>
          <w:tcPr>
            <w:tcW w:w="2551" w:type="dxa"/>
            <w:vAlign w:val="center"/>
          </w:tcPr>
          <w:p>
            <w:pPr>
              <w:pStyle w:val="单元格样式4"/>
            </w:pPr>
            <w:r>
              <w:t xml:space="preserve">204.95</w:t>
            </w:r>
          </w:p>
        </w:tc>
        <w:tc>
          <w:tcPr>
            <w:tcW w:w="2551" w:type="dxa"/>
            <w:vAlign w:val="center"/>
          </w:tcPr>
          <w:p>
            <w:pPr>
              <w:pStyle w:val="单元格样式4"/>
            </w:pPr>
          </w:p>
        </w:tc>
        <w:tc>
          <w:tcPr>
            <w:tcW w:w="2551" w:type="dxa"/>
            <w:vAlign w:val="center"/>
          </w:tcPr>
          <w:p>
            <w:pPr>
              <w:pStyle w:val="单元格样式4"/>
            </w:pPr>
            <w:r>
              <w:t xml:space="preserve">204.95</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76.44</w:t>
            </w:r>
          </w:p>
        </w:tc>
        <w:tc>
          <w:tcPr>
            <w:tcW w:w="2551" w:type="dxa"/>
            <w:vAlign w:val="center"/>
          </w:tcPr>
          <w:p>
            <w:pPr>
              <w:pStyle w:val="单元格样式4"/>
            </w:pPr>
            <w:r>
              <w:t xml:space="preserve">76.44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76.44</w:t>
            </w:r>
          </w:p>
        </w:tc>
        <w:tc>
          <w:tcPr>
            <w:tcW w:w="2551" w:type="dxa"/>
            <w:vAlign w:val="center"/>
          </w:tcPr>
          <w:p>
            <w:pPr>
              <w:pStyle w:val="单元格样式4"/>
            </w:pPr>
            <w:r>
              <w:t xml:space="preserve">76.44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76.44</w:t>
            </w:r>
          </w:p>
        </w:tc>
        <w:tc>
          <w:tcPr>
            <w:tcW w:w="2551" w:type="dxa"/>
            <w:vAlign w:val="center"/>
          </w:tcPr>
          <w:p>
            <w:pPr>
              <w:pStyle w:val="单元格样式4"/>
            </w:pPr>
            <w:r>
              <w:t xml:space="preserve">76.44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21289.93</w:t>
            </w:r>
          </w:p>
        </w:tc>
        <w:tc>
          <w:tcPr>
            <w:tcW w:w="2551" w:type="dxa"/>
            <w:vAlign w:val="center"/>
          </w:tcPr>
          <w:p>
            <w:pPr>
              <w:pStyle w:val="单元格样式4"/>
            </w:pPr>
          </w:p>
        </w:tc>
        <w:tc>
          <w:tcPr>
            <w:tcW w:w="2551" w:type="dxa"/>
            <w:vAlign w:val="center"/>
          </w:tcPr>
          <w:p>
            <w:pPr>
              <w:pStyle w:val="单元格样式4"/>
            </w:pPr>
            <w:r>
              <w:t xml:space="preserve">21289.93</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21289.93</w:t>
            </w:r>
          </w:p>
        </w:tc>
        <w:tc>
          <w:tcPr>
            <w:tcW w:w="2551" w:type="dxa"/>
            <w:vAlign w:val="center"/>
          </w:tcPr>
          <w:p>
            <w:pPr>
              <w:pStyle w:val="单元格样式4"/>
            </w:pPr>
          </w:p>
        </w:tc>
        <w:tc>
          <w:tcPr>
            <w:tcW w:w="2551" w:type="dxa"/>
            <w:vAlign w:val="center"/>
          </w:tcPr>
          <w:p>
            <w:pPr>
              <w:pStyle w:val="单元格样式4"/>
            </w:pPr>
            <w:r>
              <w:t xml:space="preserve">21289.93</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2240799</w:t>
            </w:r>
          </w:p>
        </w:tc>
        <w:tc>
          <w:tcPr>
            <w:tcW w:w="4535" w:type="dxa"/>
            <w:vAlign w:val="center"/>
          </w:tcPr>
          <w:p>
            <w:pPr>
              <w:pStyle w:val="单元格样式2"/>
            </w:pPr>
            <w:r>
              <w:t xml:space="preserve">其他自然灾害救灾及恢复重建支出</w:t>
            </w:r>
          </w:p>
        </w:tc>
        <w:tc>
          <w:tcPr>
            <w:tcW w:w="2551" w:type="dxa"/>
            <w:vAlign w:val="center"/>
          </w:tcPr>
          <w:p>
            <w:pPr>
              <w:pStyle w:val="单元格样式4"/>
            </w:pPr>
            <w:r>
              <w:t xml:space="preserve">21289.93</w:t>
            </w:r>
          </w:p>
        </w:tc>
        <w:tc>
          <w:tcPr>
            <w:tcW w:w="2551" w:type="dxa"/>
            <w:vAlign w:val="center"/>
          </w:tcPr>
          <w:p>
            <w:pPr>
              <w:pStyle w:val="单元格样式4"/>
            </w:pPr>
          </w:p>
        </w:tc>
        <w:tc>
          <w:tcPr>
            <w:tcW w:w="2551" w:type="dxa"/>
            <w:vAlign w:val="center"/>
          </w:tcPr>
          <w:p>
            <w:pPr>
              <w:pStyle w:val="单元格样式4"/>
            </w:pPr>
            <w:r>
              <w:t xml:space="preserve">21289.93</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5437.73</w:t>
            </w:r>
          </w:p>
        </w:tc>
        <w:tc>
          <w:tcPr>
            <w:tcW w:w="2551" w:type="dxa"/>
            <w:vAlign w:val="center"/>
          </w:tcPr>
          <w:p>
            <w:pPr>
              <w:pStyle w:val="单元格样式7"/>
            </w:pPr>
            <w:r>
              <w:t xml:space="preserve">5387.56</w:t>
            </w:r>
          </w:p>
        </w:tc>
        <w:tc>
          <w:tcPr>
            <w:tcW w:w="2551" w:type="dxa"/>
            <w:vAlign w:val="center"/>
          </w:tcPr>
          <w:p>
            <w:pPr>
              <w:pStyle w:val="单元格样式7"/>
            </w:pPr>
            <w:r>
              <w:t xml:space="preserve">50.17</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5356.95</w:t>
            </w:r>
          </w:p>
        </w:tc>
        <w:tc>
          <w:tcPr>
            <w:tcW w:w="2551" w:type="dxa"/>
            <w:vAlign w:val="center"/>
          </w:tcPr>
          <w:p>
            <w:pPr>
              <w:pStyle w:val="单元格样式4"/>
            </w:pPr>
            <w:r>
              <w:t xml:space="preserve">5352.82</w:t>
            </w:r>
          </w:p>
        </w:tc>
        <w:tc>
          <w:tcPr>
            <w:tcW w:w="2551" w:type="dxa"/>
            <w:vAlign w:val="center"/>
          </w:tcPr>
          <w:p>
            <w:pPr>
              <w:pStyle w:val="单元格样式4"/>
            </w:pPr>
            <w:r>
              <w:t xml:space="preserve">4.13</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3866.17</w:t>
            </w:r>
          </w:p>
        </w:tc>
        <w:tc>
          <w:tcPr>
            <w:tcW w:w="2551" w:type="dxa"/>
            <w:vAlign w:val="center"/>
          </w:tcPr>
          <w:p>
            <w:pPr>
              <w:pStyle w:val="单元格样式4"/>
            </w:pPr>
            <w:r>
              <w:t xml:space="preserve">3866.17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241.96</w:t>
            </w:r>
          </w:p>
        </w:tc>
        <w:tc>
          <w:tcPr>
            <w:tcW w:w="2551" w:type="dxa"/>
            <w:vAlign w:val="center"/>
          </w:tcPr>
          <w:p>
            <w:pPr>
              <w:pStyle w:val="单元格样式4"/>
            </w:pPr>
            <w:r>
              <w:t xml:space="preserve">241.96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38.97</w:t>
            </w:r>
          </w:p>
        </w:tc>
        <w:tc>
          <w:tcPr>
            <w:tcW w:w="2551" w:type="dxa"/>
            <w:vAlign w:val="center"/>
          </w:tcPr>
          <w:p>
            <w:pPr>
              <w:pStyle w:val="单元格样式4"/>
            </w:pPr>
            <w:r>
              <w:t xml:space="preserve">38.97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217.08</w:t>
            </w:r>
          </w:p>
        </w:tc>
        <w:tc>
          <w:tcPr>
            <w:tcW w:w="2551" w:type="dxa"/>
            <w:vAlign w:val="center"/>
          </w:tcPr>
          <w:p>
            <w:pPr>
              <w:pStyle w:val="单元格样式4"/>
            </w:pPr>
            <w:r>
              <w:t xml:space="preserve">217.08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483.32</w:t>
            </w:r>
          </w:p>
        </w:tc>
        <w:tc>
          <w:tcPr>
            <w:tcW w:w="2551" w:type="dxa"/>
            <w:vAlign w:val="center"/>
          </w:tcPr>
          <w:p>
            <w:pPr>
              <w:pStyle w:val="单元格样式4"/>
            </w:pPr>
            <w:r>
              <w:t xml:space="preserve">483.32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14.75</w:t>
            </w:r>
          </w:p>
        </w:tc>
        <w:tc>
          <w:tcPr>
            <w:tcW w:w="2551" w:type="dxa"/>
            <w:vAlign w:val="center"/>
          </w:tcPr>
          <w:p>
            <w:pPr>
              <w:pStyle w:val="单元格样式4"/>
            </w:pPr>
            <w:r>
              <w:t xml:space="preserve">14.75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325.58</w:t>
            </w:r>
          </w:p>
        </w:tc>
        <w:tc>
          <w:tcPr>
            <w:tcW w:w="2551" w:type="dxa"/>
            <w:vAlign w:val="center"/>
          </w:tcPr>
          <w:p>
            <w:pPr>
              <w:pStyle w:val="单元格样式4"/>
            </w:pPr>
            <w:r>
              <w:t xml:space="preserve">325.58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53.80</w:t>
            </w:r>
          </w:p>
        </w:tc>
        <w:tc>
          <w:tcPr>
            <w:tcW w:w="2551" w:type="dxa"/>
            <w:vAlign w:val="center"/>
          </w:tcPr>
          <w:p>
            <w:pPr>
              <w:pStyle w:val="单元格样式4"/>
            </w:pPr>
            <w:r>
              <w:t xml:space="preserve">49.67</w:t>
            </w:r>
          </w:p>
        </w:tc>
        <w:tc>
          <w:tcPr>
            <w:tcW w:w="2551" w:type="dxa"/>
            <w:vAlign w:val="center"/>
          </w:tcPr>
          <w:p>
            <w:pPr>
              <w:pStyle w:val="单元格样式4"/>
            </w:pPr>
            <w:r>
              <w:t xml:space="preserve">4.13</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76.44</w:t>
            </w:r>
          </w:p>
        </w:tc>
        <w:tc>
          <w:tcPr>
            <w:tcW w:w="2551" w:type="dxa"/>
            <w:vAlign w:val="center"/>
          </w:tcPr>
          <w:p>
            <w:pPr>
              <w:pStyle w:val="单元格样式4"/>
            </w:pPr>
            <w:r>
              <w:t xml:space="preserve">76.44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38.88</w:t>
            </w:r>
          </w:p>
        </w:tc>
        <w:tc>
          <w:tcPr>
            <w:tcW w:w="2551" w:type="dxa"/>
            <w:vAlign w:val="center"/>
          </w:tcPr>
          <w:p>
            <w:pPr>
              <w:pStyle w:val="单元格样式4"/>
            </w:pPr>
            <w:r>
              <w:t xml:space="preserve">38.88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46.04</w:t>
            </w:r>
          </w:p>
        </w:tc>
        <w:tc>
          <w:tcPr>
            <w:tcW w:w="2551" w:type="dxa"/>
            <w:vAlign w:val="center"/>
          </w:tcPr>
          <w:p>
            <w:pPr>
              <w:pStyle w:val="单元格样式4"/>
            </w:pPr>
          </w:p>
        </w:tc>
        <w:tc>
          <w:tcPr>
            <w:tcW w:w="2551" w:type="dxa"/>
            <w:vAlign w:val="center"/>
          </w:tcPr>
          <w:p>
            <w:pPr>
              <w:pStyle w:val="单元格样式4"/>
            </w:pPr>
            <w:r>
              <w:t xml:space="preserve">46.04</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6.14</w:t>
            </w:r>
          </w:p>
        </w:tc>
        <w:tc>
          <w:tcPr>
            <w:tcW w:w="2551" w:type="dxa"/>
            <w:vAlign w:val="center"/>
          </w:tcPr>
          <w:p>
            <w:pPr>
              <w:pStyle w:val="单元格样式4"/>
            </w:pPr>
          </w:p>
        </w:tc>
        <w:tc>
          <w:tcPr>
            <w:tcW w:w="2551" w:type="dxa"/>
            <w:vAlign w:val="center"/>
          </w:tcPr>
          <w:p>
            <w:pPr>
              <w:pStyle w:val="单元格样式4"/>
            </w:pPr>
            <w:r>
              <w:t xml:space="preserve">6.14</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8.10</w:t>
            </w:r>
          </w:p>
        </w:tc>
        <w:tc>
          <w:tcPr>
            <w:tcW w:w="2551" w:type="dxa"/>
            <w:vAlign w:val="center"/>
          </w:tcPr>
          <w:p>
            <w:pPr>
              <w:pStyle w:val="单元格样式4"/>
            </w:pPr>
          </w:p>
        </w:tc>
        <w:tc>
          <w:tcPr>
            <w:tcW w:w="2551" w:type="dxa"/>
            <w:vAlign w:val="center"/>
          </w:tcPr>
          <w:p>
            <w:pPr>
              <w:pStyle w:val="单元格样式4"/>
            </w:pPr>
            <w:r>
              <w:t xml:space="preserve">8.10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4.44</w:t>
            </w:r>
          </w:p>
        </w:tc>
        <w:tc>
          <w:tcPr>
            <w:tcW w:w="2551" w:type="dxa"/>
            <w:vAlign w:val="center"/>
          </w:tcPr>
          <w:p>
            <w:pPr>
              <w:pStyle w:val="单元格样式4"/>
            </w:pPr>
          </w:p>
        </w:tc>
        <w:tc>
          <w:tcPr>
            <w:tcW w:w="2551" w:type="dxa"/>
            <w:vAlign w:val="center"/>
          </w:tcPr>
          <w:p>
            <w:pPr>
              <w:pStyle w:val="单元格样式4"/>
            </w:pPr>
            <w:r>
              <w:t xml:space="preserve">4.44</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0.22</w:t>
            </w:r>
          </w:p>
        </w:tc>
        <w:tc>
          <w:tcPr>
            <w:tcW w:w="2551" w:type="dxa"/>
            <w:vAlign w:val="center"/>
          </w:tcPr>
          <w:p>
            <w:pPr>
              <w:pStyle w:val="单元格样式4"/>
            </w:pPr>
          </w:p>
        </w:tc>
        <w:tc>
          <w:tcPr>
            <w:tcW w:w="2551" w:type="dxa"/>
            <w:vAlign w:val="center"/>
          </w:tcPr>
          <w:p>
            <w:pPr>
              <w:pStyle w:val="单元格样式4"/>
            </w:pPr>
            <w:r>
              <w:t xml:space="preserve">0.22</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4.28</w:t>
            </w:r>
          </w:p>
        </w:tc>
        <w:tc>
          <w:tcPr>
            <w:tcW w:w="2551" w:type="dxa"/>
            <w:vAlign w:val="center"/>
          </w:tcPr>
          <w:p>
            <w:pPr>
              <w:pStyle w:val="单元格样式4"/>
            </w:pPr>
          </w:p>
        </w:tc>
        <w:tc>
          <w:tcPr>
            <w:tcW w:w="2551" w:type="dxa"/>
            <w:vAlign w:val="center"/>
          </w:tcPr>
          <w:p>
            <w:pPr>
              <w:pStyle w:val="单元格样式4"/>
            </w:pPr>
            <w:r>
              <w:t xml:space="preserve">4.28</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5.06</w:t>
            </w:r>
          </w:p>
        </w:tc>
        <w:tc>
          <w:tcPr>
            <w:tcW w:w="2551" w:type="dxa"/>
            <w:vAlign w:val="center"/>
          </w:tcPr>
          <w:p>
            <w:pPr>
              <w:pStyle w:val="单元格样式4"/>
            </w:pPr>
          </w:p>
        </w:tc>
        <w:tc>
          <w:tcPr>
            <w:tcW w:w="2551" w:type="dxa"/>
            <w:vAlign w:val="center"/>
          </w:tcPr>
          <w:p>
            <w:pPr>
              <w:pStyle w:val="单元格样式4"/>
            </w:pPr>
            <w:r>
              <w:t xml:space="preserve">5.06</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7.20</w:t>
            </w:r>
          </w:p>
        </w:tc>
        <w:tc>
          <w:tcPr>
            <w:tcW w:w="2551" w:type="dxa"/>
            <w:vAlign w:val="center"/>
          </w:tcPr>
          <w:p>
            <w:pPr>
              <w:pStyle w:val="单元格样式4"/>
            </w:pPr>
          </w:p>
        </w:tc>
        <w:tc>
          <w:tcPr>
            <w:tcW w:w="2551" w:type="dxa"/>
            <w:vAlign w:val="center"/>
          </w:tcPr>
          <w:p>
            <w:pPr>
              <w:pStyle w:val="单元格样式4"/>
            </w:pPr>
            <w:r>
              <w:t xml:space="preserve">7.20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10.26</w:t>
            </w:r>
          </w:p>
        </w:tc>
        <w:tc>
          <w:tcPr>
            <w:tcW w:w="2551" w:type="dxa"/>
            <w:vAlign w:val="center"/>
          </w:tcPr>
          <w:p>
            <w:pPr>
              <w:pStyle w:val="单元格样式4"/>
            </w:pPr>
          </w:p>
        </w:tc>
        <w:tc>
          <w:tcPr>
            <w:tcW w:w="2551" w:type="dxa"/>
            <w:vAlign w:val="center"/>
          </w:tcPr>
          <w:p>
            <w:pPr>
              <w:pStyle w:val="单元格样式4"/>
            </w:pPr>
            <w:r>
              <w:t xml:space="preserve">10.26</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0.34</w:t>
            </w:r>
          </w:p>
        </w:tc>
        <w:tc>
          <w:tcPr>
            <w:tcW w:w="2551" w:type="dxa"/>
            <w:vAlign w:val="center"/>
          </w:tcPr>
          <w:p>
            <w:pPr>
              <w:pStyle w:val="单元格样式4"/>
            </w:pPr>
          </w:p>
        </w:tc>
        <w:tc>
          <w:tcPr>
            <w:tcW w:w="2551" w:type="dxa"/>
            <w:vAlign w:val="center"/>
          </w:tcPr>
          <w:p>
            <w:pPr>
              <w:pStyle w:val="单元格样式4"/>
            </w:pPr>
            <w:r>
              <w:t xml:space="preserve">0.34</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34.74</w:t>
            </w:r>
          </w:p>
        </w:tc>
        <w:tc>
          <w:tcPr>
            <w:tcW w:w="2551" w:type="dxa"/>
            <w:vAlign w:val="center"/>
          </w:tcPr>
          <w:p>
            <w:pPr>
              <w:pStyle w:val="单元格样式4"/>
            </w:pPr>
            <w:r>
              <w:t xml:space="preserve">34.74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34.74</w:t>
            </w:r>
          </w:p>
        </w:tc>
        <w:tc>
          <w:tcPr>
            <w:tcW w:w="2551" w:type="dxa"/>
            <w:vAlign w:val="center"/>
          </w:tcPr>
          <w:p>
            <w:pPr>
              <w:pStyle w:val="单元格样式4"/>
            </w:pPr>
            <w:r>
              <w:t xml:space="preserve">34.74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4922.82</w:t>
            </w:r>
          </w:p>
        </w:tc>
        <w:tc>
          <w:tcPr>
            <w:tcW w:w="2551" w:type="dxa"/>
            <w:vAlign w:val="center"/>
          </w:tcPr>
          <w:p>
            <w:pPr>
              <w:pStyle w:val="单元格样式7"/>
            </w:pPr>
          </w:p>
        </w:tc>
        <w:tc>
          <w:tcPr>
            <w:tcW w:w="2551" w:type="dxa"/>
            <w:vAlign w:val="center"/>
          </w:tcPr>
          <w:p>
            <w:pPr>
              <w:pStyle w:val="单元格样式7"/>
            </w:pPr>
            <w:r>
              <w:t xml:space="preserve">4922.82</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1425.23</w:t>
            </w:r>
          </w:p>
        </w:tc>
        <w:tc>
          <w:tcPr>
            <w:tcW w:w="2551" w:type="dxa"/>
            <w:vAlign w:val="center"/>
          </w:tcPr>
          <w:p>
            <w:pPr>
              <w:pStyle w:val="单元格样式4"/>
            </w:pPr>
          </w:p>
        </w:tc>
        <w:tc>
          <w:tcPr>
            <w:tcW w:w="2551" w:type="dxa"/>
            <w:vAlign w:val="center"/>
          </w:tcPr>
          <w:p>
            <w:pPr>
              <w:pStyle w:val="单元格样式4"/>
            </w:pPr>
            <w:r>
              <w:t xml:space="preserve">1425.23</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1425.23</w:t>
            </w:r>
          </w:p>
        </w:tc>
        <w:tc>
          <w:tcPr>
            <w:tcW w:w="2551" w:type="dxa"/>
            <w:vAlign w:val="center"/>
          </w:tcPr>
          <w:p>
            <w:pPr>
              <w:pStyle w:val="单元格样式4"/>
            </w:pPr>
          </w:p>
        </w:tc>
        <w:tc>
          <w:tcPr>
            <w:tcW w:w="2551" w:type="dxa"/>
            <w:vAlign w:val="center"/>
          </w:tcPr>
          <w:p>
            <w:pPr>
              <w:pStyle w:val="单元格样式4"/>
            </w:pPr>
            <w:r>
              <w:t xml:space="preserve">1425.23</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1425.23</w:t>
            </w:r>
          </w:p>
        </w:tc>
        <w:tc>
          <w:tcPr>
            <w:tcW w:w="2551" w:type="dxa"/>
            <w:vAlign w:val="center"/>
          </w:tcPr>
          <w:p>
            <w:pPr>
              <w:pStyle w:val="单元格样式4"/>
            </w:pPr>
          </w:p>
        </w:tc>
        <w:tc>
          <w:tcPr>
            <w:tcW w:w="2551" w:type="dxa"/>
            <w:vAlign w:val="center"/>
          </w:tcPr>
          <w:p>
            <w:pPr>
              <w:pStyle w:val="单元格样式4"/>
            </w:pPr>
            <w:r>
              <w:t xml:space="preserve">1425.23</w:t>
            </w: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3497.59</w:t>
            </w:r>
          </w:p>
        </w:tc>
        <w:tc>
          <w:tcPr>
            <w:tcW w:w="2551" w:type="dxa"/>
            <w:vAlign w:val="center"/>
          </w:tcPr>
          <w:p>
            <w:pPr>
              <w:pStyle w:val="单元格样式4"/>
            </w:pPr>
          </w:p>
        </w:tc>
        <w:tc>
          <w:tcPr>
            <w:tcW w:w="2551" w:type="dxa"/>
            <w:vAlign w:val="center"/>
          </w:tcPr>
          <w:p>
            <w:pPr>
              <w:pStyle w:val="单元格样式4"/>
            </w:pPr>
            <w:r>
              <w:t xml:space="preserve">3497.59</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3497.59</w:t>
            </w:r>
          </w:p>
        </w:tc>
        <w:tc>
          <w:tcPr>
            <w:tcW w:w="2551" w:type="dxa"/>
            <w:vAlign w:val="center"/>
          </w:tcPr>
          <w:p>
            <w:pPr>
              <w:pStyle w:val="单元格样式4"/>
            </w:pPr>
          </w:p>
        </w:tc>
        <w:tc>
          <w:tcPr>
            <w:tcW w:w="2551" w:type="dxa"/>
            <w:vAlign w:val="center"/>
          </w:tcPr>
          <w:p>
            <w:pPr>
              <w:pStyle w:val="单元格样式4"/>
            </w:pPr>
            <w:r>
              <w:t xml:space="preserve">3497.59</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3497.59</w:t>
            </w:r>
          </w:p>
        </w:tc>
        <w:tc>
          <w:tcPr>
            <w:tcW w:w="2551" w:type="dxa"/>
            <w:vAlign w:val="center"/>
          </w:tcPr>
          <w:p>
            <w:pPr>
              <w:pStyle w:val="单元格样式4"/>
            </w:pPr>
          </w:p>
        </w:tc>
        <w:tc>
          <w:tcPr>
            <w:tcW w:w="2551" w:type="dxa"/>
            <w:vAlign w:val="center"/>
          </w:tcPr>
          <w:p>
            <w:pPr>
              <w:pStyle w:val="单元格样式4"/>
            </w:pPr>
            <w:r>
              <w:t xml:space="preserve">3497.59</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7.20</w:t>
            </w:r>
          </w:p>
        </w:tc>
        <w:tc>
          <w:tcPr>
            <w:tcW w:w="2381" w:type="dxa"/>
            <w:vAlign w:val="center"/>
          </w:tcPr>
          <w:p>
            <w:pPr>
              <w:pStyle w:val="单元格样式7"/>
            </w:pPr>
            <w:r>
              <w:t xml:space="preserve">7.20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7.20</w:t>
            </w:r>
          </w:p>
        </w:tc>
        <w:tc>
          <w:tcPr>
            <w:tcW w:w="2381" w:type="dxa"/>
            <w:vAlign w:val="center"/>
          </w:tcPr>
          <w:p>
            <w:pPr>
              <w:pStyle w:val="单元格样式4"/>
            </w:pPr>
            <w:r>
              <w:t xml:space="preserve">7.20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7.20</w:t>
            </w:r>
          </w:p>
        </w:tc>
        <w:tc>
          <w:tcPr>
            <w:tcW w:w="2381" w:type="dxa"/>
            <w:vAlign w:val="center"/>
          </w:tcPr>
          <w:p>
            <w:pPr>
              <w:pStyle w:val="单元格样式4"/>
            </w:pPr>
            <w:r>
              <w:t xml:space="preserve">7.20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新乐市城市管理综合行政执法局本级2025年单位预算信息公开情况说明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按照《中华人民共和国预算法》、《地方预决算公开操作规程》和《关于进一步推进预算公开工作的实施意见》规定，现将新乐市城市管理综合行政执法局本级2025年单位预算公开如下：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新乐市城市管理综合行政执法局部门职责：  （一）贯彻落实国家、省、石家庄市关于城市管理、园林绿化相关工作的方针政策和法律法规；执行有关地方性法规、政府规章草案和行业标准，拟定城市管理、园林绿化中长期发展规划和年度计划并组织实施。</w:t>
      </w:r>
    </w:p>
    <w:p>
      <w:pPr>
        <w:pStyle w:val="插入文本样式-插入单位职责文件"/>
      </w:pPr>
      <w:r>
        <w:t xml:space="preserve">（二）负责编制道路、桥梁、排水、照明设施的改造、整修计划并组织实施；负责城市排水管理工作及城市排水、中水的水质检测及监督管理；负责城市道路、桥梁维护管理；负责城市夜景照明维护管理工作；负责组织、协调、管理城区市政设施改造工作。</w:t>
      </w:r>
    </w:p>
    <w:p>
      <w:pPr>
        <w:pStyle w:val="插入文本样式-插入单位职责文件"/>
      </w:pPr>
      <w:r>
        <w:t xml:space="preserve">（三）负责制订城市市政基础设施日常管护作业标准和市容环境卫生质量标准并组织实施；负责对城市市政基础设施日常管理、市容环境卫生、行政执法等工作进行监督检查和考核评比；制订城市市政基础设施日常管护资金使用计划，并监督管理和组织实施。</w:t>
      </w:r>
    </w:p>
    <w:p>
      <w:pPr>
        <w:pStyle w:val="插入文本样式-插入单位职责文件"/>
      </w:pPr>
      <w:r>
        <w:t xml:space="preserve">（四）负责指导、协调、考核城市市政设施管理、市容环境卫生管理和城市管理综合执法工作；负责组织城市管理专项活动和重大执法活动。</w:t>
      </w:r>
    </w:p>
    <w:p>
      <w:pPr>
        <w:pStyle w:val="插入文本样式-插入单位职责文件"/>
      </w:pPr>
      <w:r>
        <w:t xml:space="preserve">（五）负责城市供水、节水、污水处理工作。</w:t>
      </w:r>
    </w:p>
    <w:p>
      <w:pPr>
        <w:pStyle w:val="插入文本样式-插入单位职责文件"/>
      </w:pPr>
      <w:r>
        <w:t xml:space="preserve">（六）负责建成区主要街道、公园、广场和有关防护林区的规划、设计、建设和管理；负责执行城市绿化“绿线”管制制度；负责伐移树木的初审、上报、监管工作；参与圃地、花木市场的规划、建设和管理。</w:t>
      </w:r>
    </w:p>
    <w:p>
      <w:pPr>
        <w:pStyle w:val="插入文本样式-插入单位职责文件"/>
      </w:pPr>
      <w:r>
        <w:t xml:space="preserve">（七）负责城区防汛工作。研究部署城区防汛工作，开展城区防汛宣传，提高全社会的防洪减灾意识，会同有关部门做好城区自然灾害应急处置工作。承担城区防汛指挥部日常工作。</w:t>
      </w:r>
    </w:p>
    <w:p>
      <w:pPr>
        <w:pStyle w:val="插入文本样式-插入单位职责文件"/>
      </w:pPr>
      <w:r>
        <w:t xml:space="preserve">（八）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插入文本样式-插入单位职责文件"/>
      </w:pPr>
      <w:r>
        <w:t xml:space="preserve">（九）负责协调、监督城区生活垃圾、建筑垃圾、餐厨垃圾、粪便垃圾垃圾无害化处理工作；参与城市开发和城市改造中有关环卫设施配套项目建设竣工验收。</w:t>
      </w:r>
    </w:p>
    <w:p>
      <w:pPr>
        <w:pStyle w:val="插入文本样式-插入单位职责文件"/>
      </w:pPr>
      <w:r>
        <w:t xml:space="preserve">（十）负责全市供热、燃气行业管理工作。指导各乡镇（街道）供热、燃气管理工作。</w:t>
      </w:r>
    </w:p>
    <w:p>
      <w:pPr>
        <w:pStyle w:val="插入文本样式-插入单位职责文件"/>
      </w:pPr>
      <w:r>
        <w:t xml:space="preserve">（十一）负责城区城市便道非机动车停放工作。</w:t>
      </w:r>
    </w:p>
    <w:p>
      <w:pPr>
        <w:pStyle w:val="插入文本样式-插入单位职责文件"/>
      </w:pPr>
      <w:r>
        <w:t xml:space="preserve">（十二）负责城区洗车行业的监督管理工作。</w:t>
      </w:r>
    </w:p>
    <w:p>
      <w:pPr>
        <w:pStyle w:val="插入文本样式-插入单位职责文件"/>
      </w:pPr>
      <w:r>
        <w:t xml:space="preserve">（十三）负责机关和所属单位的安全生产综合监督管理工作。</w:t>
      </w:r>
    </w:p>
    <w:p>
      <w:pPr>
        <w:pStyle w:val="插入文本样式-插入单位职责文件"/>
      </w:pPr>
      <w:r>
        <w:t xml:space="preserve">（十四）负责指导各乡镇（街道）容貌整治、环境卫生、市政基础设施日常管护、综合执法、垃圾处理、污水处理等工作。</w:t>
      </w:r>
    </w:p>
    <w:p>
      <w:pPr>
        <w:pStyle w:val="插入文本样式-插入单位职责文件"/>
      </w:pPr>
      <w:r>
        <w:t xml:space="preserve">（十五）会同有关部门，做好城市建设行业涉及本部门的相关专业规划的编制和实施工作。</w:t>
      </w:r>
    </w:p>
    <w:p>
      <w:pPr>
        <w:pStyle w:val="插入文本样式-插入单位职责文件"/>
      </w:pPr>
      <w:r>
        <w:t xml:space="preserve">（十六）实施与以下范围内法律法规规章规定的行政处罚权有关的行政强制措施：</w:t>
      </w:r>
    </w:p>
    <w:p>
      <w:pPr>
        <w:pStyle w:val="插入文本样式-插入单位职责文件"/>
      </w:pPr>
      <w:r>
        <w:t xml:space="preserve">1、市容环境卫生、市政公用设施、园林绿化等方面法律法规规章规定的全部行政处罚权；</w:t>
      </w:r>
    </w:p>
    <w:p>
      <w:pPr>
        <w:pStyle w:val="插入文本样式-插入单位职责文件"/>
      </w:pPr>
      <w:r>
        <w:t xml:space="preserve">2、住房和城乡建设、城乡规划方面法律法规规章规定全部行政处罚权；</w:t>
      </w:r>
    </w:p>
    <w:p>
      <w:pPr>
        <w:pStyle w:val="插入文本样式-插入单位职责文件"/>
      </w:pPr>
      <w:r>
        <w:t xml:space="preserve">3、城市建成区内社会生活噪声污染、露天烧烤污染、焚烧沥青塑料垃圾等烟尘和恶臭污染、露天焚烧秸秆落叶等烟尘污染等的行政处罚权。企业厂区外公共场地存放煤炭、煤矸石、煤渣、沙石、灰土等物料未采取环境保护措施行为的行政处罚权；</w:t>
      </w:r>
    </w:p>
    <w:p>
      <w:pPr>
        <w:pStyle w:val="插入文本样式-插入单位职责文件"/>
      </w:pPr>
      <w:r>
        <w:t xml:space="preserve">4、城市建成区内城市道路、绿地、公园、广场、街头空地等公共场所无照商贩经营、违规设置户外广告等行为的行政处罚权；</w:t>
      </w:r>
    </w:p>
    <w:p>
      <w:pPr>
        <w:pStyle w:val="插入文本样式-插入单位职责文件"/>
      </w:pPr>
      <w:r>
        <w:t xml:space="preserve">5、城市建成区内非机动车辆乱停乱放影响交通行为的行政处罚权；</w:t>
      </w:r>
    </w:p>
    <w:p>
      <w:pPr>
        <w:pStyle w:val="插入文本样式-插入单位职责文件"/>
      </w:pPr>
      <w:r>
        <w:t xml:space="preserve">6、城市供水、节水、污水处理的行政处罚权，向城市河道倾倒废弃物、垃圾及违规取土、城市河道违法建筑物拆除等的行政处罚权；</w:t>
      </w:r>
    </w:p>
    <w:p>
      <w:pPr>
        <w:pStyle w:val="插入文本样式-插入单位职责文件"/>
      </w:pPr>
      <w:r>
        <w:t xml:space="preserve">7、城市建成区内户外公共场所食品销售和餐饮摊点无证经营的行政处罚权。</w:t>
      </w:r>
    </w:p>
    <w:p>
      <w:pPr>
        <w:pStyle w:val="插入文本样式-插入单位职责文件"/>
      </w:pPr>
      <w:r>
        <w:t xml:space="preserve">（十七）负责城市管理综合行政执法监督工作，指导城市管理综合执法队伍规范执法、文明执法。研究拟定城市管理和综合执法资金计划；指导各乡镇（街道）城管综合行政执法队伍正规化建设。</w:t>
      </w:r>
    </w:p>
    <w:p>
      <w:pPr>
        <w:pStyle w:val="插入文本样式-插入单位职责文件"/>
      </w:pPr>
      <w:r>
        <w:t xml:space="preserve">（十八）完成市委、市政府交办的其他任务。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新乐市城市管理综合行政执法局本级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2024年预算收入33556.50万元，其中：一般公共预算收入12529.46万元，基金预算收入2000.00万元，国有资本经营预算收入0.00万元，财政专户核拨收入0.00万元，单位资金收入0.00万元，上年结转结余19027.03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城市管理综合行政执法局本级年度单位预算中支出预算的总体情况。2024年支出预算33556.50万元，其中基本支出5007.54万元，包括人员经费4255.25万元和日常公用经费752.28万元；项目支出28548.96万元，主要为2023年第二批新增债券新乐市第二污水处理厂深度提标改造（一期）工程497.988305万元</w:t>
      </w:r>
    </w:p>
    <w:p>
      <w:pPr>
        <w:pStyle w:val="插入文本样式-插入预算公开单位预算安排的总体情况文件"/>
      </w:pPr>
      <w:r>
        <w:t xml:space="preserve">2023年第二批新增政府债券新乐市第一污水处理厂尾水导排资源化利用项目1639.983202万元</w:t>
      </w:r>
    </w:p>
    <w:p>
      <w:pPr>
        <w:pStyle w:val="插入文本样式-插入预算公开单位预算安排的总体情况文件"/>
      </w:pPr>
      <w:r>
        <w:t xml:space="preserve">2023年第七批新增专项债券资金-新乐市城区排水管网提升改造工程1889.059万元</w:t>
      </w:r>
    </w:p>
    <w:p>
      <w:pPr>
        <w:pStyle w:val="插入文本样式-插入预算公开单位预算安排的总体情况文件"/>
      </w:pPr>
      <w:r>
        <w:t xml:space="preserve">2024年本级支出-2023年一般债券资金-新乐市生活垃圾填埋场封场工程248.1297万元</w:t>
      </w:r>
    </w:p>
    <w:p>
      <w:pPr>
        <w:pStyle w:val="插入文本样式-插入预算公开单位预算安排的总体情况文件"/>
      </w:pPr>
      <w:r>
        <w:t xml:space="preserve">2024年本级支出-新乐市城区排水管网提升改造工程（县级配套）1000万元</w:t>
      </w:r>
    </w:p>
    <w:p>
      <w:pPr>
        <w:pStyle w:val="插入文本样式-插入预算公开单位预算安排的总体情况文件"/>
      </w:pPr>
      <w:r>
        <w:t xml:space="preserve">2024年本级支出-征占地补偿2000万元</w:t>
      </w:r>
    </w:p>
    <w:p>
      <w:pPr>
        <w:pStyle w:val="插入文本样式-插入预算公开单位预算安排的总体情况文件"/>
      </w:pPr>
      <w:r>
        <w:t xml:space="preserve">]2024年本级支出-2023年度集中供热财政补贴5200万元</w:t>
      </w:r>
    </w:p>
    <w:p>
      <w:pPr>
        <w:pStyle w:val="插入文本样式-插入预算公开单位预算安排的总体情况文件"/>
      </w:pPr>
      <w:r>
        <w:t xml:space="preserve">冀财建【2022】235号2023年省级抢救性资源保护补助资金12.8万元</w:t>
      </w:r>
    </w:p>
    <w:p>
      <w:pPr>
        <w:pStyle w:val="插入文本样式-插入预算公开单位预算安排的总体情况文件"/>
      </w:pPr>
      <w:r>
        <w:t xml:space="preserve">冀财建【2023】229号文-提前下达2024年中央大气污染防治资金（用于农村地区气代煤电代煤改造任务运行补助）686万元</w:t>
      </w:r>
    </w:p>
    <w:p>
      <w:pPr>
        <w:pStyle w:val="插入文本样式-插入预算公开单位预算安排的总体情况文件"/>
      </w:pPr>
      <w:r>
        <w:t xml:space="preserve">冀财建【2023】279号-增发2023年国债省级补助（市政领域）资金（新乐市城区排水管网提升改造工程）375万元</w:t>
      </w:r>
    </w:p>
    <w:p>
      <w:pPr>
        <w:pStyle w:val="插入文本样式-插入预算公开单位预算安排的总体情况文件"/>
      </w:pPr>
      <w:r>
        <w:t xml:space="preserve">冀财预【2023】74号-增发2023年国债资金（新乐市城区排水管网提升改造工程）15000万元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2024年预算收支安排33556.50万元，较2023年预算增加7661.11万元，其中：基本支出增加323.29万元，主要为人员经费增加了94.953927万元，主要用于财政人员工资及保险；日常公用经费增加了228.340435万元，其中劳务费增加217.042635万元，日常公用增加了11.2978万元项目支出增加7337.82万元，主要为减少了2023年的：2023年本级支出2023年度拨付生活垃圾填埋场处理运行补贴、2023年本级支出城区园林养护管理项目、2023年本级支出城市市容和环境卫生管理、牌匾整治等业务费、2023年本级支出道路清扫、公厕建设与维修维护费、2023年本级支出房屋租赁费等项目，增加了冀财预【2023】74号-增发2023年国债资金（新乐市城区排水管网提升改造工程）、2023年第二批新增政府债券新乐市第一污水处理厂尾水导排资源化利用项目等项目</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2025年，我单位财政拨款“三公”经费预算安排7.20万元，其中因公出国（境）费0.00万元；公务用车购置及运维费7.20万元（其中：公务用车购置费为0.00万元，公务用车运维费7.20万元)；公务接待费0.00万元。与2024年相比增加0.00万元，增减变化的主要原因是无增减变化，2025年“三公”经费安排与2024年三公”经费安排一致。</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1、2023年第二批新增债券新乐市第二污水处理厂深度提标改造（一期）工程绩效目标表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13018423P00312010001J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2023年第二批新增债券新乐市第二污水处理厂深度提标改造（一期）工程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用于第二污水处理厂深度处理提标改造（一期）工程。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290.37</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1.目标内容1为保证工程顺利完工。</w:t>
            </w:r>
          </w:p>
          <w:p>
            <w:pPr>
              <w:pStyle w:val="单元格样式2"/>
            </w:pPr>
            <w:r>
              <w:t xml:space="preserve">2.目标内容2为保障新乐市市民安全用水。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污水处理量</w:t>
            </w:r>
          </w:p>
        </w:tc>
        <w:tc>
          <w:tcPr>
            <w:tcW w:w="5386" w:type="dxa"/>
            <w:vAlign w:val="center"/>
          </w:tcPr>
          <w:p>
            <w:pPr>
              <w:pStyle w:val="单元格样式2"/>
            </w:pPr>
            <w:r>
              <w:t xml:space="preserve">集中收集处理城区排放的生活污水及工业园区排放的工业废水</w:t>
            </w:r>
          </w:p>
        </w:tc>
        <w:tc>
          <w:tcPr>
            <w:tcW w:w="2268" w:type="dxa"/>
            <w:vAlign w:val="center"/>
          </w:tcPr>
          <w:p>
            <w:pPr>
              <w:pStyle w:val="单元格样式2"/>
            </w:pPr>
            <w:r>
              <w:t xml:space="preserve">≥1500万立方米</w:t>
            </w:r>
          </w:p>
        </w:tc>
        <w:tc>
          <w:tcPr>
            <w:tcW w:w="1276" w:type="dxa"/>
            <w:vAlign w:val="center"/>
          </w:tcPr>
          <w:p>
            <w:pPr>
              <w:pStyle w:val="单元格样式2"/>
            </w:pPr>
            <w:r>
              <w:t xml:space="preserve">进水在线监测数据</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出水水质</w:t>
            </w:r>
          </w:p>
        </w:tc>
        <w:tc>
          <w:tcPr>
            <w:tcW w:w="5386" w:type="dxa"/>
            <w:vAlign w:val="center"/>
          </w:tcPr>
          <w:p>
            <w:pPr>
              <w:pStyle w:val="单元格样式2"/>
            </w:pPr>
            <w:r>
              <w:t xml:space="preserve">严格执行大清河流域污染物排放标准</w:t>
            </w:r>
          </w:p>
        </w:tc>
        <w:tc>
          <w:tcPr>
            <w:tcW w:w="2268" w:type="dxa"/>
            <w:vAlign w:val="center"/>
          </w:tcPr>
          <w:p>
            <w:pPr>
              <w:pStyle w:val="单元格样式2"/>
            </w:pPr>
            <w:r>
              <w:t xml:space="preserve">100出水水质严格达标排放</w:t>
            </w:r>
          </w:p>
        </w:tc>
        <w:tc>
          <w:tcPr>
            <w:tcW w:w="1276" w:type="dxa"/>
            <w:vAlign w:val="center"/>
          </w:tcPr>
          <w:p>
            <w:pPr>
              <w:pStyle w:val="单元格样式2"/>
            </w:pPr>
            <w:r>
              <w:t xml:space="preserve">大清河流域污水排放标准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运行时间</w:t>
            </w:r>
          </w:p>
        </w:tc>
        <w:tc>
          <w:tcPr>
            <w:tcW w:w="5386" w:type="dxa"/>
            <w:vAlign w:val="center"/>
          </w:tcPr>
          <w:p>
            <w:pPr>
              <w:pStyle w:val="单元格样式2"/>
            </w:pPr>
            <w:r>
              <w:t xml:space="preserve">污水处理不间断连续运行</w:t>
            </w:r>
          </w:p>
        </w:tc>
        <w:tc>
          <w:tcPr>
            <w:tcW w:w="2268" w:type="dxa"/>
            <w:vAlign w:val="center"/>
          </w:tcPr>
          <w:p>
            <w:pPr>
              <w:pStyle w:val="单元格样式2"/>
            </w:pPr>
            <w:r>
              <w:t xml:space="preserve">365天</w:t>
            </w:r>
          </w:p>
        </w:tc>
        <w:tc>
          <w:tcPr>
            <w:tcW w:w="1276" w:type="dxa"/>
            <w:vAlign w:val="center"/>
          </w:tcPr>
          <w:p>
            <w:pPr>
              <w:pStyle w:val="单元格样式2"/>
            </w:pPr>
            <w:r>
              <w:t xml:space="preserve">实际情况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本级财政拨款</w:t>
            </w:r>
          </w:p>
        </w:tc>
        <w:tc>
          <w:tcPr>
            <w:tcW w:w="5386" w:type="dxa"/>
            <w:vAlign w:val="center"/>
          </w:tcPr>
          <w:p>
            <w:pPr>
              <w:pStyle w:val="单元格样式2"/>
            </w:pPr>
            <w:r>
              <w:t xml:space="preserve">本级财政拨款</w:t>
            </w:r>
          </w:p>
        </w:tc>
        <w:tc>
          <w:tcPr>
            <w:tcW w:w="2268" w:type="dxa"/>
            <w:vAlign w:val="center"/>
          </w:tcPr>
          <w:p>
            <w:pPr>
              <w:pStyle w:val="单元格样式2"/>
            </w:pPr>
            <w:r>
              <w:t xml:space="preserve">290.37万元</w:t>
            </w:r>
          </w:p>
        </w:tc>
        <w:tc>
          <w:tcPr>
            <w:tcW w:w="1276" w:type="dxa"/>
            <w:vAlign w:val="center"/>
          </w:tcPr>
          <w:p>
            <w:pPr>
              <w:pStyle w:val="单元格样式2"/>
            </w:pPr>
            <w:r>
              <w:t xml:space="preserve">专项债券</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保护水生态环境，造福后代</w:t>
            </w:r>
          </w:p>
        </w:tc>
        <w:tc>
          <w:tcPr>
            <w:tcW w:w="5386" w:type="dxa"/>
            <w:vAlign w:val="center"/>
          </w:tcPr>
          <w:p>
            <w:pPr>
              <w:pStyle w:val="单元格样式2"/>
            </w:pPr>
            <w:r>
              <w:t xml:space="preserve">我市水生态环境进一步改善</w:t>
            </w:r>
          </w:p>
        </w:tc>
        <w:tc>
          <w:tcPr>
            <w:tcW w:w="2268" w:type="dxa"/>
            <w:vAlign w:val="center"/>
          </w:tcPr>
          <w:p>
            <w:pPr>
              <w:pStyle w:val="单元格样式2"/>
            </w:pPr>
            <w:r>
              <w:t xml:space="preserve">≥95水生态100%得到改善</w:t>
            </w:r>
          </w:p>
        </w:tc>
        <w:tc>
          <w:tcPr>
            <w:tcW w:w="1276" w:type="dxa"/>
            <w:vAlign w:val="center"/>
          </w:tcPr>
          <w:p>
            <w:pPr>
              <w:pStyle w:val="单元格样式2"/>
            </w:pPr>
            <w:r>
              <w:t xml:space="preserve">实际情况</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≥95服务对象满意度</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2、2023年第二批新增政府债券新乐市第一污水处理厂尾水导排资源化利用项目绩效目标表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13018423P003121100018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2023年第二批新增政府债券新乐市第一污水处理厂尾水导排资源化利用项目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用于新乐市第一污水处理厂尾水导排资源化利用项目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325.80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为保证新乐市第一污水处理厂尾水导排资源化利用项目顺利完工验收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≥95工程完工情况</w:t>
            </w:r>
          </w:p>
        </w:tc>
        <w:tc>
          <w:tcPr>
            <w:tcW w:w="1276" w:type="dxa"/>
            <w:vAlign w:val="center"/>
          </w:tcPr>
          <w:p>
            <w:pPr>
              <w:pStyle w:val="单元格样式2"/>
            </w:pPr>
            <w:r>
              <w:t xml:space="preserve">工程完成率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≥95工程完工合格情况</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≥95工程完工及时率</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工程预算控制数</w:t>
            </w:r>
          </w:p>
        </w:tc>
        <w:tc>
          <w:tcPr>
            <w:tcW w:w="2268" w:type="dxa"/>
            <w:vAlign w:val="center"/>
          </w:tcPr>
          <w:p>
            <w:pPr>
              <w:pStyle w:val="单元格样式2"/>
            </w:pPr>
            <w:r>
              <w:t xml:space="preserve">325.8万元</w:t>
            </w:r>
          </w:p>
        </w:tc>
        <w:tc>
          <w:tcPr>
            <w:tcW w:w="1276" w:type="dxa"/>
            <w:vAlign w:val="center"/>
          </w:tcPr>
          <w:p>
            <w:pPr>
              <w:pStyle w:val="单元格样式2"/>
            </w:pPr>
            <w:r>
              <w:t xml:space="preserve">实际拨付</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≥95在全市产生重要影响</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≥95服务对象满意情况</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3、2024年第七批新增一般债券新乐市邮电街、建新街道路提升改造工程绩效目标表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13018424P00493610001T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2024年第七批新增一般债券新乐市邮电街、建新街道路提升改造工程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用于新乐市邮电街、建新街道路提升改造工程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85.45</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1.为完成新乐市邮电街、建新街道路提升改造。</w:t>
            </w:r>
          </w:p>
          <w:p>
            <w:pPr>
              <w:pStyle w:val="单元格样式2"/>
            </w:pPr>
            <w:r>
              <w:t xml:space="preserve">2.为保障道路畅通，保证新乐市市民安全出行。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工程建设覆盖率</w:t>
            </w:r>
          </w:p>
        </w:tc>
        <w:tc>
          <w:tcPr>
            <w:tcW w:w="2268" w:type="dxa"/>
            <w:vAlign w:val="center"/>
          </w:tcPr>
          <w:p>
            <w:pPr>
              <w:pStyle w:val="单元格样式2"/>
            </w:pPr>
            <w:r>
              <w:t xml:space="preserve">≥95%</w:t>
            </w:r>
          </w:p>
        </w:tc>
        <w:tc>
          <w:tcPr>
            <w:tcW w:w="1276" w:type="dxa"/>
            <w:vAlign w:val="center"/>
          </w:tcPr>
          <w:p>
            <w:pPr>
              <w:pStyle w:val="单元格样式2"/>
            </w:pPr>
            <w:r>
              <w:t xml:space="preserve">工程覆盖率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工程建设合格率</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工程建设完工及时率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工程建设完工及时率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控制价</w:t>
            </w:r>
          </w:p>
        </w:tc>
        <w:tc>
          <w:tcPr>
            <w:tcW w:w="5386" w:type="dxa"/>
            <w:vAlign w:val="center"/>
          </w:tcPr>
          <w:p>
            <w:pPr>
              <w:pStyle w:val="单元格样式2"/>
            </w:pPr>
            <w:r>
              <w:t xml:space="preserve">需拨付工程款</w:t>
            </w:r>
          </w:p>
        </w:tc>
        <w:tc>
          <w:tcPr>
            <w:tcW w:w="2268" w:type="dxa"/>
            <w:vAlign w:val="center"/>
          </w:tcPr>
          <w:p>
            <w:pPr>
              <w:pStyle w:val="单元格样式2"/>
            </w:pPr>
            <w:r>
              <w:t xml:space="preserve">85.45万元</w:t>
            </w:r>
          </w:p>
        </w:tc>
        <w:tc>
          <w:tcPr>
            <w:tcW w:w="1276" w:type="dxa"/>
            <w:vAlign w:val="center"/>
          </w:tcPr>
          <w:p>
            <w:pPr>
              <w:pStyle w:val="单元格样式2"/>
            </w:pPr>
            <w:r>
              <w:t xml:space="preserve">工程款及时拨付</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在全市产生重要影响，得到广大受众的认可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4、2024年第十批新增债券-新乐市城镇集中供热提升工程绩效目标表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13018424P00507910001M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2024年第十批新增债券-新乐市城镇集中供热提升工程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用于新乐市城镇集中供热提升工程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214.50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1.切实做好我市城镇冬季集中供热工作，缓解我市供热企业压力。</w:t>
            </w:r>
          </w:p>
          <w:p>
            <w:pPr>
              <w:pStyle w:val="单元格样式2"/>
            </w:pPr>
            <w:r>
              <w:t xml:space="preserve">2.为保障新乐市市民供暖。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城镇集中供热提升工程建设</w:t>
            </w:r>
          </w:p>
        </w:tc>
        <w:tc>
          <w:tcPr>
            <w:tcW w:w="5386" w:type="dxa"/>
            <w:vAlign w:val="center"/>
          </w:tcPr>
          <w:p>
            <w:pPr>
              <w:pStyle w:val="单元格样式2"/>
            </w:pPr>
            <w:r>
              <w:t xml:space="preserve">反映城镇集中供热提升工程实际完成情况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反映城镇集中供热提升工程实际完成情况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工程完工及时率</w:t>
            </w:r>
          </w:p>
        </w:tc>
        <w:tc>
          <w:tcPr>
            <w:tcW w:w="5386" w:type="dxa"/>
            <w:vAlign w:val="center"/>
          </w:tcPr>
          <w:p>
            <w:pPr>
              <w:pStyle w:val="单元格样式2"/>
            </w:pPr>
            <w:r>
              <w:t xml:space="preserve">反映工程建设及时完工情况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工程是否及时完成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反映城镇集中供热提升工程单位成本控制情况</w:t>
            </w:r>
          </w:p>
        </w:tc>
        <w:tc>
          <w:tcPr>
            <w:tcW w:w="2268" w:type="dxa"/>
            <w:vAlign w:val="center"/>
          </w:tcPr>
          <w:p>
            <w:pPr>
              <w:pStyle w:val="单元格样式2"/>
            </w:pPr>
            <w:r>
              <w:t xml:space="preserve">214.5万元</w:t>
            </w:r>
          </w:p>
        </w:tc>
        <w:tc>
          <w:tcPr>
            <w:tcW w:w="1276" w:type="dxa"/>
            <w:vAlign w:val="center"/>
          </w:tcPr>
          <w:p>
            <w:pPr>
              <w:pStyle w:val="单元格样式2"/>
            </w:pPr>
            <w:r>
              <w:t xml:space="preserve">工程单位成本控制情况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5、2024年第十批新增债券-新乐市燃气行业智慧监管平台建设项目绩效目标表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13018424P00507710001A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2024年第十批新增债券-新乐市燃气行业智慧监管平台建设项目</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777.86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777.86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用于新乐市燃气行业智慧监管平台建设项目</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777.86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1.通过建设新乐市燃气智慧监管平台加快了推进我市区燃气行业监管信息化。</w:t>
            </w:r>
          </w:p>
          <w:p>
            <w:pPr>
              <w:pStyle w:val="单元格样式2"/>
            </w:pPr>
            <w:r>
              <w:t xml:space="preserve">2.通过建设新乐市燃气智慧监管平台确保了实现“省、市、县、企业四级联网。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智慧监管平台建设</w:t>
            </w:r>
          </w:p>
        </w:tc>
        <w:tc>
          <w:tcPr>
            <w:tcW w:w="5386" w:type="dxa"/>
            <w:vAlign w:val="center"/>
          </w:tcPr>
          <w:p>
            <w:pPr>
              <w:pStyle w:val="单元格样式2"/>
            </w:pPr>
            <w:r>
              <w:t xml:space="preserve">反映智慧监管平台建设实际完成情况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智慧监管平台建设实际完成情况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工程完工及时率</w:t>
            </w:r>
          </w:p>
        </w:tc>
        <w:tc>
          <w:tcPr>
            <w:tcW w:w="5386" w:type="dxa"/>
            <w:vAlign w:val="center"/>
          </w:tcPr>
          <w:p>
            <w:pPr>
              <w:pStyle w:val="单元格样式2"/>
            </w:pPr>
            <w:r>
              <w:t xml:space="preserve">反映工程建设及时完工情况</w:t>
            </w:r>
          </w:p>
        </w:tc>
        <w:tc>
          <w:tcPr>
            <w:tcW w:w="2268" w:type="dxa"/>
            <w:vAlign w:val="center"/>
          </w:tcPr>
          <w:p>
            <w:pPr>
              <w:pStyle w:val="单元格样式2"/>
            </w:pPr>
            <w:r>
              <w:t xml:space="preserve">≥95百分比</w:t>
            </w:r>
          </w:p>
        </w:tc>
        <w:tc>
          <w:tcPr>
            <w:tcW w:w="1276" w:type="dxa"/>
            <w:vAlign w:val="center"/>
          </w:tcPr>
          <w:p>
            <w:pPr>
              <w:pStyle w:val="单元格样式2"/>
            </w:pPr>
            <w:r>
              <w:t xml:space="preserve">工程是否及时完成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反映项目燃气监管平台工程单位成本控制情况</w:t>
            </w:r>
          </w:p>
        </w:tc>
        <w:tc>
          <w:tcPr>
            <w:tcW w:w="2268" w:type="dxa"/>
            <w:vAlign w:val="center"/>
          </w:tcPr>
          <w:p>
            <w:pPr>
              <w:pStyle w:val="单元格样式2"/>
            </w:pPr>
            <w:r>
              <w:t xml:space="preserve">777.86元</w:t>
            </w:r>
          </w:p>
        </w:tc>
        <w:tc>
          <w:tcPr>
            <w:tcW w:w="1276" w:type="dxa"/>
            <w:vAlign w:val="center"/>
          </w:tcPr>
          <w:p>
            <w:pPr>
              <w:pStyle w:val="单元格样式2"/>
            </w:pPr>
            <w:r>
              <w:t xml:space="preserve">工程单位成本控制情况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6、2025年本级支出-2024年度集中供热燃煤资金绩效目标表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13018425P00010610001B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2025年本级支出-2024年度集中供热燃煤资金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用于2024年度集中供热燃煤资金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3800.00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1.确保我市冬季供热工作顺利开展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采购燃煤吨数</w:t>
            </w:r>
          </w:p>
        </w:tc>
        <w:tc>
          <w:tcPr>
            <w:tcW w:w="5386" w:type="dxa"/>
            <w:vAlign w:val="center"/>
          </w:tcPr>
          <w:p>
            <w:pPr>
              <w:pStyle w:val="单元格样式2"/>
            </w:pPr>
            <w:r>
              <w:t xml:space="preserve">采购燃煤吨数</w:t>
            </w:r>
          </w:p>
        </w:tc>
        <w:tc>
          <w:tcPr>
            <w:tcW w:w="2268" w:type="dxa"/>
            <w:vAlign w:val="center"/>
          </w:tcPr>
          <w:p>
            <w:pPr>
              <w:pStyle w:val="单元格样式2"/>
            </w:pPr>
            <w:r>
              <w:t xml:space="preserve">10.5万吨</w:t>
            </w:r>
          </w:p>
        </w:tc>
        <w:tc>
          <w:tcPr>
            <w:tcW w:w="1276" w:type="dxa"/>
            <w:vAlign w:val="center"/>
          </w:tcPr>
          <w:p>
            <w:pPr>
              <w:pStyle w:val="单元格样式2"/>
            </w:pPr>
            <w:r>
              <w:t xml:space="preserve">采购燃煤吨数</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供热质量合格率</w:t>
            </w:r>
          </w:p>
        </w:tc>
        <w:tc>
          <w:tcPr>
            <w:tcW w:w="5386" w:type="dxa"/>
            <w:vAlign w:val="center"/>
          </w:tcPr>
          <w:p>
            <w:pPr>
              <w:pStyle w:val="单元格样式2"/>
            </w:pPr>
            <w:r>
              <w:t xml:space="preserve">供热质量合格率</w:t>
            </w:r>
          </w:p>
        </w:tc>
        <w:tc>
          <w:tcPr>
            <w:tcW w:w="2268" w:type="dxa"/>
            <w:vAlign w:val="center"/>
          </w:tcPr>
          <w:p>
            <w:pPr>
              <w:pStyle w:val="单元格样式2"/>
            </w:pPr>
            <w:r>
              <w:t xml:space="preserve">≥95%</w:t>
            </w:r>
          </w:p>
        </w:tc>
        <w:tc>
          <w:tcPr>
            <w:tcW w:w="1276" w:type="dxa"/>
            <w:vAlign w:val="center"/>
          </w:tcPr>
          <w:p>
            <w:pPr>
              <w:pStyle w:val="单元格样式2"/>
            </w:pPr>
            <w:r>
              <w:t xml:space="preserve">供热质量合格率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集中供热及时率</w:t>
            </w:r>
          </w:p>
        </w:tc>
        <w:tc>
          <w:tcPr>
            <w:tcW w:w="5386" w:type="dxa"/>
            <w:vAlign w:val="center"/>
          </w:tcPr>
          <w:p>
            <w:pPr>
              <w:pStyle w:val="单元格样式2"/>
            </w:pPr>
            <w:r>
              <w:t xml:space="preserve">集中供热及时率</w:t>
            </w:r>
          </w:p>
        </w:tc>
        <w:tc>
          <w:tcPr>
            <w:tcW w:w="2268" w:type="dxa"/>
            <w:vAlign w:val="center"/>
          </w:tcPr>
          <w:p>
            <w:pPr>
              <w:pStyle w:val="单元格样式2"/>
            </w:pPr>
            <w:r>
              <w:t xml:space="preserve">≥95%</w:t>
            </w:r>
          </w:p>
        </w:tc>
        <w:tc>
          <w:tcPr>
            <w:tcW w:w="1276" w:type="dxa"/>
            <w:vAlign w:val="center"/>
          </w:tcPr>
          <w:p>
            <w:pPr>
              <w:pStyle w:val="单元格样式2"/>
            </w:pPr>
            <w:r>
              <w:t xml:space="preserve">集中供热及时率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补贴资金数</w:t>
            </w:r>
          </w:p>
        </w:tc>
        <w:tc>
          <w:tcPr>
            <w:tcW w:w="5386" w:type="dxa"/>
            <w:vAlign w:val="center"/>
          </w:tcPr>
          <w:p>
            <w:pPr>
              <w:pStyle w:val="单元格样式2"/>
            </w:pPr>
            <w:r>
              <w:t xml:space="preserve">增加补贴资金数</w:t>
            </w:r>
          </w:p>
        </w:tc>
        <w:tc>
          <w:tcPr>
            <w:tcW w:w="2268" w:type="dxa"/>
            <w:vAlign w:val="center"/>
          </w:tcPr>
          <w:p>
            <w:pPr>
              <w:pStyle w:val="单元格样式2"/>
            </w:pPr>
            <w:r>
              <w:t xml:space="preserve">3800万元</w:t>
            </w:r>
          </w:p>
        </w:tc>
        <w:tc>
          <w:tcPr>
            <w:tcW w:w="1276" w:type="dxa"/>
            <w:vAlign w:val="center"/>
          </w:tcPr>
          <w:p>
            <w:pPr>
              <w:pStyle w:val="单元格样式2"/>
            </w:pPr>
            <w:r>
              <w:t xml:space="preserve">补贴资金数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在新乐全市产生重大的影响，得到广大群众的一致认可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7、2025年本级支出-新乐市城区照明亮化电费绩效目标表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13018425P00011210001U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2025年本级支出-新乐市城区照明亮化电费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用于城区亮化电费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1.为保证提升新乐市夜间景观效果，保障人民夜间出行安全。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城区亮化工程覆盖率</w:t>
            </w:r>
          </w:p>
        </w:tc>
        <w:tc>
          <w:tcPr>
            <w:tcW w:w="5386" w:type="dxa"/>
            <w:vAlign w:val="center"/>
          </w:tcPr>
          <w:p>
            <w:pPr>
              <w:pStyle w:val="单元格样式2"/>
            </w:pPr>
            <w:r>
              <w:t xml:space="preserve">新乐市城区亮化情况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新乐市城区亮化覆盖率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城区照明亮化合格率</w:t>
            </w:r>
          </w:p>
        </w:tc>
        <w:tc>
          <w:tcPr>
            <w:tcW w:w="5386" w:type="dxa"/>
            <w:vAlign w:val="center"/>
          </w:tcPr>
          <w:p>
            <w:pPr>
              <w:pStyle w:val="单元格样式2"/>
            </w:pPr>
            <w:r>
              <w:t xml:space="preserve">城区照明亮化合格情况</w:t>
            </w:r>
          </w:p>
        </w:tc>
        <w:tc>
          <w:tcPr>
            <w:tcW w:w="2268" w:type="dxa"/>
            <w:vAlign w:val="center"/>
          </w:tcPr>
          <w:p>
            <w:pPr>
              <w:pStyle w:val="单元格样式2"/>
            </w:pPr>
            <w:r>
              <w:t xml:space="preserve">≥95%</w:t>
            </w:r>
          </w:p>
        </w:tc>
        <w:tc>
          <w:tcPr>
            <w:tcW w:w="1276" w:type="dxa"/>
            <w:vAlign w:val="center"/>
          </w:tcPr>
          <w:p>
            <w:pPr>
              <w:pStyle w:val="单元格样式2"/>
            </w:pPr>
            <w:r>
              <w:t xml:space="preserve">新乐市城区照明亮化合格率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城区照明亮化及时率</w:t>
            </w:r>
          </w:p>
        </w:tc>
        <w:tc>
          <w:tcPr>
            <w:tcW w:w="5386" w:type="dxa"/>
            <w:vAlign w:val="center"/>
          </w:tcPr>
          <w:p>
            <w:pPr>
              <w:pStyle w:val="单元格样式2"/>
            </w:pPr>
            <w:r>
              <w:t xml:space="preserve">及时完成照明亮化</w:t>
            </w:r>
          </w:p>
        </w:tc>
        <w:tc>
          <w:tcPr>
            <w:tcW w:w="2268" w:type="dxa"/>
            <w:vAlign w:val="center"/>
          </w:tcPr>
          <w:p>
            <w:pPr>
              <w:pStyle w:val="单元格样式2"/>
            </w:pPr>
            <w:r>
              <w:t xml:space="preserve">≥95%</w:t>
            </w:r>
          </w:p>
        </w:tc>
        <w:tc>
          <w:tcPr>
            <w:tcW w:w="1276" w:type="dxa"/>
            <w:vAlign w:val="center"/>
          </w:tcPr>
          <w:p>
            <w:pPr>
              <w:pStyle w:val="单元格样式2"/>
            </w:pPr>
            <w:r>
              <w:t xml:space="preserve">是否及时完成照明亮化</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100万元</w:t>
            </w:r>
          </w:p>
        </w:tc>
        <w:tc>
          <w:tcPr>
            <w:tcW w:w="1276" w:type="dxa"/>
            <w:vAlign w:val="center"/>
          </w:tcPr>
          <w:p>
            <w:pPr>
              <w:pStyle w:val="单元格样式2"/>
            </w:pPr>
            <w:r>
              <w:t xml:space="preserve">及时拨付情况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在全市产生的重要影响</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8、2025年本级支出-新乐市农村生活垃圾市场化托管费用绩效目标表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13018425P00011310001H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2025年本级支出-新乐市农村生活垃圾市场化托管费用</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204.95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204.95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用于支付农村生活垃圾市场化托管费用</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204.95</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1.为进一步打造干净、整洁、有序的城乡环境。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垃圾托管覆盖率</w:t>
            </w:r>
          </w:p>
        </w:tc>
        <w:tc>
          <w:tcPr>
            <w:tcW w:w="5386" w:type="dxa"/>
            <w:vAlign w:val="center"/>
          </w:tcPr>
          <w:p>
            <w:pPr>
              <w:pStyle w:val="单元格样式2"/>
            </w:pPr>
            <w:r>
              <w:t xml:space="preserve">垃圾托管覆盖160个村</w:t>
            </w:r>
          </w:p>
        </w:tc>
        <w:tc>
          <w:tcPr>
            <w:tcW w:w="2268" w:type="dxa"/>
            <w:vAlign w:val="center"/>
          </w:tcPr>
          <w:p>
            <w:pPr>
              <w:pStyle w:val="单元格样式2"/>
            </w:pPr>
            <w:r>
              <w:t xml:space="preserve">160个村</w:t>
            </w:r>
          </w:p>
        </w:tc>
        <w:tc>
          <w:tcPr>
            <w:tcW w:w="1276" w:type="dxa"/>
            <w:vAlign w:val="center"/>
          </w:tcPr>
          <w:p>
            <w:pPr>
              <w:pStyle w:val="单元格样式2"/>
            </w:pPr>
            <w:r>
              <w:t xml:space="preserve">垃圾托管覆盖率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生活垃圾处理率</w:t>
            </w:r>
          </w:p>
        </w:tc>
        <w:tc>
          <w:tcPr>
            <w:tcW w:w="5386" w:type="dxa"/>
            <w:vAlign w:val="center"/>
          </w:tcPr>
          <w:p>
            <w:pPr>
              <w:pStyle w:val="单元格样式2"/>
            </w:pPr>
            <w:r>
              <w:t xml:space="preserve">生活垃圾日处理量</w:t>
            </w:r>
          </w:p>
        </w:tc>
        <w:tc>
          <w:tcPr>
            <w:tcW w:w="2268" w:type="dxa"/>
            <w:vAlign w:val="center"/>
          </w:tcPr>
          <w:p>
            <w:pPr>
              <w:pStyle w:val="单元格样式2"/>
            </w:pPr>
            <w:r>
              <w:t xml:space="preserve">≥95%</w:t>
            </w:r>
          </w:p>
        </w:tc>
        <w:tc>
          <w:tcPr>
            <w:tcW w:w="1276" w:type="dxa"/>
            <w:vAlign w:val="center"/>
          </w:tcPr>
          <w:p>
            <w:pPr>
              <w:pStyle w:val="单元格样式2"/>
            </w:pPr>
            <w:r>
              <w:t xml:space="preserve">生活垃圾处理率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生活垃圾处理及时率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2472万元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9、2025年本级支出-新能源环卫作业车辆电费绩效目标表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13018425P00011210002F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2025年本级支出-新能源环卫作业车辆电费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用于支付新乐市新能源环卫作业车辆电费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1.为进一步做好城区环卫保洁及助力大气污染防治工作。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反映充电桩使用情况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反映充电桩合格使用情况</w:t>
            </w:r>
          </w:p>
        </w:tc>
        <w:tc>
          <w:tcPr>
            <w:tcW w:w="2268" w:type="dxa"/>
            <w:vAlign w:val="center"/>
          </w:tcPr>
          <w:p>
            <w:pPr>
              <w:pStyle w:val="单元格样式2"/>
            </w:pPr>
            <w:r>
              <w:t xml:space="preserve">≥95%</w:t>
            </w:r>
          </w:p>
        </w:tc>
        <w:tc>
          <w:tcPr>
            <w:tcW w:w="1276" w:type="dxa"/>
            <w:vAlign w:val="center"/>
          </w:tcPr>
          <w:p>
            <w:pPr>
              <w:pStyle w:val="单元格样式2"/>
            </w:pPr>
            <w:r>
              <w:t xml:space="preserve">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反映电费及时拨付情况</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预算控制数</w:t>
            </w:r>
          </w:p>
        </w:tc>
        <w:tc>
          <w:tcPr>
            <w:tcW w:w="2268" w:type="dxa"/>
            <w:vAlign w:val="center"/>
          </w:tcPr>
          <w:p>
            <w:pPr>
              <w:pStyle w:val="单元格样式2"/>
            </w:pPr>
            <w:r>
              <w:t xml:space="preserve">30万元</w:t>
            </w:r>
          </w:p>
        </w:tc>
        <w:tc>
          <w:tcPr>
            <w:tcW w:w="1276" w:type="dxa"/>
            <w:vAlign w:val="center"/>
          </w:tcPr>
          <w:p>
            <w:pPr>
              <w:pStyle w:val="单元格样式2"/>
            </w:pPr>
            <w:r>
              <w:t xml:space="preserve">拨付情况</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在全市产生重要的影响，得到广大群众的认可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10、2025年本级支出-占地补偿款绩效目标表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13018425P00522210011K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2025年本级支出-占地补偿款</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1425.23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1425.23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用于支付占地补偿款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1425.23</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1.按期支付占地补偿款，保证项目正常运转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占地补偿数量</w:t>
            </w:r>
          </w:p>
        </w:tc>
        <w:tc>
          <w:tcPr>
            <w:tcW w:w="5386" w:type="dxa"/>
            <w:vAlign w:val="center"/>
          </w:tcPr>
          <w:p>
            <w:pPr>
              <w:pStyle w:val="单元格样式2"/>
            </w:pPr>
            <w:r>
              <w:t xml:space="preserve">占地补偿数</w:t>
            </w:r>
          </w:p>
        </w:tc>
        <w:tc>
          <w:tcPr>
            <w:tcW w:w="2268" w:type="dxa"/>
            <w:vAlign w:val="center"/>
          </w:tcPr>
          <w:p>
            <w:pPr>
              <w:pStyle w:val="单元格样式2"/>
            </w:pPr>
            <w:r>
              <w:t xml:space="preserve">5个</w:t>
            </w:r>
          </w:p>
        </w:tc>
        <w:tc>
          <w:tcPr>
            <w:tcW w:w="1276" w:type="dxa"/>
            <w:vAlign w:val="center"/>
          </w:tcPr>
          <w:p>
            <w:pPr>
              <w:pStyle w:val="单元格样式2"/>
            </w:pPr>
            <w:r>
              <w:t xml:space="preserve">占地补偿数量</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合格率</w:t>
            </w:r>
          </w:p>
        </w:tc>
        <w:tc>
          <w:tcPr>
            <w:tcW w:w="5386" w:type="dxa"/>
            <w:vAlign w:val="center"/>
          </w:tcPr>
          <w:p>
            <w:pPr>
              <w:pStyle w:val="单元格样式2"/>
            </w:pPr>
            <w:r>
              <w:t xml:space="preserve">发放合格率</w:t>
            </w:r>
          </w:p>
        </w:tc>
        <w:tc>
          <w:tcPr>
            <w:tcW w:w="2268" w:type="dxa"/>
            <w:vAlign w:val="center"/>
          </w:tcPr>
          <w:p>
            <w:pPr>
              <w:pStyle w:val="单元格样式2"/>
            </w:pPr>
            <w:r>
              <w:t xml:space="preserve">100%</w:t>
            </w:r>
          </w:p>
        </w:tc>
        <w:tc>
          <w:tcPr>
            <w:tcW w:w="1276" w:type="dxa"/>
            <w:vAlign w:val="center"/>
          </w:tcPr>
          <w:p>
            <w:pPr>
              <w:pStyle w:val="单元格样式2"/>
            </w:pPr>
            <w:r>
              <w:t xml:space="preserve">合格率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占地补偿款发放及时率</w:t>
            </w:r>
          </w:p>
        </w:tc>
        <w:tc>
          <w:tcPr>
            <w:tcW w:w="2268" w:type="dxa"/>
            <w:vAlign w:val="center"/>
          </w:tcPr>
          <w:p>
            <w:pPr>
              <w:pStyle w:val="单元格样式2"/>
            </w:pPr>
            <w:r>
              <w:t xml:space="preserve">100%</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占地款</w:t>
            </w:r>
          </w:p>
        </w:tc>
        <w:tc>
          <w:tcPr>
            <w:tcW w:w="5386" w:type="dxa"/>
            <w:vAlign w:val="center"/>
          </w:tcPr>
          <w:p>
            <w:pPr>
              <w:pStyle w:val="单元格样式2"/>
            </w:pPr>
            <w:r>
              <w:t xml:space="preserve">占地款</w:t>
            </w:r>
          </w:p>
        </w:tc>
        <w:tc>
          <w:tcPr>
            <w:tcW w:w="2268" w:type="dxa"/>
            <w:vAlign w:val="center"/>
          </w:tcPr>
          <w:p>
            <w:pPr>
              <w:pStyle w:val="单元格样式2"/>
            </w:pPr>
            <w:r>
              <w:t xml:space="preserve">1425.23万元</w:t>
            </w:r>
          </w:p>
        </w:tc>
        <w:tc>
          <w:tcPr>
            <w:tcW w:w="1276" w:type="dxa"/>
            <w:vAlign w:val="center"/>
          </w:tcPr>
          <w:p>
            <w:pPr>
              <w:pStyle w:val="单元格样式2"/>
            </w:pPr>
            <w:r>
              <w:t xml:space="preserve">占地款</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在全市产生的影响</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被征地对象满意度</w:t>
            </w:r>
          </w:p>
        </w:tc>
        <w:tc>
          <w:tcPr>
            <w:tcW w:w="5386" w:type="dxa"/>
            <w:vAlign w:val="center"/>
          </w:tcPr>
          <w:p>
            <w:pPr>
              <w:pStyle w:val="单元格样式2"/>
            </w:pPr>
            <w:r>
              <w:t xml:space="preserve">被征地对象满意度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被征地对象满意度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11、冀财建【2024】237号文提前下达2025年中央大气污染防治资金（用于农村地区气代煤电代煤改造任务运行补助）绩效目标表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13018425P000075100024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冀财建【2024】237号文提前下达2025年中央大气污染防治资金（用于农村地区气代煤电代煤改造任务运行补助）</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用于大气污染防治资金（农村地区气代煤电代煤改造任务运行补助）</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519.00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1.为确保农村清洁取暖补贴足额到位，及早惠及广大群众。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519万元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12、冀财建【2024】307号文-关于清算2021年农村地区清洁取暖改造任务省级补贴绩效目标表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冀财建【2024】307号文-关于清算2021年农村地区清洁取暖改造任务省级补贴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36.09</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1.为保证农村地区清洁取暖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36.09万元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13、冀财资环[2024]89号-大气污染防治专项资金绩效目标表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冀财资环[2024]89号-大气污染防治专项资金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442.00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1.为保证农村地区清洁取暖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442万元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14、冀财资环【2024】90号文关于提前下达2025年中央大气污染防治资金绩效目标表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13018425P00007510003P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冀财资环【2024】90号文关于提前下达2025年中央大气污染防治资金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976.00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976.00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用于大气污染防治</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976.00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1.用于农村地区清洁取暖，保障新乐市民顺利过冬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补助人数覆盖率</w:t>
            </w:r>
          </w:p>
        </w:tc>
        <w:tc>
          <w:tcPr>
            <w:tcW w:w="2268" w:type="dxa"/>
            <w:vAlign w:val="center"/>
          </w:tcPr>
          <w:p>
            <w:pPr>
              <w:pStyle w:val="单元格样式2"/>
            </w:pPr>
            <w:r>
              <w:t xml:space="preserve">≥95%</w:t>
            </w:r>
          </w:p>
        </w:tc>
        <w:tc>
          <w:tcPr>
            <w:tcW w:w="1276" w:type="dxa"/>
            <w:vAlign w:val="center"/>
          </w:tcPr>
          <w:p>
            <w:pPr>
              <w:pStyle w:val="单元格样式2"/>
            </w:pPr>
            <w:r>
              <w:t xml:space="preserve">覆盖率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已经补助人数占总补助人数的比例</w:t>
            </w:r>
          </w:p>
        </w:tc>
        <w:tc>
          <w:tcPr>
            <w:tcW w:w="2268" w:type="dxa"/>
            <w:vAlign w:val="center"/>
          </w:tcPr>
          <w:p>
            <w:pPr>
              <w:pStyle w:val="单元格样式2"/>
            </w:pPr>
            <w:r>
              <w:t xml:space="preserve">≥95%</w:t>
            </w:r>
          </w:p>
        </w:tc>
        <w:tc>
          <w:tcPr>
            <w:tcW w:w="1276" w:type="dxa"/>
            <w:vAlign w:val="center"/>
          </w:tcPr>
          <w:p>
            <w:pPr>
              <w:pStyle w:val="单元格样式2"/>
            </w:pPr>
            <w:r>
              <w:t xml:space="preserve">完成率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及时率</w:t>
            </w:r>
          </w:p>
        </w:tc>
        <w:tc>
          <w:tcPr>
            <w:tcW w:w="5386" w:type="dxa"/>
            <w:vAlign w:val="center"/>
          </w:tcPr>
          <w:p>
            <w:pPr>
              <w:pStyle w:val="单元格样式2"/>
            </w:pPr>
            <w:r>
              <w:t xml:space="preserve">补助及时率</w:t>
            </w:r>
          </w:p>
        </w:tc>
        <w:tc>
          <w:tcPr>
            <w:tcW w:w="2268" w:type="dxa"/>
            <w:vAlign w:val="center"/>
          </w:tcPr>
          <w:p>
            <w:pPr>
              <w:pStyle w:val="单元格样式2"/>
            </w:pPr>
            <w:r>
              <w:t xml:space="preserve">≥95%</w:t>
            </w:r>
          </w:p>
        </w:tc>
        <w:tc>
          <w:tcPr>
            <w:tcW w:w="1276" w:type="dxa"/>
            <w:vAlign w:val="center"/>
          </w:tcPr>
          <w:p>
            <w:pPr>
              <w:pStyle w:val="单元格样式2"/>
            </w:pPr>
            <w:r>
              <w:t xml:space="preserve">及时率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上级下达数</w:t>
            </w:r>
          </w:p>
        </w:tc>
        <w:tc>
          <w:tcPr>
            <w:tcW w:w="2268" w:type="dxa"/>
            <w:vAlign w:val="center"/>
          </w:tcPr>
          <w:p>
            <w:pPr>
              <w:pStyle w:val="单元格样式2"/>
            </w:pPr>
            <w:r>
              <w:t xml:space="preserve">976万元</w:t>
            </w:r>
          </w:p>
        </w:tc>
        <w:tc>
          <w:tcPr>
            <w:tcW w:w="1276" w:type="dxa"/>
            <w:vAlign w:val="center"/>
          </w:tcPr>
          <w:p>
            <w:pPr>
              <w:pStyle w:val="单元格样式2"/>
            </w:pPr>
            <w:r>
              <w:t xml:space="preserve">控制数</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在全市产生影响得到全市人民的认可</w:t>
            </w:r>
          </w:p>
        </w:tc>
        <w:tc>
          <w:tcPr>
            <w:tcW w:w="2268" w:type="dxa"/>
            <w:vAlign w:val="center"/>
          </w:tcPr>
          <w:p>
            <w:pPr>
              <w:pStyle w:val="单元格样式2"/>
            </w:pPr>
            <w:r>
              <w:t xml:space="preserve">≥95%</w:t>
            </w:r>
          </w:p>
        </w:tc>
        <w:tc>
          <w:tcPr>
            <w:tcW w:w="1276" w:type="dxa"/>
            <w:vAlign w:val="center"/>
          </w:tcPr>
          <w:p>
            <w:pPr>
              <w:pStyle w:val="单元格样式2"/>
            </w:pPr>
            <w:r>
              <w:t xml:space="preserve">社会影响力</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服务对象满意度</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15、新乐市城区排水管网提升改造工程国债项目（冀财预【2023】74号）绩效目标表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13018423P00388510001G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新乐市城区排水管网提升改造工程国债项目（冀财预【2023】74号）</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7490.93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7490.93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7490.93</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1.用于新乐市排水管道、排涝泵站、调蓄设施、排涝通道建设顺利进行。保证新乐市城市排水防涝工作。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建设、改造、修缮工程量（平米、公里、个数、亩等）</w:t>
            </w:r>
          </w:p>
        </w:tc>
        <w:tc>
          <w:tcPr>
            <w:tcW w:w="5386" w:type="dxa"/>
            <w:vAlign w:val="center"/>
          </w:tcPr>
          <w:p>
            <w:pPr>
              <w:pStyle w:val="单元格样式2"/>
            </w:pPr>
            <w:r>
              <w:t xml:space="preserve">新建污水管道16km，雨水管道10km。对762个错接点改造。</w:t>
            </w:r>
          </w:p>
        </w:tc>
        <w:tc>
          <w:tcPr>
            <w:tcW w:w="2268" w:type="dxa"/>
            <w:vAlign w:val="center"/>
          </w:tcPr>
          <w:p>
            <w:pPr>
              <w:pStyle w:val="单元格样式2"/>
            </w:pPr>
            <w:r>
              <w:t xml:space="preserve">≥26公里</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配套设施完成率</w:t>
            </w:r>
          </w:p>
        </w:tc>
        <w:tc>
          <w:tcPr>
            <w:tcW w:w="5386" w:type="dxa"/>
            <w:vAlign w:val="center"/>
          </w:tcPr>
          <w:p>
            <w:pPr>
              <w:pStyle w:val="单元格样式2"/>
            </w:pPr>
            <w:r>
              <w:t xml:space="preserve">实际完成配套设施量占计划完成配套设施量的100%</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建设工程数量</w:t>
            </w:r>
          </w:p>
        </w:tc>
        <w:tc>
          <w:tcPr>
            <w:tcW w:w="5386" w:type="dxa"/>
            <w:vAlign w:val="center"/>
          </w:tcPr>
          <w:p>
            <w:pPr>
              <w:pStyle w:val="单元格样式2"/>
            </w:pPr>
            <w:r>
              <w:t xml:space="preserve">新建污水管道16km，雨水管道10km。对762个错接点改造。实际完成工程量占计划完成工程量的100%</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竣工验收合格率</w:t>
            </w:r>
          </w:p>
        </w:tc>
        <w:tc>
          <w:tcPr>
            <w:tcW w:w="5386" w:type="dxa"/>
            <w:vAlign w:val="center"/>
          </w:tcPr>
          <w:p>
            <w:pPr>
              <w:pStyle w:val="单元格样式2"/>
            </w:pPr>
            <w:r>
              <w:t xml:space="preserve">项目竣工验收合格率≥98%</w:t>
            </w:r>
          </w:p>
        </w:tc>
        <w:tc>
          <w:tcPr>
            <w:tcW w:w="2268" w:type="dxa"/>
            <w:vAlign w:val="center"/>
          </w:tcPr>
          <w:p>
            <w:pPr>
              <w:pStyle w:val="单元格样式2"/>
            </w:pPr>
            <w:r>
              <w:t xml:space="preserve">≥98%</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项目设计变更不得超过10%</w:t>
            </w:r>
          </w:p>
        </w:tc>
        <w:tc>
          <w:tcPr>
            <w:tcW w:w="2268" w:type="dxa"/>
            <w:vAlign w:val="center"/>
          </w:tcPr>
          <w:p>
            <w:pPr>
              <w:pStyle w:val="单元格样式2"/>
            </w:pPr>
            <w:r>
              <w:t xml:space="preserve">≤10%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工程开工时间</w:t>
            </w:r>
          </w:p>
        </w:tc>
        <w:tc>
          <w:tcPr>
            <w:tcW w:w="5386" w:type="dxa"/>
            <w:vAlign w:val="center"/>
          </w:tcPr>
          <w:p>
            <w:pPr>
              <w:pStyle w:val="单元格样式2"/>
            </w:pPr>
            <w:r>
              <w:t xml:space="preserve">项目工程于2024年3月27日前开工建设</w:t>
            </w:r>
          </w:p>
        </w:tc>
        <w:tc>
          <w:tcPr>
            <w:tcW w:w="2268" w:type="dxa"/>
            <w:vAlign w:val="center"/>
          </w:tcPr>
          <w:p>
            <w:pPr>
              <w:pStyle w:val="单元格样式2"/>
            </w:pPr>
            <w:r>
              <w:t xml:space="preserve">2024年3月27日前</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项目竣工验收时间于2024年12月31日前验收完成</w:t>
            </w:r>
          </w:p>
        </w:tc>
        <w:tc>
          <w:tcPr>
            <w:tcW w:w="2268" w:type="dxa"/>
            <w:vAlign w:val="center"/>
          </w:tcPr>
          <w:p>
            <w:pPr>
              <w:pStyle w:val="单元格样式2"/>
            </w:pPr>
            <w:r>
              <w:t xml:space="preserve">2024年12月31日前</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工程按时完成率</w:t>
            </w:r>
          </w:p>
        </w:tc>
        <w:tc>
          <w:tcPr>
            <w:tcW w:w="5386" w:type="dxa"/>
            <w:vAlign w:val="center"/>
          </w:tcPr>
          <w:p>
            <w:pPr>
              <w:pStyle w:val="单元格样式2"/>
            </w:pPr>
            <w:r>
              <w:t xml:space="preserve">该工程于2024年12月31日前竣工</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工程单位建设成本</w:t>
            </w:r>
          </w:p>
        </w:tc>
        <w:tc>
          <w:tcPr>
            <w:tcW w:w="5386" w:type="dxa"/>
            <w:vAlign w:val="center"/>
          </w:tcPr>
          <w:p>
            <w:pPr>
              <w:pStyle w:val="单元格样式2"/>
            </w:pPr>
            <w:r>
              <w:t xml:space="preserve">严格按照工程量清单及设计图纸进行施工改造</w:t>
            </w:r>
          </w:p>
        </w:tc>
        <w:tc>
          <w:tcPr>
            <w:tcW w:w="2268" w:type="dxa"/>
            <w:vAlign w:val="center"/>
          </w:tcPr>
          <w:p>
            <w:pPr>
              <w:pStyle w:val="单元格样式2"/>
            </w:pPr>
            <w:r>
              <w:t xml:space="preserve">≤100%</w:t>
            </w:r>
          </w:p>
        </w:tc>
        <w:tc>
          <w:tcPr>
            <w:tcW w:w="1276" w:type="dxa"/>
            <w:vAlign w:val="center"/>
          </w:tcPr>
          <w:p>
            <w:pPr>
              <w:pStyle w:val="单元格样式2"/>
            </w:pPr>
            <w:r>
              <w:t xml:space="preserve">初步设计、概算及相关批复</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建筑（工程）综合利用率</w:t>
            </w:r>
          </w:p>
        </w:tc>
        <w:tc>
          <w:tcPr>
            <w:tcW w:w="5386" w:type="dxa"/>
            <w:vAlign w:val="center"/>
          </w:tcPr>
          <w:p>
            <w:pPr>
              <w:pStyle w:val="单元格样式2"/>
            </w:pPr>
            <w:r>
              <w:t xml:space="preserve">项目实施完成后排水管网综合利用情况</w:t>
            </w:r>
          </w:p>
        </w:tc>
        <w:tc>
          <w:tcPr>
            <w:tcW w:w="2268" w:type="dxa"/>
            <w:vAlign w:val="center"/>
          </w:tcPr>
          <w:p>
            <w:pPr>
              <w:pStyle w:val="单元格样式2"/>
            </w:pPr>
            <w:r>
              <w:t xml:space="preserve">≥98%</w:t>
            </w:r>
          </w:p>
        </w:tc>
        <w:tc>
          <w:tcPr>
            <w:tcW w:w="1276" w:type="dxa"/>
            <w:vAlign w:val="center"/>
          </w:tcPr>
          <w:p>
            <w:pPr>
              <w:pStyle w:val="单元格样式2"/>
            </w:pPr>
            <w:r>
              <w:t xml:space="preserve">初步设计、概算及相关批复</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工程建成后排水管网正常使用年限≥30年</w:t>
            </w:r>
          </w:p>
        </w:tc>
        <w:tc>
          <w:tcPr>
            <w:tcW w:w="2268" w:type="dxa"/>
            <w:vAlign w:val="center"/>
          </w:tcPr>
          <w:p>
            <w:pPr>
              <w:pStyle w:val="单元格样式2"/>
            </w:pPr>
            <w:r>
              <w:t xml:space="preserve">≥30年</w:t>
            </w:r>
          </w:p>
        </w:tc>
        <w:tc>
          <w:tcPr>
            <w:tcW w:w="1276" w:type="dxa"/>
            <w:vAlign w:val="center"/>
          </w:tcPr>
          <w:p>
            <w:pPr>
              <w:pStyle w:val="单元格样式2"/>
            </w:pPr>
            <w:r>
              <w:t xml:space="preserve">初步设计、概算及相关批复</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工程建成后通过问卷调查市民对城区排水效率的满意情况≥98%</w:t>
            </w:r>
          </w:p>
        </w:tc>
        <w:tc>
          <w:tcPr>
            <w:tcW w:w="2268" w:type="dxa"/>
            <w:vAlign w:val="center"/>
          </w:tcPr>
          <w:p>
            <w:pPr>
              <w:pStyle w:val="单元格样式2"/>
            </w:pPr>
            <w:r>
              <w:t xml:space="preserve">≥98%</w:t>
            </w:r>
          </w:p>
        </w:tc>
        <w:tc>
          <w:tcPr>
            <w:tcW w:w="1276" w:type="dxa"/>
            <w:vAlign w:val="center"/>
          </w:tcPr>
          <w:p>
            <w:pPr>
              <w:pStyle w:val="单元格样式2"/>
            </w:pPr>
            <w:r>
              <w:t xml:space="preserve">初步设计、概算及相关批复</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16、新乐市城区排水管网提升改造工程国债项目省级配套（冀财建【2023】279号）绩效目标表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13018424P00394010001D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新乐市城区排水管网提升改造工程国债项目省级配套（冀财建【2023】279号）</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1.保障新乐市排水管道、排涝泵站、调蓄设施、排涝通道建设顺利进行。保证新乐市城市排水防涝工作。</w:t>
            </w:r>
            <w:r>
              <w:rPr/>
              <w:tab/>
            </w:r>
            <w:r>
              <w:rPr/>
              <w:tab/>
            </w:r>
            <w:r>
              <w:rPr/>
              <w:tab/>
            </w:r>
            <w:r>
              <w:rPr/>
              <w:tab/>
            </w:r>
            <w:r>
              <w:rPr/>
              <w:tab/>
            </w:r>
            <w:r>
              <w:rP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下达国债数</w:t>
            </w:r>
          </w:p>
        </w:tc>
        <w:tc>
          <w:tcPr>
            <w:tcW w:w="5386" w:type="dxa"/>
            <w:vAlign w:val="center"/>
          </w:tcPr>
          <w:p>
            <w:pPr>
              <w:pStyle w:val="单元格样式2"/>
            </w:pPr>
            <w:r>
              <w:t xml:space="preserve">下达国债资金</w:t>
            </w:r>
          </w:p>
        </w:tc>
        <w:tc>
          <w:tcPr>
            <w:tcW w:w="2268" w:type="dxa"/>
            <w:vAlign w:val="center"/>
          </w:tcPr>
          <w:p>
            <w:pPr>
              <w:pStyle w:val="单元格样式2"/>
            </w:pPr>
            <w:r>
              <w:t xml:space="preserve">375万元</w:t>
            </w:r>
          </w:p>
        </w:tc>
        <w:tc>
          <w:tcPr>
            <w:tcW w:w="1276" w:type="dxa"/>
            <w:vAlign w:val="center"/>
          </w:tcPr>
          <w:p>
            <w:pPr>
              <w:pStyle w:val="单元格样式2"/>
            </w:pPr>
            <w:r>
              <w:t xml:space="preserve">实际拨付</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17、新乐市城区排水管网提升改造工程国债项目省级配套（冀财建【2024】125号）绩效目标表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13018424P00490510001F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新乐市城区排水管网提升改造工程国债项目省级配套（冀财建【2024】125号）</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1.通过新建污水管网16000米、雨水管网10000米等设施，提升防灾减灾能力。</w:t>
            </w:r>
            <w:r>
              <w:rPr/>
              <w:tab/>
            </w:r>
            <w:r>
              <w:rPr/>
              <w:tab/>
            </w:r>
            <w:r>
              <w:rPr/>
              <w:tab/>
            </w:r>
            <w:r>
              <w:rPr/>
              <w:tab/>
            </w:r>
            <w:r>
              <w:rPr/>
              <w:tab/>
            </w:r>
          </w:p>
          <w:p>
            <w:pPr>
              <w:pStyle w:val="单元格样式2"/>
            </w:pPr>
          </w:p>
          <w:p>
            <w:pPr>
              <w:pStyle w:val="单元格样式2"/>
            </w:pPr>
            <w:r>
              <w:t xml:space="preserve">2.保障城区内人民生命财产安全。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18、新乐市城区排水管网提升改造工程国债项目县级配套绩效目标表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13018425P000114100017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13049.00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13049.00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用于新乐市城区排水管网提升改造工程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13049.00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1.通过新建污水管网160000米，新建雨水管网10000米等设施，提升防灾减灾能力，保证城区人民生命财产安全。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新建污水管网</w:t>
            </w:r>
          </w:p>
        </w:tc>
        <w:tc>
          <w:tcPr>
            <w:tcW w:w="5386" w:type="dxa"/>
            <w:vAlign w:val="center"/>
          </w:tcPr>
          <w:p>
            <w:pPr>
              <w:pStyle w:val="单元格样式2"/>
            </w:pPr>
            <w:r>
              <w:t xml:space="preserve">反映新建污水水管网长度实际完成情况</w:t>
            </w:r>
          </w:p>
        </w:tc>
        <w:tc>
          <w:tcPr>
            <w:tcW w:w="2268" w:type="dxa"/>
            <w:vAlign w:val="center"/>
          </w:tcPr>
          <w:p>
            <w:pPr>
              <w:pStyle w:val="单元格样式2"/>
            </w:pPr>
            <w:r>
              <w:t xml:space="preserve">16000米</w:t>
            </w:r>
          </w:p>
        </w:tc>
        <w:tc>
          <w:tcPr>
            <w:tcW w:w="1276" w:type="dxa"/>
            <w:vAlign w:val="center"/>
          </w:tcPr>
          <w:p>
            <w:pPr>
              <w:pStyle w:val="单元格样式2"/>
            </w:pPr>
            <w:r>
              <w:t xml:space="preserve">新建污水管网实际完成情况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新建雨水管网</w:t>
            </w:r>
          </w:p>
        </w:tc>
        <w:tc>
          <w:tcPr>
            <w:tcW w:w="5386" w:type="dxa"/>
            <w:vAlign w:val="center"/>
          </w:tcPr>
          <w:p>
            <w:pPr>
              <w:pStyle w:val="单元格样式2"/>
            </w:pPr>
            <w:r>
              <w:t xml:space="preserve">反映新建雨水管网长度实际完成情况</w:t>
            </w:r>
          </w:p>
        </w:tc>
        <w:tc>
          <w:tcPr>
            <w:tcW w:w="2268" w:type="dxa"/>
            <w:vAlign w:val="center"/>
          </w:tcPr>
          <w:p>
            <w:pPr>
              <w:pStyle w:val="单元格样式2"/>
            </w:pPr>
            <w:r>
              <w:t xml:space="preserve">10000米</w:t>
            </w:r>
          </w:p>
        </w:tc>
        <w:tc>
          <w:tcPr>
            <w:tcW w:w="1276" w:type="dxa"/>
            <w:vAlign w:val="center"/>
          </w:tcPr>
          <w:p>
            <w:pPr>
              <w:pStyle w:val="单元格样式2"/>
            </w:pPr>
            <w:r>
              <w:t xml:space="preserve">新建雨水管网长度实际完成情况</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交（竣）工验收合格率</w:t>
            </w:r>
          </w:p>
        </w:tc>
        <w:tc>
          <w:tcPr>
            <w:tcW w:w="5386" w:type="dxa"/>
            <w:vAlign w:val="center"/>
          </w:tcPr>
          <w:p>
            <w:pPr>
              <w:pStyle w:val="单元格样式2"/>
            </w:pPr>
            <w:r>
              <w:t xml:space="preserve">反映项目交（竣）工验收合格情况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交（竣）工验收合格率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项目设计变更率</w:t>
            </w:r>
          </w:p>
        </w:tc>
        <w:tc>
          <w:tcPr>
            <w:tcW w:w="5386" w:type="dxa"/>
            <w:vAlign w:val="center"/>
          </w:tcPr>
          <w:p>
            <w:pPr>
              <w:pStyle w:val="单元格样式2"/>
            </w:pPr>
            <w:r>
              <w:t xml:space="preserve">反映项目设计变更情况</w:t>
            </w:r>
          </w:p>
        </w:tc>
        <w:tc>
          <w:tcPr>
            <w:tcW w:w="2268" w:type="dxa"/>
            <w:vAlign w:val="center"/>
          </w:tcPr>
          <w:p>
            <w:pPr>
              <w:pStyle w:val="单元格样式2"/>
            </w:pPr>
            <w:r>
              <w:t xml:space="preserve">≤10百分比</w:t>
            </w:r>
          </w:p>
        </w:tc>
        <w:tc>
          <w:tcPr>
            <w:tcW w:w="1276" w:type="dxa"/>
            <w:vAlign w:val="center"/>
          </w:tcPr>
          <w:p>
            <w:pPr>
              <w:pStyle w:val="单元格样式2"/>
            </w:pPr>
            <w:r>
              <w:t xml:space="preserve">项目设计变更率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工程按时开工率</w:t>
            </w:r>
          </w:p>
        </w:tc>
        <w:tc>
          <w:tcPr>
            <w:tcW w:w="5386" w:type="dxa"/>
            <w:vAlign w:val="center"/>
          </w:tcPr>
          <w:p>
            <w:pPr>
              <w:pStyle w:val="单元格样式2"/>
            </w:pPr>
            <w:r>
              <w:t xml:space="preserve">反映项目按时开工个数占项目总个数百分比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工程是否按时开工</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反映项目完成时间</w:t>
            </w:r>
          </w:p>
        </w:tc>
        <w:tc>
          <w:tcPr>
            <w:tcW w:w="2268" w:type="dxa"/>
            <w:vAlign w:val="center"/>
          </w:tcPr>
          <w:p>
            <w:pPr>
              <w:pStyle w:val="单元格样式2"/>
            </w:pPr>
            <w:r>
              <w:t xml:space="preserve">2024.112024年11月11日前</w:t>
            </w:r>
          </w:p>
        </w:tc>
        <w:tc>
          <w:tcPr>
            <w:tcW w:w="1276" w:type="dxa"/>
            <w:vAlign w:val="center"/>
          </w:tcPr>
          <w:p>
            <w:pPr>
              <w:pStyle w:val="单元格样式2"/>
            </w:pPr>
            <w:r>
              <w:t xml:space="preserve">工程是否按时完成</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反映项目（污水管网）工程单位成本控制情况</w:t>
            </w:r>
          </w:p>
        </w:tc>
        <w:tc>
          <w:tcPr>
            <w:tcW w:w="2268" w:type="dxa"/>
            <w:vAlign w:val="center"/>
          </w:tcPr>
          <w:p>
            <w:pPr>
              <w:pStyle w:val="单元格样式2"/>
            </w:pPr>
            <w:r>
              <w:t xml:space="preserve">≤0.94万元/米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工程建设成本</w:t>
            </w:r>
          </w:p>
        </w:tc>
        <w:tc>
          <w:tcPr>
            <w:tcW w:w="5386" w:type="dxa"/>
            <w:vAlign w:val="center"/>
          </w:tcPr>
          <w:p>
            <w:pPr>
              <w:pStyle w:val="单元格样式2"/>
            </w:pPr>
            <w:r>
              <w:t xml:space="preserve">反映项目（雨水管网）工程单位成本控制情况</w:t>
            </w:r>
          </w:p>
        </w:tc>
        <w:tc>
          <w:tcPr>
            <w:tcW w:w="2268" w:type="dxa"/>
            <w:vAlign w:val="center"/>
          </w:tcPr>
          <w:p>
            <w:pPr>
              <w:pStyle w:val="单元格样式2"/>
            </w:pPr>
            <w:r>
              <w:t xml:space="preserve">≤0.69万元/米</w:t>
            </w:r>
          </w:p>
        </w:tc>
        <w:tc>
          <w:tcPr>
            <w:tcW w:w="1276" w:type="dxa"/>
            <w:vAlign w:val="center"/>
          </w:tcPr>
          <w:p>
            <w:pPr>
              <w:pStyle w:val="单元格样式2"/>
            </w:pPr>
            <w:r>
              <w:t xml:space="preserve">工程单位成本控制情况</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防灾减灾能力提升率</w:t>
            </w:r>
          </w:p>
        </w:tc>
        <w:tc>
          <w:tcPr>
            <w:tcW w:w="5386" w:type="dxa"/>
            <w:vAlign w:val="center"/>
          </w:tcPr>
          <w:p>
            <w:pPr>
              <w:pStyle w:val="单元格样式2"/>
            </w:pPr>
            <w:r>
              <w:t xml:space="preserve">反映新建后提升防灾减灾能力百分比</w:t>
            </w:r>
          </w:p>
        </w:tc>
        <w:tc>
          <w:tcPr>
            <w:tcW w:w="2268" w:type="dxa"/>
            <w:vAlign w:val="center"/>
          </w:tcPr>
          <w:p>
            <w:pPr>
              <w:pStyle w:val="单元格样式2"/>
            </w:pPr>
            <w:r>
              <w:t xml:space="preserve">≥90百分比</w:t>
            </w:r>
          </w:p>
        </w:tc>
        <w:tc>
          <w:tcPr>
            <w:tcW w:w="1276" w:type="dxa"/>
            <w:vAlign w:val="center"/>
          </w:tcPr>
          <w:p>
            <w:pPr>
              <w:pStyle w:val="单元格样式2"/>
            </w:pPr>
            <w:r>
              <w:t xml:space="preserve">防灾减灾能力提升率</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可持续使用时间</w:t>
            </w:r>
          </w:p>
        </w:tc>
        <w:tc>
          <w:tcPr>
            <w:tcW w:w="5386" w:type="dxa"/>
            <w:vAlign w:val="center"/>
          </w:tcPr>
          <w:p>
            <w:pPr>
              <w:pStyle w:val="单元格样式2"/>
            </w:pPr>
            <w:r>
              <w:t xml:space="preserve">反映新建后管网使用年限</w:t>
            </w:r>
          </w:p>
        </w:tc>
        <w:tc>
          <w:tcPr>
            <w:tcW w:w="2268" w:type="dxa"/>
            <w:vAlign w:val="center"/>
          </w:tcPr>
          <w:p>
            <w:pPr>
              <w:pStyle w:val="单元格样式2"/>
            </w:pPr>
            <w:r>
              <w:t xml:space="preserve">≥6年</w:t>
            </w:r>
          </w:p>
        </w:tc>
        <w:tc>
          <w:tcPr>
            <w:tcW w:w="1276" w:type="dxa"/>
            <w:vAlign w:val="center"/>
          </w:tcPr>
          <w:p>
            <w:pPr>
              <w:pStyle w:val="单元格样式2"/>
            </w:pPr>
            <w:r>
              <w:t xml:space="preserve">可持续使用时间</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收益群众满意度</w:t>
            </w:r>
          </w:p>
        </w:tc>
        <w:tc>
          <w:tcPr>
            <w:tcW w:w="5386" w:type="dxa"/>
            <w:vAlign w:val="center"/>
          </w:tcPr>
          <w:p>
            <w:pPr>
              <w:pStyle w:val="单元格样式2"/>
            </w:pPr>
            <w:r>
              <w:t xml:space="preserve">反映通过走访群众调查满意程度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19、新乐市城区排水管网提升改造工程国债项目县级配套（2023年专项债券）绩效目标表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13018423P00358310001X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新乐市城区排水管网提升改造工程国债项目县级配套（2023年专项债券）</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1889.06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1889.06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用于新乐市城区排水管网建设工程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1889.06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  ：为保证城区排水工程的顺利进行。</w:t>
            </w:r>
          </w:p>
          <w:p>
            <w:pPr>
              <w:pStyle w:val="单元格样式2"/>
            </w:pPr>
            <w:r>
              <w:t xml:space="preserve">2.目标内容2  ： 为保证雨季汛期的排水工作顺利开展。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工程完成率及时率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工程完成率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工程合格率</w:t>
            </w:r>
          </w:p>
        </w:tc>
        <w:tc>
          <w:tcPr>
            <w:tcW w:w="5386" w:type="dxa"/>
            <w:vAlign w:val="center"/>
          </w:tcPr>
          <w:p>
            <w:pPr>
              <w:pStyle w:val="单元格样式2"/>
            </w:pPr>
            <w:r>
              <w:t xml:space="preserve">建设改造工程合格率</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工程及时率</w:t>
            </w:r>
          </w:p>
        </w:tc>
        <w:tc>
          <w:tcPr>
            <w:tcW w:w="5386" w:type="dxa"/>
            <w:vAlign w:val="center"/>
          </w:tcPr>
          <w:p>
            <w:pPr>
              <w:pStyle w:val="单元格样式2"/>
            </w:pPr>
            <w:r>
              <w:t xml:space="preserve">工程建设及时完工情况</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控制数</w:t>
            </w:r>
          </w:p>
        </w:tc>
        <w:tc>
          <w:tcPr>
            <w:tcW w:w="5386" w:type="dxa"/>
            <w:vAlign w:val="center"/>
          </w:tcPr>
          <w:p>
            <w:pPr>
              <w:pStyle w:val="单元格样式2"/>
            </w:pPr>
            <w:r>
              <w:t xml:space="preserve">工程预算控制数</w:t>
            </w:r>
          </w:p>
        </w:tc>
        <w:tc>
          <w:tcPr>
            <w:tcW w:w="2268" w:type="dxa"/>
            <w:vAlign w:val="center"/>
          </w:tcPr>
          <w:p>
            <w:pPr>
              <w:pStyle w:val="单元格样式2"/>
            </w:pPr>
            <w:r>
              <w:t xml:space="preserve">889.06万元</w:t>
            </w:r>
          </w:p>
        </w:tc>
        <w:tc>
          <w:tcPr>
            <w:tcW w:w="1276" w:type="dxa"/>
            <w:vAlign w:val="center"/>
          </w:tcPr>
          <w:p>
            <w:pPr>
              <w:pStyle w:val="单元格样式2"/>
            </w:pPr>
            <w:r>
              <w:t xml:space="preserve">实际拨付</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在全市产生重要影响，得到广大群众认可</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新乐市城市管理综合行政执法局本级上年末固定资产金额为105243059.46万元（详见下表）。本年度拟购置固定资产总额为0.00万元，已按要求列入政府采购预算，详见政府采购预算表。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506001新乐市城市管理综合行政执法局本级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105243059.46</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4084.02</w:t>
            </w:r>
          </w:p>
        </w:tc>
        <w:tc>
          <w:tcPr>
            <w:tcW w:w="2835" w:type="dxa"/>
            <w:vAlign w:val="center"/>
          </w:tcPr>
          <w:p>
            <w:pPr>
              <w:pStyle w:val="单元格样式4"/>
            </w:pPr>
            <w:r>
              <w:t xml:space="preserve">5506193.22</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472.52</w:t>
            </w:r>
          </w:p>
        </w:tc>
        <w:tc>
          <w:tcPr>
            <w:tcW w:w="2835" w:type="dxa"/>
            <w:vAlign w:val="center"/>
          </w:tcPr>
          <w:p>
            <w:pPr>
              <w:pStyle w:val="单元格样式4"/>
            </w:pPr>
            <w:r>
              <w:t xml:space="preserve">479819.44</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274</w:t>
            </w:r>
          </w:p>
        </w:tc>
        <w:tc>
          <w:tcPr>
            <w:tcW w:w="2835" w:type="dxa"/>
            <w:vAlign w:val="center"/>
          </w:tcPr>
          <w:p>
            <w:pPr>
              <w:pStyle w:val="单元格样式4"/>
            </w:pPr>
            <w:r>
              <w:t xml:space="preserve">81008937.24</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5752</w:t>
            </w:r>
          </w:p>
        </w:tc>
        <w:tc>
          <w:tcPr>
            <w:tcW w:w="2835" w:type="dxa"/>
            <w:vAlign w:val="center"/>
          </w:tcPr>
          <w:p>
            <w:pPr>
              <w:pStyle w:val="单元格样式4"/>
            </w:pPr>
            <w:r>
              <w:t xml:space="preserve">18727929.00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pgBorders/>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二、新乐市市场管理中心收支预算</w:t>
      </w:r>
      <w:bookmarkEnd w:id="1"/>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183.40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131.89</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1.73</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30.35</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7.40</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1.73</w:t>
            </w: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13.76</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185.13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185.13</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185.13</w:t>
            </w:r>
          </w:p>
        </w:tc>
        <w:tc>
          <w:tcPr>
            <w:tcW w:w="4535" w:type="dxa"/>
            <w:vAlign w:val="center"/>
          </w:tcPr>
          <w:p>
            <w:pPr>
              <w:pStyle w:val="单元格样式6"/>
            </w:pPr>
            <w:r>
              <w:t xml:space="preserve">支出总计</w:t>
            </w:r>
          </w:p>
        </w:tc>
        <w:tc>
          <w:tcPr>
            <w:tcW w:w="2126" w:type="dxa"/>
            <w:vAlign w:val="center"/>
          </w:tcPr>
          <w:p>
            <w:pPr>
              <w:pStyle w:val="单元格样式7"/>
            </w:pPr>
            <w:r>
              <w:t xml:space="preserve">185.13</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185.13</w:t>
            </w:r>
          </w:p>
        </w:tc>
        <w:tc>
          <w:tcPr>
            <w:tcW w:w="1134" w:type="dxa"/>
            <w:vAlign w:val="center"/>
          </w:tcPr>
          <w:p>
            <w:pPr>
              <w:pStyle w:val="单元格样式7"/>
            </w:pPr>
            <w:r>
              <w:t xml:space="preserve">185.13</w:t>
            </w:r>
          </w:p>
        </w:tc>
        <w:tc>
          <w:tcPr>
            <w:tcW w:w="1134" w:type="dxa"/>
            <w:vAlign w:val="center"/>
          </w:tcPr>
          <w:p>
            <w:pPr>
              <w:pStyle w:val="单元格样式7"/>
            </w:pPr>
            <w:r>
              <w:t xml:space="preserve">185.13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20113</w:t>
            </w:r>
          </w:p>
        </w:tc>
        <w:tc>
          <w:tcPr>
            <w:tcW w:w="1559" w:type="dxa"/>
            <w:vAlign w:val="center"/>
          </w:tcPr>
          <w:p>
            <w:pPr>
              <w:pStyle w:val="单元格样式2"/>
            </w:pPr>
            <w:r>
              <w:t xml:space="preserve">商贸事务</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2011350</w:t>
            </w:r>
          </w:p>
        </w:tc>
        <w:tc>
          <w:tcPr>
            <w:tcW w:w="1559" w:type="dxa"/>
            <w:vAlign w:val="center"/>
          </w:tcPr>
          <w:p>
            <w:pPr>
              <w:pStyle w:val="单元格样式2"/>
            </w:pPr>
            <w:r>
              <w:t xml:space="preserve">事业运行</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r>
              <w:t xml:space="preserve">131.89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30.35</w:t>
            </w:r>
          </w:p>
        </w:tc>
        <w:tc>
          <w:tcPr>
            <w:tcW w:w="1134" w:type="dxa"/>
            <w:vAlign w:val="center"/>
          </w:tcPr>
          <w:p>
            <w:pPr>
              <w:pStyle w:val="单元格样式4"/>
            </w:pPr>
            <w:r>
              <w:t xml:space="preserve">30.35</w:t>
            </w:r>
          </w:p>
        </w:tc>
        <w:tc>
          <w:tcPr>
            <w:tcW w:w="1134" w:type="dxa"/>
            <w:vAlign w:val="center"/>
          </w:tcPr>
          <w:p>
            <w:pPr>
              <w:pStyle w:val="单元格样式4"/>
            </w:pPr>
            <w:r>
              <w:t xml:space="preserve">30.35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29.33</w:t>
            </w:r>
          </w:p>
        </w:tc>
        <w:tc>
          <w:tcPr>
            <w:tcW w:w="1134" w:type="dxa"/>
            <w:vAlign w:val="center"/>
          </w:tcPr>
          <w:p>
            <w:pPr>
              <w:pStyle w:val="单元格样式4"/>
            </w:pPr>
            <w:r>
              <w:t xml:space="preserve">29.33</w:t>
            </w:r>
          </w:p>
        </w:tc>
        <w:tc>
          <w:tcPr>
            <w:tcW w:w="1134" w:type="dxa"/>
            <w:vAlign w:val="center"/>
          </w:tcPr>
          <w:p>
            <w:pPr>
              <w:pStyle w:val="单元格样式4"/>
            </w:pPr>
            <w:r>
              <w:t xml:space="preserve">29.33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4.92</w:t>
            </w:r>
          </w:p>
        </w:tc>
        <w:tc>
          <w:tcPr>
            <w:tcW w:w="1134" w:type="dxa"/>
            <w:vAlign w:val="center"/>
          </w:tcPr>
          <w:p>
            <w:pPr>
              <w:pStyle w:val="单元格样式4"/>
            </w:pPr>
            <w:r>
              <w:t xml:space="preserve">4.92</w:t>
            </w:r>
          </w:p>
        </w:tc>
        <w:tc>
          <w:tcPr>
            <w:tcW w:w="1134" w:type="dxa"/>
            <w:vAlign w:val="center"/>
          </w:tcPr>
          <w:p>
            <w:pPr>
              <w:pStyle w:val="单元格样式4"/>
            </w:pPr>
            <w:r>
              <w:t xml:space="preserve">4.92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16.27</w:t>
            </w:r>
          </w:p>
        </w:tc>
        <w:tc>
          <w:tcPr>
            <w:tcW w:w="1134" w:type="dxa"/>
            <w:vAlign w:val="center"/>
          </w:tcPr>
          <w:p>
            <w:pPr>
              <w:pStyle w:val="单元格样式4"/>
            </w:pPr>
            <w:r>
              <w:t xml:space="preserve">16.27</w:t>
            </w:r>
          </w:p>
        </w:tc>
        <w:tc>
          <w:tcPr>
            <w:tcW w:w="1134" w:type="dxa"/>
            <w:vAlign w:val="center"/>
          </w:tcPr>
          <w:p>
            <w:pPr>
              <w:pStyle w:val="单元格样式4"/>
            </w:pPr>
            <w:r>
              <w:t xml:space="preserve">16.27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8.14</w:t>
            </w:r>
          </w:p>
        </w:tc>
        <w:tc>
          <w:tcPr>
            <w:tcW w:w="1134" w:type="dxa"/>
            <w:vAlign w:val="center"/>
          </w:tcPr>
          <w:p>
            <w:pPr>
              <w:pStyle w:val="单元格样式4"/>
            </w:pPr>
            <w:r>
              <w:t xml:space="preserve">8.14</w:t>
            </w:r>
          </w:p>
        </w:tc>
        <w:tc>
          <w:tcPr>
            <w:tcW w:w="1134" w:type="dxa"/>
            <w:vAlign w:val="center"/>
          </w:tcPr>
          <w:p>
            <w:pPr>
              <w:pStyle w:val="单元格样式4"/>
            </w:pPr>
            <w:r>
              <w:t xml:space="preserve">8.14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1.02</w:t>
            </w:r>
          </w:p>
        </w:tc>
        <w:tc>
          <w:tcPr>
            <w:tcW w:w="1134" w:type="dxa"/>
            <w:vAlign w:val="center"/>
          </w:tcPr>
          <w:p>
            <w:pPr>
              <w:pStyle w:val="单元格样式4"/>
            </w:pPr>
            <w:r>
              <w:t xml:space="preserve">1.02</w:t>
            </w:r>
          </w:p>
        </w:tc>
        <w:tc>
          <w:tcPr>
            <w:tcW w:w="1134" w:type="dxa"/>
            <w:vAlign w:val="center"/>
          </w:tcPr>
          <w:p>
            <w:pPr>
              <w:pStyle w:val="单元格样式4"/>
            </w:pPr>
            <w:r>
              <w:t xml:space="preserve">1.02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1.02</w:t>
            </w:r>
          </w:p>
        </w:tc>
        <w:tc>
          <w:tcPr>
            <w:tcW w:w="1134" w:type="dxa"/>
            <w:vAlign w:val="center"/>
          </w:tcPr>
          <w:p>
            <w:pPr>
              <w:pStyle w:val="单元格样式4"/>
            </w:pPr>
            <w:r>
              <w:t xml:space="preserve">1.02</w:t>
            </w:r>
          </w:p>
        </w:tc>
        <w:tc>
          <w:tcPr>
            <w:tcW w:w="1134" w:type="dxa"/>
            <w:vAlign w:val="center"/>
          </w:tcPr>
          <w:p>
            <w:pPr>
              <w:pStyle w:val="单元格样式4"/>
            </w:pPr>
            <w:r>
              <w:t xml:space="preserve">1.02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1.73</w:t>
            </w:r>
          </w:p>
        </w:tc>
        <w:tc>
          <w:tcPr>
            <w:tcW w:w="1134" w:type="dxa"/>
            <w:vAlign w:val="center"/>
          </w:tcPr>
          <w:p>
            <w:pPr>
              <w:pStyle w:val="单元格样式4"/>
            </w:pPr>
            <w:r>
              <w:t xml:space="preserve">1.73</w:t>
            </w:r>
          </w:p>
        </w:tc>
        <w:tc>
          <w:tcPr>
            <w:tcW w:w="1134" w:type="dxa"/>
            <w:vAlign w:val="center"/>
          </w:tcPr>
          <w:p>
            <w:pPr>
              <w:pStyle w:val="单元格样式4"/>
            </w:pPr>
            <w:r>
              <w:t xml:space="preserve">1.73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1.73</w:t>
            </w:r>
          </w:p>
        </w:tc>
        <w:tc>
          <w:tcPr>
            <w:tcW w:w="1134" w:type="dxa"/>
            <w:vAlign w:val="center"/>
          </w:tcPr>
          <w:p>
            <w:pPr>
              <w:pStyle w:val="单元格样式4"/>
            </w:pPr>
            <w:r>
              <w:t xml:space="preserve">1.73</w:t>
            </w:r>
          </w:p>
        </w:tc>
        <w:tc>
          <w:tcPr>
            <w:tcW w:w="1134" w:type="dxa"/>
            <w:vAlign w:val="center"/>
          </w:tcPr>
          <w:p>
            <w:pPr>
              <w:pStyle w:val="单元格样式4"/>
            </w:pPr>
            <w:r>
              <w:t xml:space="preserve">1.73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2120801</w:t>
            </w:r>
          </w:p>
        </w:tc>
        <w:tc>
          <w:tcPr>
            <w:tcW w:w="1559" w:type="dxa"/>
            <w:vAlign w:val="center"/>
          </w:tcPr>
          <w:p>
            <w:pPr>
              <w:pStyle w:val="单元格样式2"/>
            </w:pPr>
            <w:r>
              <w:t xml:space="preserve">征地和拆迁补偿支出</w:t>
            </w:r>
          </w:p>
        </w:tc>
        <w:tc>
          <w:tcPr>
            <w:tcW w:w="1134" w:type="dxa"/>
            <w:vAlign w:val="center"/>
          </w:tcPr>
          <w:p>
            <w:pPr>
              <w:pStyle w:val="单元格样式4"/>
            </w:pPr>
            <w:r>
              <w:t xml:space="preserve">1.73</w:t>
            </w:r>
          </w:p>
        </w:tc>
        <w:tc>
          <w:tcPr>
            <w:tcW w:w="1134" w:type="dxa"/>
            <w:vAlign w:val="center"/>
          </w:tcPr>
          <w:p>
            <w:pPr>
              <w:pStyle w:val="单元格样式4"/>
            </w:pPr>
            <w:r>
              <w:t xml:space="preserve">1.73</w:t>
            </w:r>
          </w:p>
        </w:tc>
        <w:tc>
          <w:tcPr>
            <w:tcW w:w="1134" w:type="dxa"/>
            <w:vAlign w:val="center"/>
          </w:tcPr>
          <w:p>
            <w:pPr>
              <w:pStyle w:val="单元格样式4"/>
            </w:pPr>
            <w:r>
              <w:t xml:space="preserve">1.73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13.76</w:t>
            </w:r>
          </w:p>
        </w:tc>
        <w:tc>
          <w:tcPr>
            <w:tcW w:w="1134" w:type="dxa"/>
            <w:vAlign w:val="center"/>
          </w:tcPr>
          <w:p>
            <w:pPr>
              <w:pStyle w:val="单元格样式4"/>
            </w:pPr>
            <w:r>
              <w:t xml:space="preserve">13.76</w:t>
            </w:r>
          </w:p>
        </w:tc>
        <w:tc>
          <w:tcPr>
            <w:tcW w:w="1134" w:type="dxa"/>
            <w:vAlign w:val="center"/>
          </w:tcPr>
          <w:p>
            <w:pPr>
              <w:pStyle w:val="单元格样式4"/>
            </w:pPr>
            <w:r>
              <w:t xml:space="preserve">13.76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13.76</w:t>
            </w:r>
          </w:p>
        </w:tc>
        <w:tc>
          <w:tcPr>
            <w:tcW w:w="1134" w:type="dxa"/>
            <w:vAlign w:val="center"/>
          </w:tcPr>
          <w:p>
            <w:pPr>
              <w:pStyle w:val="单元格样式4"/>
            </w:pPr>
            <w:r>
              <w:t xml:space="preserve">13.76</w:t>
            </w:r>
          </w:p>
        </w:tc>
        <w:tc>
          <w:tcPr>
            <w:tcW w:w="1134" w:type="dxa"/>
            <w:vAlign w:val="center"/>
          </w:tcPr>
          <w:p>
            <w:pPr>
              <w:pStyle w:val="单元格样式4"/>
            </w:pPr>
            <w:r>
              <w:t xml:space="preserve">13.76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13.76</w:t>
            </w:r>
          </w:p>
        </w:tc>
        <w:tc>
          <w:tcPr>
            <w:tcW w:w="1134" w:type="dxa"/>
            <w:vAlign w:val="center"/>
          </w:tcPr>
          <w:p>
            <w:pPr>
              <w:pStyle w:val="单元格样式4"/>
            </w:pPr>
            <w:r>
              <w:t xml:space="preserve">13.76</w:t>
            </w:r>
          </w:p>
        </w:tc>
        <w:tc>
          <w:tcPr>
            <w:tcW w:w="1134" w:type="dxa"/>
            <w:vAlign w:val="center"/>
          </w:tcPr>
          <w:p>
            <w:pPr>
              <w:pStyle w:val="单元格样式4"/>
            </w:pPr>
            <w:r>
              <w:t xml:space="preserve">13.76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185.13</w:t>
            </w:r>
          </w:p>
        </w:tc>
        <w:tc>
          <w:tcPr>
            <w:tcW w:w="1361" w:type="dxa"/>
            <w:vAlign w:val="center"/>
          </w:tcPr>
          <w:p>
            <w:pPr>
              <w:pStyle w:val="单元格样式7"/>
            </w:pPr>
            <w:r>
              <w:t xml:space="preserve">183.40</w:t>
            </w:r>
          </w:p>
        </w:tc>
        <w:tc>
          <w:tcPr>
            <w:tcW w:w="1361" w:type="dxa"/>
            <w:vAlign w:val="center"/>
          </w:tcPr>
          <w:p>
            <w:pPr>
              <w:pStyle w:val="单元格样式7"/>
            </w:pPr>
            <w:r>
              <w:t xml:space="preserve">1.73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131.89</w:t>
            </w:r>
          </w:p>
        </w:tc>
        <w:tc>
          <w:tcPr>
            <w:tcW w:w="1361" w:type="dxa"/>
            <w:vAlign w:val="center"/>
          </w:tcPr>
          <w:p>
            <w:pPr>
              <w:pStyle w:val="单元格样式4"/>
            </w:pPr>
            <w:r>
              <w:t xml:space="preserve">131.89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20113</w:t>
            </w:r>
          </w:p>
        </w:tc>
        <w:tc>
          <w:tcPr>
            <w:tcW w:w="4535" w:type="dxa"/>
            <w:vAlign w:val="center"/>
          </w:tcPr>
          <w:p>
            <w:pPr>
              <w:pStyle w:val="单元格样式2"/>
            </w:pPr>
            <w:r>
              <w:t xml:space="preserve">商贸事务</w:t>
            </w:r>
          </w:p>
        </w:tc>
        <w:tc>
          <w:tcPr>
            <w:tcW w:w="1361" w:type="dxa"/>
            <w:vAlign w:val="center"/>
          </w:tcPr>
          <w:p>
            <w:pPr>
              <w:pStyle w:val="单元格样式4"/>
            </w:pPr>
            <w:r>
              <w:t xml:space="preserve">131.89</w:t>
            </w:r>
          </w:p>
        </w:tc>
        <w:tc>
          <w:tcPr>
            <w:tcW w:w="1361" w:type="dxa"/>
            <w:vAlign w:val="center"/>
          </w:tcPr>
          <w:p>
            <w:pPr>
              <w:pStyle w:val="单元格样式4"/>
            </w:pPr>
            <w:r>
              <w:t xml:space="preserve">131.89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1361" w:type="dxa"/>
            <w:vAlign w:val="center"/>
          </w:tcPr>
          <w:p>
            <w:pPr>
              <w:pStyle w:val="单元格样式4"/>
            </w:pPr>
            <w:r>
              <w:t xml:space="preserve">131.89</w:t>
            </w:r>
          </w:p>
        </w:tc>
        <w:tc>
          <w:tcPr>
            <w:tcW w:w="1361" w:type="dxa"/>
            <w:vAlign w:val="center"/>
          </w:tcPr>
          <w:p>
            <w:pPr>
              <w:pStyle w:val="单元格样式4"/>
            </w:pPr>
            <w:r>
              <w:t xml:space="preserve">131.89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30.35</w:t>
            </w:r>
          </w:p>
        </w:tc>
        <w:tc>
          <w:tcPr>
            <w:tcW w:w="1361" w:type="dxa"/>
            <w:vAlign w:val="center"/>
          </w:tcPr>
          <w:p>
            <w:pPr>
              <w:pStyle w:val="单元格样式4"/>
            </w:pPr>
            <w:r>
              <w:t xml:space="preserve">30.35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29.33</w:t>
            </w:r>
          </w:p>
        </w:tc>
        <w:tc>
          <w:tcPr>
            <w:tcW w:w="1361" w:type="dxa"/>
            <w:vAlign w:val="center"/>
          </w:tcPr>
          <w:p>
            <w:pPr>
              <w:pStyle w:val="单元格样式4"/>
            </w:pPr>
            <w:r>
              <w:t xml:space="preserve">29.33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4.92</w:t>
            </w:r>
          </w:p>
        </w:tc>
        <w:tc>
          <w:tcPr>
            <w:tcW w:w="1361" w:type="dxa"/>
            <w:vAlign w:val="center"/>
          </w:tcPr>
          <w:p>
            <w:pPr>
              <w:pStyle w:val="单元格样式4"/>
            </w:pPr>
            <w:r>
              <w:t xml:space="preserve">4.92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16.27</w:t>
            </w:r>
          </w:p>
        </w:tc>
        <w:tc>
          <w:tcPr>
            <w:tcW w:w="1361" w:type="dxa"/>
            <w:vAlign w:val="center"/>
          </w:tcPr>
          <w:p>
            <w:pPr>
              <w:pStyle w:val="单元格样式4"/>
            </w:pPr>
            <w:r>
              <w:t xml:space="preserve">16.27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8.14</w:t>
            </w:r>
          </w:p>
        </w:tc>
        <w:tc>
          <w:tcPr>
            <w:tcW w:w="1361" w:type="dxa"/>
            <w:vAlign w:val="center"/>
          </w:tcPr>
          <w:p>
            <w:pPr>
              <w:pStyle w:val="单元格样式4"/>
            </w:pPr>
            <w:r>
              <w:t xml:space="preserve">8.14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1.02</w:t>
            </w:r>
          </w:p>
        </w:tc>
        <w:tc>
          <w:tcPr>
            <w:tcW w:w="1361" w:type="dxa"/>
            <w:vAlign w:val="center"/>
          </w:tcPr>
          <w:p>
            <w:pPr>
              <w:pStyle w:val="单元格样式4"/>
            </w:pPr>
            <w:r>
              <w:t xml:space="preserve">1.02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1.02</w:t>
            </w:r>
          </w:p>
        </w:tc>
        <w:tc>
          <w:tcPr>
            <w:tcW w:w="1361" w:type="dxa"/>
            <w:vAlign w:val="center"/>
          </w:tcPr>
          <w:p>
            <w:pPr>
              <w:pStyle w:val="单元格样式4"/>
            </w:pPr>
            <w:r>
              <w:t xml:space="preserve">1.02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1.73</w:t>
            </w:r>
          </w:p>
        </w:tc>
        <w:tc>
          <w:tcPr>
            <w:tcW w:w="1361" w:type="dxa"/>
            <w:vAlign w:val="center"/>
          </w:tcPr>
          <w:p>
            <w:pPr>
              <w:pStyle w:val="单元格样式4"/>
            </w:pPr>
          </w:p>
        </w:tc>
        <w:tc>
          <w:tcPr>
            <w:tcW w:w="1361" w:type="dxa"/>
            <w:vAlign w:val="center"/>
          </w:tcPr>
          <w:p>
            <w:pPr>
              <w:pStyle w:val="单元格样式4"/>
            </w:pPr>
            <w:r>
              <w:t xml:space="preserve">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1.73</w:t>
            </w:r>
          </w:p>
        </w:tc>
        <w:tc>
          <w:tcPr>
            <w:tcW w:w="1361" w:type="dxa"/>
            <w:vAlign w:val="center"/>
          </w:tcPr>
          <w:p>
            <w:pPr>
              <w:pStyle w:val="单元格样式4"/>
            </w:pPr>
          </w:p>
        </w:tc>
        <w:tc>
          <w:tcPr>
            <w:tcW w:w="1361" w:type="dxa"/>
            <w:vAlign w:val="center"/>
          </w:tcPr>
          <w:p>
            <w:pPr>
              <w:pStyle w:val="单元格样式4"/>
            </w:pPr>
            <w:r>
              <w:t xml:space="preserve">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1361" w:type="dxa"/>
            <w:vAlign w:val="center"/>
          </w:tcPr>
          <w:p>
            <w:pPr>
              <w:pStyle w:val="单元格样式4"/>
            </w:pPr>
            <w:r>
              <w:t xml:space="preserve">1.73</w:t>
            </w:r>
          </w:p>
        </w:tc>
        <w:tc>
          <w:tcPr>
            <w:tcW w:w="1361" w:type="dxa"/>
            <w:vAlign w:val="center"/>
          </w:tcPr>
          <w:p>
            <w:pPr>
              <w:pStyle w:val="单元格样式4"/>
            </w:pPr>
          </w:p>
        </w:tc>
        <w:tc>
          <w:tcPr>
            <w:tcW w:w="1361" w:type="dxa"/>
            <w:vAlign w:val="center"/>
          </w:tcPr>
          <w:p>
            <w:pPr>
              <w:pStyle w:val="单元格样式4"/>
            </w:pPr>
            <w:r>
              <w:t xml:space="preserve">1.73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13.76</w:t>
            </w:r>
          </w:p>
        </w:tc>
        <w:tc>
          <w:tcPr>
            <w:tcW w:w="1361" w:type="dxa"/>
            <w:vAlign w:val="center"/>
          </w:tcPr>
          <w:p>
            <w:pPr>
              <w:pStyle w:val="单元格样式4"/>
            </w:pPr>
            <w:r>
              <w:t xml:space="preserve">13.76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13.76</w:t>
            </w:r>
          </w:p>
        </w:tc>
        <w:tc>
          <w:tcPr>
            <w:tcW w:w="1361" w:type="dxa"/>
            <w:vAlign w:val="center"/>
          </w:tcPr>
          <w:p>
            <w:pPr>
              <w:pStyle w:val="单元格样式4"/>
            </w:pPr>
            <w:r>
              <w:t xml:space="preserve">13.76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13.76</w:t>
            </w:r>
          </w:p>
        </w:tc>
        <w:tc>
          <w:tcPr>
            <w:tcW w:w="1361" w:type="dxa"/>
            <w:vAlign w:val="center"/>
          </w:tcPr>
          <w:p>
            <w:pPr>
              <w:pStyle w:val="单元格样式4"/>
            </w:pPr>
            <w:r>
              <w:t xml:space="preserve">13.76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183.40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131.89</w:t>
            </w:r>
          </w:p>
        </w:tc>
        <w:tc>
          <w:tcPr>
            <w:tcW w:w="1474" w:type="dxa"/>
            <w:vAlign w:val="center"/>
          </w:tcPr>
          <w:p>
            <w:pPr>
              <w:pStyle w:val="单元格样式4"/>
            </w:pPr>
            <w:r>
              <w:t xml:space="preserve">131.89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1.73</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30.35</w:t>
            </w:r>
          </w:p>
        </w:tc>
        <w:tc>
          <w:tcPr>
            <w:tcW w:w="1474" w:type="dxa"/>
            <w:vAlign w:val="center"/>
          </w:tcPr>
          <w:p>
            <w:pPr>
              <w:pStyle w:val="单元格样式4"/>
            </w:pPr>
            <w:r>
              <w:t xml:space="preserve">30.35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7.40</w:t>
            </w:r>
          </w:p>
        </w:tc>
        <w:tc>
          <w:tcPr>
            <w:tcW w:w="1474" w:type="dxa"/>
            <w:vAlign w:val="center"/>
          </w:tcPr>
          <w:p>
            <w:pPr>
              <w:pStyle w:val="单元格样式4"/>
            </w:pPr>
            <w:r>
              <w:t xml:space="preserve">7.40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1.73</w:t>
            </w:r>
          </w:p>
        </w:tc>
        <w:tc>
          <w:tcPr>
            <w:tcW w:w="1474" w:type="dxa"/>
            <w:vAlign w:val="center"/>
          </w:tcPr>
          <w:p>
            <w:pPr>
              <w:pStyle w:val="单元格样式4"/>
            </w:pPr>
          </w:p>
        </w:tc>
        <w:tc>
          <w:tcPr>
            <w:tcW w:w="1474" w:type="dxa"/>
            <w:vAlign w:val="center"/>
          </w:tcPr>
          <w:p>
            <w:pPr>
              <w:pStyle w:val="单元格样式4"/>
            </w:pPr>
            <w:r>
              <w:t xml:space="preserve">1.73</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13.76</w:t>
            </w:r>
          </w:p>
        </w:tc>
        <w:tc>
          <w:tcPr>
            <w:tcW w:w="1474" w:type="dxa"/>
            <w:vAlign w:val="center"/>
          </w:tcPr>
          <w:p>
            <w:pPr>
              <w:pStyle w:val="单元格样式4"/>
            </w:pPr>
            <w:r>
              <w:t xml:space="preserve">13.76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185.13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185.13</w:t>
            </w:r>
          </w:p>
        </w:tc>
        <w:tc>
          <w:tcPr>
            <w:tcW w:w="1474" w:type="dxa"/>
            <w:vAlign w:val="center"/>
          </w:tcPr>
          <w:p>
            <w:pPr>
              <w:pStyle w:val="单元格样式7"/>
            </w:pPr>
            <w:r>
              <w:t xml:space="preserve">183.40</w:t>
            </w:r>
          </w:p>
        </w:tc>
        <w:tc>
          <w:tcPr>
            <w:tcW w:w="1474" w:type="dxa"/>
            <w:vAlign w:val="center"/>
          </w:tcPr>
          <w:p>
            <w:pPr>
              <w:pStyle w:val="单元格样式7"/>
            </w:pPr>
            <w:r>
              <w:t xml:space="preserve">1.73</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185.13</w:t>
            </w:r>
          </w:p>
        </w:tc>
        <w:tc>
          <w:tcPr>
            <w:tcW w:w="3402" w:type="dxa"/>
            <w:vAlign w:val="center"/>
          </w:tcPr>
          <w:p>
            <w:pPr>
              <w:pStyle w:val="单元格样式6"/>
            </w:pPr>
            <w:r>
              <w:t xml:space="preserve">支出总计</w:t>
            </w:r>
          </w:p>
        </w:tc>
        <w:tc>
          <w:tcPr>
            <w:tcW w:w="1474" w:type="dxa"/>
            <w:vAlign w:val="center"/>
          </w:tcPr>
          <w:p>
            <w:pPr>
              <w:pStyle w:val="单元格样式7"/>
            </w:pPr>
            <w:r>
              <w:t xml:space="preserve">185.13</w:t>
            </w:r>
          </w:p>
        </w:tc>
        <w:tc>
          <w:tcPr>
            <w:tcW w:w="1474" w:type="dxa"/>
            <w:vAlign w:val="center"/>
          </w:tcPr>
          <w:p>
            <w:pPr>
              <w:pStyle w:val="单元格样式7"/>
            </w:pPr>
            <w:r>
              <w:t xml:space="preserve">183.40</w:t>
            </w:r>
          </w:p>
        </w:tc>
        <w:tc>
          <w:tcPr>
            <w:tcW w:w="1474" w:type="dxa"/>
            <w:vAlign w:val="center"/>
          </w:tcPr>
          <w:p>
            <w:pPr>
              <w:pStyle w:val="单元格样式7"/>
            </w:pPr>
            <w:r>
              <w:t xml:space="preserve">1.73</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183.40</w:t>
            </w:r>
          </w:p>
        </w:tc>
        <w:tc>
          <w:tcPr>
            <w:tcW w:w="2551" w:type="dxa"/>
            <w:vAlign w:val="center"/>
          </w:tcPr>
          <w:p>
            <w:pPr>
              <w:pStyle w:val="单元格样式7"/>
            </w:pPr>
            <w:r>
              <w:t xml:space="preserve">183.40</w:t>
            </w:r>
          </w:p>
        </w:tc>
        <w:tc>
          <w:tcPr>
            <w:tcW w:w="255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131.89</w:t>
            </w:r>
          </w:p>
        </w:tc>
        <w:tc>
          <w:tcPr>
            <w:tcW w:w="2551" w:type="dxa"/>
            <w:vAlign w:val="center"/>
          </w:tcPr>
          <w:p>
            <w:pPr>
              <w:pStyle w:val="单元格样式4"/>
            </w:pPr>
            <w:r>
              <w:t xml:space="preserve">131.89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20113</w:t>
            </w:r>
          </w:p>
        </w:tc>
        <w:tc>
          <w:tcPr>
            <w:tcW w:w="4535" w:type="dxa"/>
            <w:vAlign w:val="center"/>
          </w:tcPr>
          <w:p>
            <w:pPr>
              <w:pStyle w:val="单元格样式2"/>
            </w:pPr>
            <w:r>
              <w:t xml:space="preserve">商贸事务</w:t>
            </w:r>
          </w:p>
        </w:tc>
        <w:tc>
          <w:tcPr>
            <w:tcW w:w="2551" w:type="dxa"/>
            <w:vAlign w:val="center"/>
          </w:tcPr>
          <w:p>
            <w:pPr>
              <w:pStyle w:val="单元格样式4"/>
            </w:pPr>
            <w:r>
              <w:t xml:space="preserve">131.89</w:t>
            </w:r>
          </w:p>
        </w:tc>
        <w:tc>
          <w:tcPr>
            <w:tcW w:w="2551" w:type="dxa"/>
            <w:vAlign w:val="center"/>
          </w:tcPr>
          <w:p>
            <w:pPr>
              <w:pStyle w:val="单元格样式4"/>
            </w:pPr>
            <w:r>
              <w:t xml:space="preserve">131.89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2011350</w:t>
            </w:r>
          </w:p>
        </w:tc>
        <w:tc>
          <w:tcPr>
            <w:tcW w:w="4535" w:type="dxa"/>
            <w:vAlign w:val="center"/>
          </w:tcPr>
          <w:p>
            <w:pPr>
              <w:pStyle w:val="单元格样式2"/>
            </w:pPr>
            <w:r>
              <w:t xml:space="preserve">事业运行</w:t>
            </w:r>
          </w:p>
        </w:tc>
        <w:tc>
          <w:tcPr>
            <w:tcW w:w="2551" w:type="dxa"/>
            <w:vAlign w:val="center"/>
          </w:tcPr>
          <w:p>
            <w:pPr>
              <w:pStyle w:val="单元格样式4"/>
            </w:pPr>
            <w:r>
              <w:t xml:space="preserve">131.89</w:t>
            </w:r>
          </w:p>
        </w:tc>
        <w:tc>
          <w:tcPr>
            <w:tcW w:w="2551" w:type="dxa"/>
            <w:vAlign w:val="center"/>
          </w:tcPr>
          <w:p>
            <w:pPr>
              <w:pStyle w:val="单元格样式4"/>
            </w:pPr>
            <w:r>
              <w:t xml:space="preserve">131.89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30.35</w:t>
            </w:r>
          </w:p>
        </w:tc>
        <w:tc>
          <w:tcPr>
            <w:tcW w:w="2551" w:type="dxa"/>
            <w:vAlign w:val="center"/>
          </w:tcPr>
          <w:p>
            <w:pPr>
              <w:pStyle w:val="单元格样式4"/>
            </w:pPr>
            <w:r>
              <w:t xml:space="preserve">30.35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29.33</w:t>
            </w:r>
          </w:p>
        </w:tc>
        <w:tc>
          <w:tcPr>
            <w:tcW w:w="2551" w:type="dxa"/>
            <w:vAlign w:val="center"/>
          </w:tcPr>
          <w:p>
            <w:pPr>
              <w:pStyle w:val="单元格样式4"/>
            </w:pPr>
            <w:r>
              <w:t xml:space="preserve">29.33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4.92</w:t>
            </w:r>
          </w:p>
        </w:tc>
        <w:tc>
          <w:tcPr>
            <w:tcW w:w="2551" w:type="dxa"/>
            <w:vAlign w:val="center"/>
          </w:tcPr>
          <w:p>
            <w:pPr>
              <w:pStyle w:val="单元格样式4"/>
            </w:pPr>
            <w:r>
              <w:t xml:space="preserve">4.92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16.27</w:t>
            </w:r>
          </w:p>
        </w:tc>
        <w:tc>
          <w:tcPr>
            <w:tcW w:w="2551" w:type="dxa"/>
            <w:vAlign w:val="center"/>
          </w:tcPr>
          <w:p>
            <w:pPr>
              <w:pStyle w:val="单元格样式4"/>
            </w:pPr>
            <w:r>
              <w:t xml:space="preserve">16.27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8.14</w:t>
            </w:r>
          </w:p>
        </w:tc>
        <w:tc>
          <w:tcPr>
            <w:tcW w:w="2551" w:type="dxa"/>
            <w:vAlign w:val="center"/>
          </w:tcPr>
          <w:p>
            <w:pPr>
              <w:pStyle w:val="单元格样式4"/>
            </w:pPr>
            <w:r>
              <w:t xml:space="preserve">8.14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1.02</w:t>
            </w:r>
          </w:p>
        </w:tc>
        <w:tc>
          <w:tcPr>
            <w:tcW w:w="2551" w:type="dxa"/>
            <w:vAlign w:val="center"/>
          </w:tcPr>
          <w:p>
            <w:pPr>
              <w:pStyle w:val="单元格样式4"/>
            </w:pPr>
            <w:r>
              <w:t xml:space="preserve">1.02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1.02</w:t>
            </w:r>
          </w:p>
        </w:tc>
        <w:tc>
          <w:tcPr>
            <w:tcW w:w="2551" w:type="dxa"/>
            <w:vAlign w:val="center"/>
          </w:tcPr>
          <w:p>
            <w:pPr>
              <w:pStyle w:val="单元格样式4"/>
            </w:pPr>
            <w:r>
              <w:t xml:space="preserve">1.02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13.76</w:t>
            </w:r>
          </w:p>
        </w:tc>
        <w:tc>
          <w:tcPr>
            <w:tcW w:w="2551" w:type="dxa"/>
            <w:vAlign w:val="center"/>
          </w:tcPr>
          <w:p>
            <w:pPr>
              <w:pStyle w:val="单元格样式4"/>
            </w:pPr>
            <w:r>
              <w:t xml:space="preserve">13.76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13.76</w:t>
            </w:r>
          </w:p>
        </w:tc>
        <w:tc>
          <w:tcPr>
            <w:tcW w:w="2551" w:type="dxa"/>
            <w:vAlign w:val="center"/>
          </w:tcPr>
          <w:p>
            <w:pPr>
              <w:pStyle w:val="单元格样式4"/>
            </w:pPr>
            <w:r>
              <w:t xml:space="preserve">13.76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13.76</w:t>
            </w:r>
          </w:p>
        </w:tc>
        <w:tc>
          <w:tcPr>
            <w:tcW w:w="2551" w:type="dxa"/>
            <w:vAlign w:val="center"/>
          </w:tcPr>
          <w:p>
            <w:pPr>
              <w:pStyle w:val="单元格样式4"/>
            </w:pPr>
            <w:r>
              <w:t xml:space="preserve">13.76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183.40</w:t>
            </w:r>
          </w:p>
        </w:tc>
        <w:tc>
          <w:tcPr>
            <w:tcW w:w="2551" w:type="dxa"/>
            <w:vAlign w:val="center"/>
          </w:tcPr>
          <w:p>
            <w:pPr>
              <w:pStyle w:val="单元格样式7"/>
            </w:pPr>
            <w:r>
              <w:t xml:space="preserve">181.60</w:t>
            </w:r>
          </w:p>
        </w:tc>
        <w:tc>
          <w:tcPr>
            <w:tcW w:w="2551" w:type="dxa"/>
            <w:vAlign w:val="center"/>
          </w:tcPr>
          <w:p>
            <w:pPr>
              <w:pStyle w:val="单元格样式7"/>
            </w:pPr>
            <w:r>
              <w:t xml:space="preserve">1.80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176.68</w:t>
            </w:r>
          </w:p>
        </w:tc>
        <w:tc>
          <w:tcPr>
            <w:tcW w:w="2551" w:type="dxa"/>
            <w:vAlign w:val="center"/>
          </w:tcPr>
          <w:p>
            <w:pPr>
              <w:pStyle w:val="单元格样式4"/>
            </w:pPr>
            <w:r>
              <w:t xml:space="preserve">176.68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68.86</w:t>
            </w:r>
          </w:p>
        </w:tc>
        <w:tc>
          <w:tcPr>
            <w:tcW w:w="2551" w:type="dxa"/>
            <w:vAlign w:val="center"/>
          </w:tcPr>
          <w:p>
            <w:pPr>
              <w:pStyle w:val="单元格样式4"/>
            </w:pPr>
            <w:r>
              <w:t xml:space="preserve">68.86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9.63</w:t>
            </w:r>
          </w:p>
        </w:tc>
        <w:tc>
          <w:tcPr>
            <w:tcW w:w="2551" w:type="dxa"/>
            <w:vAlign w:val="center"/>
          </w:tcPr>
          <w:p>
            <w:pPr>
              <w:pStyle w:val="单元格样式4"/>
            </w:pPr>
            <w:r>
              <w:t xml:space="preserve">9.63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51.60</w:t>
            </w:r>
          </w:p>
        </w:tc>
        <w:tc>
          <w:tcPr>
            <w:tcW w:w="2551" w:type="dxa"/>
            <w:vAlign w:val="center"/>
          </w:tcPr>
          <w:p>
            <w:pPr>
              <w:pStyle w:val="单元格样式4"/>
            </w:pPr>
            <w:r>
              <w:t xml:space="preserve">51.60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16.27</w:t>
            </w:r>
          </w:p>
        </w:tc>
        <w:tc>
          <w:tcPr>
            <w:tcW w:w="2551" w:type="dxa"/>
            <w:vAlign w:val="center"/>
          </w:tcPr>
          <w:p>
            <w:pPr>
              <w:pStyle w:val="单元格样式4"/>
            </w:pPr>
            <w:r>
              <w:t xml:space="preserve">16.27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8.14</w:t>
            </w:r>
          </w:p>
        </w:tc>
        <w:tc>
          <w:tcPr>
            <w:tcW w:w="2551" w:type="dxa"/>
            <w:vAlign w:val="center"/>
          </w:tcPr>
          <w:p>
            <w:pPr>
              <w:pStyle w:val="单元格样式4"/>
            </w:pPr>
            <w:r>
              <w:t xml:space="preserve">8.14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1.02</w:t>
            </w:r>
          </w:p>
        </w:tc>
        <w:tc>
          <w:tcPr>
            <w:tcW w:w="2551" w:type="dxa"/>
            <w:vAlign w:val="center"/>
          </w:tcPr>
          <w:p>
            <w:pPr>
              <w:pStyle w:val="单元格样式4"/>
            </w:pPr>
            <w:r>
              <w:t xml:space="preserve">1.02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13.76</w:t>
            </w:r>
          </w:p>
        </w:tc>
        <w:tc>
          <w:tcPr>
            <w:tcW w:w="2551" w:type="dxa"/>
            <w:vAlign w:val="center"/>
          </w:tcPr>
          <w:p>
            <w:pPr>
              <w:pStyle w:val="单元格样式4"/>
            </w:pPr>
            <w:r>
              <w:t xml:space="preserve">13.76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0.44</w:t>
            </w:r>
          </w:p>
        </w:tc>
        <w:tc>
          <w:tcPr>
            <w:tcW w:w="2551" w:type="dxa"/>
            <w:vAlign w:val="center"/>
          </w:tcPr>
          <w:p>
            <w:pPr>
              <w:pStyle w:val="单元格样式4"/>
            </w:pPr>
          </w:p>
        </w:tc>
        <w:tc>
          <w:tcPr>
            <w:tcW w:w="2551" w:type="dxa"/>
            <w:vAlign w:val="center"/>
          </w:tcPr>
          <w:p>
            <w:pPr>
              <w:pStyle w:val="单元格样式4"/>
            </w:pPr>
            <w:r>
              <w:t xml:space="preserve">0.44</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0.76</w:t>
            </w:r>
          </w:p>
        </w:tc>
        <w:tc>
          <w:tcPr>
            <w:tcW w:w="2551" w:type="dxa"/>
            <w:vAlign w:val="center"/>
          </w:tcPr>
          <w:p>
            <w:pPr>
              <w:pStyle w:val="单元格样式4"/>
            </w:pPr>
          </w:p>
        </w:tc>
        <w:tc>
          <w:tcPr>
            <w:tcW w:w="2551" w:type="dxa"/>
            <w:vAlign w:val="center"/>
          </w:tcPr>
          <w:p>
            <w:pPr>
              <w:pStyle w:val="单元格样式4"/>
            </w:pPr>
            <w:r>
              <w:t xml:space="preserve">0.76</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0.60</w:t>
            </w:r>
          </w:p>
        </w:tc>
        <w:tc>
          <w:tcPr>
            <w:tcW w:w="2551" w:type="dxa"/>
            <w:vAlign w:val="center"/>
          </w:tcPr>
          <w:p>
            <w:pPr>
              <w:pStyle w:val="单元格样式4"/>
            </w:pPr>
          </w:p>
        </w:tc>
        <w:tc>
          <w:tcPr>
            <w:tcW w:w="2551" w:type="dxa"/>
            <w:vAlign w:val="center"/>
          </w:tcPr>
          <w:p>
            <w:pPr>
              <w:pStyle w:val="单元格样式4"/>
            </w:pPr>
            <w:r>
              <w:t xml:space="preserve">0.60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4.92</w:t>
            </w:r>
          </w:p>
        </w:tc>
        <w:tc>
          <w:tcPr>
            <w:tcW w:w="2551" w:type="dxa"/>
            <w:vAlign w:val="center"/>
          </w:tcPr>
          <w:p>
            <w:pPr>
              <w:pStyle w:val="单元格样式4"/>
            </w:pPr>
            <w:r>
              <w:t xml:space="preserve">4.92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4.92</w:t>
            </w:r>
          </w:p>
        </w:tc>
        <w:tc>
          <w:tcPr>
            <w:tcW w:w="2551" w:type="dxa"/>
            <w:vAlign w:val="center"/>
          </w:tcPr>
          <w:p>
            <w:pPr>
              <w:pStyle w:val="单元格样式4"/>
            </w:pPr>
            <w:r>
              <w:t xml:space="preserve">4.92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1.73</w:t>
            </w:r>
          </w:p>
        </w:tc>
        <w:tc>
          <w:tcPr>
            <w:tcW w:w="2551" w:type="dxa"/>
            <w:vAlign w:val="center"/>
          </w:tcPr>
          <w:p>
            <w:pPr>
              <w:pStyle w:val="单元格样式7"/>
            </w:pPr>
          </w:p>
        </w:tc>
        <w:tc>
          <w:tcPr>
            <w:tcW w:w="2551" w:type="dxa"/>
            <w:vAlign w:val="center"/>
          </w:tcPr>
          <w:p>
            <w:pPr>
              <w:pStyle w:val="单元格样式7"/>
            </w:pPr>
            <w:r>
              <w:t xml:space="preserve">1.73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1.73</w:t>
            </w:r>
          </w:p>
        </w:tc>
        <w:tc>
          <w:tcPr>
            <w:tcW w:w="2551" w:type="dxa"/>
            <w:vAlign w:val="center"/>
          </w:tcPr>
          <w:p>
            <w:pPr>
              <w:pStyle w:val="单元格样式4"/>
            </w:pPr>
          </w:p>
        </w:tc>
        <w:tc>
          <w:tcPr>
            <w:tcW w:w="2551" w:type="dxa"/>
            <w:vAlign w:val="center"/>
          </w:tcPr>
          <w:p>
            <w:pPr>
              <w:pStyle w:val="单元格样式4"/>
            </w:pPr>
            <w:r>
              <w:t xml:space="preserve">1.73</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1.73</w:t>
            </w:r>
          </w:p>
        </w:tc>
        <w:tc>
          <w:tcPr>
            <w:tcW w:w="2551" w:type="dxa"/>
            <w:vAlign w:val="center"/>
          </w:tcPr>
          <w:p>
            <w:pPr>
              <w:pStyle w:val="单元格样式4"/>
            </w:pPr>
          </w:p>
        </w:tc>
        <w:tc>
          <w:tcPr>
            <w:tcW w:w="2551" w:type="dxa"/>
            <w:vAlign w:val="center"/>
          </w:tcPr>
          <w:p>
            <w:pPr>
              <w:pStyle w:val="单元格样式4"/>
            </w:pPr>
            <w:r>
              <w:t xml:space="preserve">1.73</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2120801</w:t>
            </w:r>
          </w:p>
        </w:tc>
        <w:tc>
          <w:tcPr>
            <w:tcW w:w="4535" w:type="dxa"/>
            <w:vAlign w:val="center"/>
          </w:tcPr>
          <w:p>
            <w:pPr>
              <w:pStyle w:val="单元格样式2"/>
            </w:pPr>
            <w:r>
              <w:t xml:space="preserve">征地和拆迁补偿支出</w:t>
            </w:r>
          </w:p>
        </w:tc>
        <w:tc>
          <w:tcPr>
            <w:tcW w:w="2551" w:type="dxa"/>
            <w:vAlign w:val="center"/>
          </w:tcPr>
          <w:p>
            <w:pPr>
              <w:pStyle w:val="单元格样式4"/>
            </w:pPr>
            <w:r>
              <w:t xml:space="preserve">1.73</w:t>
            </w:r>
          </w:p>
        </w:tc>
        <w:tc>
          <w:tcPr>
            <w:tcW w:w="2551" w:type="dxa"/>
            <w:vAlign w:val="center"/>
          </w:tcPr>
          <w:p>
            <w:pPr>
              <w:pStyle w:val="单元格样式4"/>
            </w:pPr>
          </w:p>
        </w:tc>
        <w:tc>
          <w:tcPr>
            <w:tcW w:w="2551" w:type="dxa"/>
            <w:vAlign w:val="center"/>
          </w:tcPr>
          <w:p>
            <w:pPr>
              <w:pStyle w:val="单元格样式4"/>
            </w:pPr>
            <w:r>
              <w:t xml:space="preserve">1.73</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新乐市市场管理中心2025年单位预算信息公开情况说明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按照《中华人民共和国预算法》、《地方预决算公开操作规程》和《关于进一步推进预算公开工作的实施意见》规定，现将新乐市市场管理中心2025年单位预算公开如下：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搞好市场服务管理，促进市场繁荣发展。负责所辖市场的服务、管理和新建市场的建设、开发工作。履行市场物业管理、市场资产经营、市场建设开发、提供市场服务，按有关政策、规定收取市场设施租赁费、交易费及相关费用。</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新乐市市场管理中心</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185.13万元，其中：一般公共预算收入183.40万元，基金预算收入1.73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市场管理中心年度单位预算中支出预算的总体情况。2025年支出预算185.13万元，其中基本支出183.40万元，包括人员经费181.60万元和日常公用经费1.80万元；项目支出1.73万元，主要为项目支出为新乐集贸市场占地补偿款。</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2025年预算收支安排185.13万元，较2024年预算增加26.34万元，其中：基本支出增加24.61万元，主要为人员经费增长项目支出增加1.73万元，主要为新乐集贸市场占地补偿款</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1、2025年本级支出-新乐市集贸市场占地补偿款绩效目标表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13018425P00522210016M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2025年本级支出-新乐市集贸市场占地补偿款</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新乐集贸市场占地补偿款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1.73</w:t>
            </w:r>
          </w:p>
        </w:tc>
        <w:tc>
          <w:tcPr>
            <w:tcW w:w="3544" w:type="dxa"/>
            <w:gridSpan w:val="2"/>
            <w:vAlign w:val="center"/>
          </w:tcPr>
          <w:p>
            <w:pPr>
              <w:pStyle w:val="单元格样式3"/>
            </w:pPr>
            <w:r>
              <w:t xml:space="preserve"> </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1.按期支付市场土地租赁费用，保证市场正常运营。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支付租赁费市场数量</w:t>
            </w:r>
          </w:p>
        </w:tc>
        <w:tc>
          <w:tcPr>
            <w:tcW w:w="5386" w:type="dxa"/>
            <w:vAlign w:val="center"/>
          </w:tcPr>
          <w:p>
            <w:pPr>
              <w:pStyle w:val="单元格样式2"/>
            </w:pPr>
            <w:r>
              <w:t xml:space="preserve">支付市场租赁土地费用</w:t>
            </w:r>
          </w:p>
        </w:tc>
        <w:tc>
          <w:tcPr>
            <w:tcW w:w="2268" w:type="dxa"/>
            <w:vAlign w:val="center"/>
          </w:tcPr>
          <w:p>
            <w:pPr>
              <w:pStyle w:val="单元格样式2"/>
            </w:pPr>
            <w:r>
              <w:t xml:space="preserve">1</w:t>
            </w:r>
          </w:p>
        </w:tc>
        <w:tc>
          <w:tcPr>
            <w:tcW w:w="1276" w:type="dxa"/>
            <w:vAlign w:val="center"/>
          </w:tcPr>
          <w:p>
            <w:pPr>
              <w:pStyle w:val="单元格样式2"/>
            </w:pPr>
            <w:r>
              <w:t xml:space="preserve">合同约定</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市场秩序</w:t>
            </w:r>
          </w:p>
        </w:tc>
        <w:tc>
          <w:tcPr>
            <w:tcW w:w="5386" w:type="dxa"/>
            <w:vAlign w:val="center"/>
          </w:tcPr>
          <w:p>
            <w:pPr>
              <w:pStyle w:val="单元格样式2"/>
            </w:pPr>
            <w:r>
              <w:t xml:space="preserve">市场经营井然有序</w:t>
            </w:r>
          </w:p>
        </w:tc>
        <w:tc>
          <w:tcPr>
            <w:tcW w:w="2268" w:type="dxa"/>
            <w:vAlign w:val="center"/>
          </w:tcPr>
          <w:p>
            <w:pPr>
              <w:pStyle w:val="单元格样式2"/>
            </w:pPr>
            <w:r>
              <w:t xml:space="preserve">市场秩序良好</w:t>
            </w:r>
          </w:p>
        </w:tc>
        <w:tc>
          <w:tcPr>
            <w:tcW w:w="1276" w:type="dxa"/>
            <w:vAlign w:val="center"/>
          </w:tcPr>
          <w:p>
            <w:pPr>
              <w:pStyle w:val="单元格样式2"/>
            </w:pPr>
            <w:r>
              <w:t xml:space="preserve">市场管理需要</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及时支付</w:t>
            </w:r>
          </w:p>
        </w:tc>
        <w:tc>
          <w:tcPr>
            <w:tcW w:w="5386" w:type="dxa"/>
            <w:vAlign w:val="center"/>
          </w:tcPr>
          <w:p>
            <w:pPr>
              <w:pStyle w:val="单元格样式2"/>
            </w:pPr>
            <w:r>
              <w:t xml:space="preserve">到期及时支付</w:t>
            </w:r>
          </w:p>
        </w:tc>
        <w:tc>
          <w:tcPr>
            <w:tcW w:w="2268" w:type="dxa"/>
            <w:vAlign w:val="center"/>
          </w:tcPr>
          <w:p>
            <w:pPr>
              <w:pStyle w:val="单元格样式2"/>
            </w:pPr>
            <w:r>
              <w:t xml:space="preserve">每年按期支付</w:t>
            </w:r>
          </w:p>
        </w:tc>
        <w:tc>
          <w:tcPr>
            <w:tcW w:w="1276" w:type="dxa"/>
            <w:vAlign w:val="center"/>
          </w:tcPr>
          <w:p>
            <w:pPr>
              <w:pStyle w:val="单元格样式2"/>
            </w:pPr>
            <w:r>
              <w:t xml:space="preserve">合同约定</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控制成本</w:t>
            </w:r>
          </w:p>
        </w:tc>
        <w:tc>
          <w:tcPr>
            <w:tcW w:w="5386" w:type="dxa"/>
            <w:vAlign w:val="center"/>
          </w:tcPr>
          <w:p>
            <w:pPr>
              <w:pStyle w:val="单元格样式2"/>
            </w:pPr>
            <w:r>
              <w:t xml:space="preserve">控制租赁成本</w:t>
            </w:r>
          </w:p>
        </w:tc>
        <w:tc>
          <w:tcPr>
            <w:tcW w:w="2268" w:type="dxa"/>
            <w:vAlign w:val="center"/>
          </w:tcPr>
          <w:p>
            <w:pPr>
              <w:pStyle w:val="单元格样式2"/>
            </w:pPr>
            <w:r>
              <w:t xml:space="preserve">≤1.73</w:t>
            </w:r>
          </w:p>
        </w:tc>
        <w:tc>
          <w:tcPr>
            <w:tcW w:w="1276" w:type="dxa"/>
            <w:vAlign w:val="center"/>
          </w:tcPr>
          <w:p>
            <w:pPr>
              <w:pStyle w:val="单元格样式2"/>
            </w:pPr>
            <w:r>
              <w:t xml:space="preserve">合同约定</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保证市场正常运营</w:t>
            </w:r>
          </w:p>
        </w:tc>
        <w:tc>
          <w:tcPr>
            <w:tcW w:w="5386" w:type="dxa"/>
            <w:vAlign w:val="center"/>
          </w:tcPr>
          <w:p>
            <w:pPr>
              <w:pStyle w:val="单元格样式2"/>
            </w:pPr>
            <w:r>
              <w:t xml:space="preserve">加强市场管理，保证市场运营平稳</w:t>
            </w:r>
          </w:p>
        </w:tc>
        <w:tc>
          <w:tcPr>
            <w:tcW w:w="2268" w:type="dxa"/>
            <w:vAlign w:val="center"/>
          </w:tcPr>
          <w:p>
            <w:pPr>
              <w:pStyle w:val="单元格样式2"/>
            </w:pPr>
            <w:r>
              <w:t xml:space="preserve">市场运营平稳</w:t>
            </w:r>
          </w:p>
        </w:tc>
        <w:tc>
          <w:tcPr>
            <w:tcW w:w="1276" w:type="dxa"/>
            <w:vAlign w:val="center"/>
          </w:tcPr>
          <w:p>
            <w:pPr>
              <w:pStyle w:val="单元格样式2"/>
            </w:pPr>
            <w:r>
              <w:t xml:space="preserve">市场管理需要</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提高服务对象满意度</w:t>
            </w:r>
          </w:p>
        </w:tc>
        <w:tc>
          <w:tcPr>
            <w:tcW w:w="5386" w:type="dxa"/>
            <w:vAlign w:val="center"/>
          </w:tcPr>
          <w:p>
            <w:pPr>
              <w:pStyle w:val="单元格样式2"/>
            </w:pPr>
            <w:r>
              <w:t xml:space="preserve">服务对象满意度调查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满意度调查</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新乐市市场管理中心上年末固定资产金额为10082568.21万元（详见下表）。本年度拟购置固定资产总额为0.00万元，已按要求列入政府采购预算，详见政府采购预算表。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506002新乐市市场管理中心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10082568.21</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2220</w:t>
            </w:r>
          </w:p>
        </w:tc>
        <w:tc>
          <w:tcPr>
            <w:tcW w:w="2835" w:type="dxa"/>
            <w:vAlign w:val="center"/>
          </w:tcPr>
          <w:p>
            <w:pPr>
              <w:pStyle w:val="单元格样式4"/>
            </w:pPr>
            <w:r>
              <w:t xml:space="preserve">1304765.27</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1180000.00</w:t>
            </w: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196</w:t>
            </w:r>
          </w:p>
        </w:tc>
        <w:tc>
          <w:tcPr>
            <w:tcW w:w="2835" w:type="dxa"/>
            <w:vAlign w:val="center"/>
          </w:tcPr>
          <w:p>
            <w:pPr>
              <w:pStyle w:val="单元格样式4"/>
            </w:pPr>
            <w:r>
              <w:t xml:space="preserve">7597802.94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62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63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65</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2025-09-09T11:19:01Z</dcterms:created>
  <dcterms:modified xsi:type="dcterms:W3CDTF">2025-09-09T11:19:01Z</dcterms:modified>
</cp:coreProperties>
</file>