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8</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21</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22</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27</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28</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50</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50</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50</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51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24778.17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131.89</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1426.96</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612.83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332.98</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10100.58</w:t>
            </w: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90.20</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26205.13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38029.10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11823.97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38029.10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38029.10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38029.10</w:t>
            </w:r>
          </w:p>
        </w:tc>
        <w:tc>
          <w:tcPr>
            <w:tcW w:w="1134" w:type="dxa"/>
            <w:vAlign w:val="center"/>
          </w:tcPr>
          <w:p>
            <w:pPr>
              <w:pStyle w:val="单元格样式7"/>
            </w:pPr>
            <w:r>
              <w:t xml:space="preserve">26205.13</w:t>
            </w:r>
          </w:p>
        </w:tc>
        <w:tc>
          <w:tcPr>
            <w:tcW w:w="1134" w:type="dxa"/>
            <w:vAlign w:val="center"/>
          </w:tcPr>
          <w:p>
            <w:pPr>
              <w:pStyle w:val="单元格样式7"/>
            </w:pPr>
            <w:r>
              <w:t xml:space="preserve">26205.13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11823.97</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20113</w:t>
            </w:r>
          </w:p>
        </w:tc>
        <w:tc>
          <w:tcPr>
            <w:tcW w:w="1559" w:type="dxa"/>
            <w:vAlign w:val="center"/>
          </w:tcPr>
          <w:p>
            <w:pPr>
              <w:pStyle w:val="单元格样式2"/>
            </w:pPr>
            <w:r>
              <w:t xml:space="preserve">商贸事务</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2011350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612.83</w:t>
            </w:r>
          </w:p>
        </w:tc>
        <w:tc>
          <w:tcPr>
            <w:tcW w:w="1134" w:type="dxa"/>
            <w:vAlign w:val="center"/>
          </w:tcPr>
          <w:p>
            <w:pPr>
              <w:pStyle w:val="单元格样式4"/>
            </w:pPr>
            <w:r>
              <w:t xml:space="preserve">612.83</w:t>
            </w:r>
          </w:p>
        </w:tc>
        <w:tc>
          <w:tcPr>
            <w:tcW w:w="1134" w:type="dxa"/>
            <w:vAlign w:val="center"/>
          </w:tcPr>
          <w:p>
            <w:pPr>
              <w:pStyle w:val="单元格样式4"/>
            </w:pPr>
            <w:r>
              <w:t xml:space="preserve">612.83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562.14</w:t>
            </w:r>
          </w:p>
        </w:tc>
        <w:tc>
          <w:tcPr>
            <w:tcW w:w="1134" w:type="dxa"/>
            <w:vAlign w:val="center"/>
          </w:tcPr>
          <w:p>
            <w:pPr>
              <w:pStyle w:val="单元格样式4"/>
            </w:pPr>
            <w:r>
              <w:t xml:space="preserve">562.14</w:t>
            </w:r>
          </w:p>
        </w:tc>
        <w:tc>
          <w:tcPr>
            <w:tcW w:w="1134" w:type="dxa"/>
            <w:vAlign w:val="center"/>
          </w:tcPr>
          <w:p>
            <w:pPr>
              <w:pStyle w:val="单元格样式4"/>
            </w:pPr>
            <w:r>
              <w:t xml:space="preserve">562.14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39.66</w:t>
            </w:r>
          </w:p>
        </w:tc>
        <w:tc>
          <w:tcPr>
            <w:tcW w:w="1134" w:type="dxa"/>
            <w:vAlign w:val="center"/>
          </w:tcPr>
          <w:p>
            <w:pPr>
              <w:pStyle w:val="单元格样式4"/>
            </w:pPr>
            <w:r>
              <w:t xml:space="preserve">39.66</w:t>
            </w:r>
          </w:p>
        </w:tc>
        <w:tc>
          <w:tcPr>
            <w:tcW w:w="1134" w:type="dxa"/>
            <w:vAlign w:val="center"/>
          </w:tcPr>
          <w:p>
            <w:pPr>
              <w:pStyle w:val="单元格样式4"/>
            </w:pPr>
            <w:r>
              <w:t xml:space="preserve">39.66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499.59</w:t>
            </w:r>
          </w:p>
        </w:tc>
        <w:tc>
          <w:tcPr>
            <w:tcW w:w="1134" w:type="dxa"/>
            <w:vAlign w:val="center"/>
          </w:tcPr>
          <w:p>
            <w:pPr>
              <w:pStyle w:val="单元格样式4"/>
            </w:pPr>
            <w:r>
              <w:t xml:space="preserve">499.59</w:t>
            </w:r>
          </w:p>
        </w:tc>
        <w:tc>
          <w:tcPr>
            <w:tcW w:w="1134" w:type="dxa"/>
            <w:vAlign w:val="center"/>
          </w:tcPr>
          <w:p>
            <w:pPr>
              <w:pStyle w:val="单元格样式4"/>
            </w:pPr>
            <w:r>
              <w:t xml:space="preserve">499.59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50.69</w:t>
            </w:r>
          </w:p>
        </w:tc>
        <w:tc>
          <w:tcPr>
            <w:tcW w:w="1134" w:type="dxa"/>
            <w:vAlign w:val="center"/>
          </w:tcPr>
          <w:p>
            <w:pPr>
              <w:pStyle w:val="单元格样式4"/>
            </w:pPr>
            <w:r>
              <w:t xml:space="preserve">50.69</w:t>
            </w:r>
          </w:p>
        </w:tc>
        <w:tc>
          <w:tcPr>
            <w:tcW w:w="1134" w:type="dxa"/>
            <w:vAlign w:val="center"/>
          </w:tcPr>
          <w:p>
            <w:pPr>
              <w:pStyle w:val="单元格样式4"/>
            </w:pPr>
            <w:r>
              <w:t xml:space="preserve">50.69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50.69</w:t>
            </w:r>
          </w:p>
        </w:tc>
        <w:tc>
          <w:tcPr>
            <w:tcW w:w="1134" w:type="dxa"/>
            <w:vAlign w:val="center"/>
          </w:tcPr>
          <w:p>
            <w:pPr>
              <w:pStyle w:val="单元格样式4"/>
            </w:pPr>
            <w:r>
              <w:t xml:space="preserve">50.69</w:t>
            </w:r>
          </w:p>
        </w:tc>
        <w:tc>
          <w:tcPr>
            <w:tcW w:w="1134" w:type="dxa"/>
            <w:vAlign w:val="center"/>
          </w:tcPr>
          <w:p>
            <w:pPr>
              <w:pStyle w:val="单元格样式4"/>
            </w:pPr>
            <w:r>
              <w:t xml:space="preserve">50.69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332.98</w:t>
            </w:r>
          </w:p>
        </w:tc>
        <w:tc>
          <w:tcPr>
            <w:tcW w:w="1134" w:type="dxa"/>
            <w:vAlign w:val="center"/>
          </w:tcPr>
          <w:p>
            <w:pPr>
              <w:pStyle w:val="单元格样式4"/>
            </w:pPr>
            <w:r>
              <w:t xml:space="preserve">332.98</w:t>
            </w:r>
          </w:p>
        </w:tc>
        <w:tc>
          <w:tcPr>
            <w:tcW w:w="1134" w:type="dxa"/>
            <w:vAlign w:val="center"/>
          </w:tcPr>
          <w:p>
            <w:pPr>
              <w:pStyle w:val="单元格样式4"/>
            </w:pPr>
            <w:r>
              <w:t xml:space="preserve">332.98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332.98</w:t>
            </w:r>
          </w:p>
        </w:tc>
        <w:tc>
          <w:tcPr>
            <w:tcW w:w="1134" w:type="dxa"/>
            <w:vAlign w:val="center"/>
          </w:tcPr>
          <w:p>
            <w:pPr>
              <w:pStyle w:val="单元格样式4"/>
            </w:pPr>
            <w:r>
              <w:t xml:space="preserve">332.98</w:t>
            </w:r>
          </w:p>
        </w:tc>
        <w:tc>
          <w:tcPr>
            <w:tcW w:w="1134" w:type="dxa"/>
            <w:vAlign w:val="center"/>
          </w:tcPr>
          <w:p>
            <w:pPr>
              <w:pStyle w:val="单元格样式4"/>
            </w:pPr>
            <w:r>
              <w:t xml:space="preserve">332.98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10100.58</w:t>
            </w:r>
          </w:p>
        </w:tc>
        <w:tc>
          <w:tcPr>
            <w:tcW w:w="1134" w:type="dxa"/>
            <w:vAlign w:val="center"/>
          </w:tcPr>
          <w:p>
            <w:pPr>
              <w:pStyle w:val="单元格样式4"/>
            </w:pPr>
            <w:r>
              <w:t xml:space="preserve">10015.14</w:t>
            </w:r>
          </w:p>
        </w:tc>
        <w:tc>
          <w:tcPr>
            <w:tcW w:w="1134" w:type="dxa"/>
            <w:vAlign w:val="center"/>
          </w:tcPr>
          <w:p>
            <w:pPr>
              <w:pStyle w:val="单元格样式4"/>
            </w:pPr>
            <w:r>
              <w:t xml:space="preserve">10015.14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8468.68</w:t>
            </w:r>
          </w:p>
        </w:tc>
        <w:tc>
          <w:tcPr>
            <w:tcW w:w="1134" w:type="dxa"/>
            <w:vAlign w:val="center"/>
          </w:tcPr>
          <w:p>
            <w:pPr>
              <w:pStyle w:val="单元格样式4"/>
            </w:pPr>
            <w:r>
              <w:t xml:space="preserve">8383.23</w:t>
            </w:r>
          </w:p>
        </w:tc>
        <w:tc>
          <w:tcPr>
            <w:tcW w:w="1134" w:type="dxa"/>
            <w:vAlign w:val="center"/>
          </w:tcPr>
          <w:p>
            <w:pPr>
              <w:pStyle w:val="单元格样式4"/>
            </w:pPr>
            <w:r>
              <w:t xml:space="preserve">8383.23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4453.23</w:t>
            </w:r>
          </w:p>
        </w:tc>
        <w:tc>
          <w:tcPr>
            <w:tcW w:w="1134" w:type="dxa"/>
            <w:vAlign w:val="center"/>
          </w:tcPr>
          <w:p>
            <w:pPr>
              <w:pStyle w:val="单元格样式4"/>
            </w:pPr>
            <w:r>
              <w:t xml:space="preserve">4453.23</w:t>
            </w:r>
          </w:p>
        </w:tc>
        <w:tc>
          <w:tcPr>
            <w:tcW w:w="1134" w:type="dxa"/>
            <w:vAlign w:val="center"/>
          </w:tcPr>
          <w:p>
            <w:pPr>
              <w:pStyle w:val="单元格样式4"/>
            </w:pPr>
            <w:r>
              <w:t xml:space="preserve">4453.23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2120104</w:t>
            </w:r>
          </w:p>
        </w:tc>
        <w:tc>
          <w:tcPr>
            <w:tcW w:w="1559" w:type="dxa"/>
            <w:vAlign w:val="center"/>
          </w:tcPr>
          <w:p>
            <w:pPr>
              <w:pStyle w:val="单元格样式2"/>
            </w:pPr>
            <w:r>
              <w:t xml:space="preserve">城管执法</w:t>
            </w:r>
          </w:p>
        </w:tc>
        <w:tc>
          <w:tcPr>
            <w:tcW w:w="1134" w:type="dxa"/>
            <w:vAlign w:val="center"/>
          </w:tcPr>
          <w:p>
            <w:pPr>
              <w:pStyle w:val="单元格样式4"/>
            </w:pPr>
            <w:r>
              <w:t xml:space="preserve">4015.45</w:t>
            </w:r>
          </w:p>
        </w:tc>
        <w:tc>
          <w:tcPr>
            <w:tcW w:w="1134" w:type="dxa"/>
            <w:vAlign w:val="center"/>
          </w:tcPr>
          <w:p>
            <w:pPr>
              <w:pStyle w:val="单元格样式4"/>
            </w:pPr>
            <w:r>
              <w:t xml:space="preserve">3930.00</w:t>
            </w:r>
          </w:p>
        </w:tc>
        <w:tc>
          <w:tcPr>
            <w:tcW w:w="1134" w:type="dxa"/>
            <w:vAlign w:val="center"/>
          </w:tcPr>
          <w:p>
            <w:pPr>
              <w:pStyle w:val="单元格样式4"/>
            </w:pPr>
            <w:r>
              <w:t xml:space="preserve">3930.00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1426.96</w:t>
            </w:r>
          </w:p>
        </w:tc>
        <w:tc>
          <w:tcPr>
            <w:tcW w:w="1134" w:type="dxa"/>
            <w:vAlign w:val="center"/>
          </w:tcPr>
          <w:p>
            <w:pPr>
              <w:pStyle w:val="单元格样式4"/>
            </w:pPr>
            <w:r>
              <w:t xml:space="preserve">1426.96</w:t>
            </w:r>
          </w:p>
        </w:tc>
        <w:tc>
          <w:tcPr>
            <w:tcW w:w="1134" w:type="dxa"/>
            <w:vAlign w:val="center"/>
          </w:tcPr>
          <w:p>
            <w:pPr>
              <w:pStyle w:val="单元格样式4"/>
            </w:pPr>
            <w:r>
              <w:t xml:space="preserve">1426.96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1426.96</w:t>
            </w:r>
          </w:p>
        </w:tc>
        <w:tc>
          <w:tcPr>
            <w:tcW w:w="1134" w:type="dxa"/>
            <w:vAlign w:val="center"/>
          </w:tcPr>
          <w:p>
            <w:pPr>
              <w:pStyle w:val="单元格样式4"/>
            </w:pPr>
            <w:r>
              <w:t xml:space="preserve">1426.96</w:t>
            </w:r>
          </w:p>
        </w:tc>
        <w:tc>
          <w:tcPr>
            <w:tcW w:w="1134" w:type="dxa"/>
            <w:vAlign w:val="center"/>
          </w:tcPr>
          <w:p>
            <w:pPr>
              <w:pStyle w:val="单元格样式4"/>
            </w:pPr>
            <w:r>
              <w:t xml:space="preserve">1426.96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r>
              <w:t xml:space="preserve">90.20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2240799</w:t>
            </w:r>
          </w:p>
        </w:tc>
        <w:tc>
          <w:tcPr>
            <w:tcW w:w="1559" w:type="dxa"/>
            <w:vAlign w:val="center"/>
          </w:tcPr>
          <w:p>
            <w:pPr>
              <w:pStyle w:val="单元格样式2"/>
            </w:pPr>
            <w:r>
              <w:t xml:space="preserve">其他自然灾害救灾及恢复重建支出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r>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38029.10</w:t>
            </w:r>
          </w:p>
        </w:tc>
        <w:tc>
          <w:tcPr>
            <w:tcW w:w="1361" w:type="dxa"/>
            <w:vAlign w:val="center"/>
          </w:tcPr>
          <w:p>
            <w:pPr>
              <w:pStyle w:val="单元格样式7"/>
            </w:pPr>
            <w:r>
              <w:t xml:space="preserve">5621.13</w:t>
            </w:r>
          </w:p>
        </w:tc>
        <w:tc>
          <w:tcPr>
            <w:tcW w:w="1361" w:type="dxa"/>
            <w:vAlign w:val="center"/>
          </w:tcPr>
          <w:p>
            <w:pPr>
              <w:pStyle w:val="单元格样式7"/>
            </w:pPr>
            <w:r>
              <w:t xml:space="preserve">32407.97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20113</w:t>
            </w:r>
          </w:p>
        </w:tc>
        <w:tc>
          <w:tcPr>
            <w:tcW w:w="4535" w:type="dxa"/>
            <w:vAlign w:val="center"/>
          </w:tcPr>
          <w:p>
            <w:pPr>
              <w:pStyle w:val="单元格样式2"/>
            </w:pPr>
            <w:r>
              <w:t xml:space="preserve">商贸事务</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612.83</w:t>
            </w:r>
          </w:p>
        </w:tc>
        <w:tc>
          <w:tcPr>
            <w:tcW w:w="1361" w:type="dxa"/>
            <w:vAlign w:val="center"/>
          </w:tcPr>
          <w:p>
            <w:pPr>
              <w:pStyle w:val="单元格样式4"/>
            </w:pPr>
            <w:r>
              <w:t xml:space="preserve">612.83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562.14</w:t>
            </w:r>
          </w:p>
        </w:tc>
        <w:tc>
          <w:tcPr>
            <w:tcW w:w="1361" w:type="dxa"/>
            <w:vAlign w:val="center"/>
          </w:tcPr>
          <w:p>
            <w:pPr>
              <w:pStyle w:val="单元格样式4"/>
            </w:pPr>
            <w:r>
              <w:t xml:space="preserve">562.14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39.66</w:t>
            </w:r>
          </w:p>
        </w:tc>
        <w:tc>
          <w:tcPr>
            <w:tcW w:w="1361" w:type="dxa"/>
            <w:vAlign w:val="center"/>
          </w:tcPr>
          <w:p>
            <w:pPr>
              <w:pStyle w:val="单元格样式4"/>
            </w:pPr>
            <w:r>
              <w:t xml:space="preserve">39.66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499.59</w:t>
            </w:r>
          </w:p>
        </w:tc>
        <w:tc>
          <w:tcPr>
            <w:tcW w:w="1361" w:type="dxa"/>
            <w:vAlign w:val="center"/>
          </w:tcPr>
          <w:p>
            <w:pPr>
              <w:pStyle w:val="单元格样式4"/>
            </w:pPr>
            <w:r>
              <w:t xml:space="preserve">499.59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22.89</w:t>
            </w:r>
          </w:p>
        </w:tc>
        <w:tc>
          <w:tcPr>
            <w:tcW w:w="1361" w:type="dxa"/>
            <w:vAlign w:val="center"/>
          </w:tcPr>
          <w:p>
            <w:pPr>
              <w:pStyle w:val="单元格样式4"/>
            </w:pPr>
            <w:r>
              <w:t xml:space="preserve">22.89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50.69</w:t>
            </w:r>
          </w:p>
        </w:tc>
        <w:tc>
          <w:tcPr>
            <w:tcW w:w="1361" w:type="dxa"/>
            <w:vAlign w:val="center"/>
          </w:tcPr>
          <w:p>
            <w:pPr>
              <w:pStyle w:val="单元格样式4"/>
            </w:pPr>
            <w:r>
              <w:t xml:space="preserve">50.69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50.69</w:t>
            </w:r>
          </w:p>
        </w:tc>
        <w:tc>
          <w:tcPr>
            <w:tcW w:w="1361" w:type="dxa"/>
            <w:vAlign w:val="center"/>
          </w:tcPr>
          <w:p>
            <w:pPr>
              <w:pStyle w:val="单元格样式4"/>
            </w:pPr>
            <w:r>
              <w:t xml:space="preserve">50.69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332.98</w:t>
            </w:r>
          </w:p>
        </w:tc>
        <w:tc>
          <w:tcPr>
            <w:tcW w:w="1361" w:type="dxa"/>
            <w:vAlign w:val="center"/>
          </w:tcPr>
          <w:p>
            <w:pPr>
              <w:pStyle w:val="单元格样式4"/>
            </w:pPr>
            <w:r>
              <w:t xml:space="preserve">332.98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332.98</w:t>
            </w:r>
          </w:p>
        </w:tc>
        <w:tc>
          <w:tcPr>
            <w:tcW w:w="1361" w:type="dxa"/>
            <w:vAlign w:val="center"/>
          </w:tcPr>
          <w:p>
            <w:pPr>
              <w:pStyle w:val="单元格样式4"/>
            </w:pPr>
            <w:r>
              <w:t xml:space="preserve">332.98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325.58</w:t>
            </w:r>
          </w:p>
        </w:tc>
        <w:tc>
          <w:tcPr>
            <w:tcW w:w="1361" w:type="dxa"/>
            <w:vAlign w:val="center"/>
          </w:tcPr>
          <w:p>
            <w:pPr>
              <w:pStyle w:val="单元格样式4"/>
            </w:pPr>
            <w:r>
              <w:t xml:space="preserve">325.58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10100.58</w:t>
            </w:r>
          </w:p>
        </w:tc>
        <w:tc>
          <w:tcPr>
            <w:tcW w:w="1361" w:type="dxa"/>
            <w:vAlign w:val="center"/>
          </w:tcPr>
          <w:p>
            <w:pPr>
              <w:pStyle w:val="单元格样式4"/>
            </w:pPr>
            <w:r>
              <w:t xml:space="preserve">4453.23</w:t>
            </w:r>
          </w:p>
        </w:tc>
        <w:tc>
          <w:tcPr>
            <w:tcW w:w="1361" w:type="dxa"/>
            <w:vAlign w:val="center"/>
          </w:tcPr>
          <w:p>
            <w:pPr>
              <w:pStyle w:val="单元格样式4"/>
            </w:pPr>
            <w:r>
              <w:t xml:space="preserve">5647.35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8468.68</w:t>
            </w:r>
          </w:p>
        </w:tc>
        <w:tc>
          <w:tcPr>
            <w:tcW w:w="1361" w:type="dxa"/>
            <w:vAlign w:val="center"/>
          </w:tcPr>
          <w:p>
            <w:pPr>
              <w:pStyle w:val="单元格样式4"/>
            </w:pPr>
            <w:r>
              <w:t xml:space="preserve">4453.23</w:t>
            </w: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4453.23</w:t>
            </w:r>
          </w:p>
        </w:tc>
        <w:tc>
          <w:tcPr>
            <w:tcW w:w="1361" w:type="dxa"/>
            <w:vAlign w:val="center"/>
          </w:tcPr>
          <w:p>
            <w:pPr>
              <w:pStyle w:val="单元格样式4"/>
            </w:pPr>
            <w:r>
              <w:t xml:space="preserve">4453.23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1426.96</w:t>
            </w:r>
          </w:p>
        </w:tc>
        <w:tc>
          <w:tcPr>
            <w:tcW w:w="1361" w:type="dxa"/>
            <w:vAlign w:val="center"/>
          </w:tcPr>
          <w:p>
            <w:pPr>
              <w:pStyle w:val="单元格样式4"/>
            </w:pPr>
          </w:p>
        </w:tc>
        <w:tc>
          <w:tcPr>
            <w:tcW w:w="1361" w:type="dxa"/>
            <w:vAlign w:val="center"/>
          </w:tcPr>
          <w:p>
            <w:pPr>
              <w:pStyle w:val="单元格样式4"/>
            </w:pPr>
            <w:r>
              <w:t xml:space="preserve">1426.96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1426.96</w:t>
            </w:r>
          </w:p>
        </w:tc>
        <w:tc>
          <w:tcPr>
            <w:tcW w:w="1361" w:type="dxa"/>
            <w:vAlign w:val="center"/>
          </w:tcPr>
          <w:p>
            <w:pPr>
              <w:pStyle w:val="单元格样式4"/>
            </w:pPr>
          </w:p>
        </w:tc>
        <w:tc>
          <w:tcPr>
            <w:tcW w:w="1361" w:type="dxa"/>
            <w:vAlign w:val="center"/>
          </w:tcPr>
          <w:p>
            <w:pPr>
              <w:pStyle w:val="单元格样式4"/>
            </w:pPr>
            <w:r>
              <w:t xml:space="preserve">1426.96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90.20</w:t>
            </w:r>
          </w:p>
        </w:tc>
        <w:tc>
          <w:tcPr>
            <w:tcW w:w="1361" w:type="dxa"/>
            <w:vAlign w:val="center"/>
          </w:tcPr>
          <w:p>
            <w:pPr>
              <w:pStyle w:val="单元格样式4"/>
            </w:pPr>
            <w:r>
              <w:t xml:space="preserve">90.20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90.20</w:t>
            </w:r>
          </w:p>
        </w:tc>
        <w:tc>
          <w:tcPr>
            <w:tcW w:w="1361" w:type="dxa"/>
            <w:vAlign w:val="center"/>
          </w:tcPr>
          <w:p>
            <w:pPr>
              <w:pStyle w:val="单元格样式4"/>
            </w:pPr>
            <w:r>
              <w:t xml:space="preserve">90.20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90.20</w:t>
            </w:r>
          </w:p>
        </w:tc>
        <w:tc>
          <w:tcPr>
            <w:tcW w:w="1361" w:type="dxa"/>
            <w:vAlign w:val="center"/>
          </w:tcPr>
          <w:p>
            <w:pPr>
              <w:pStyle w:val="单元格样式4"/>
            </w:pPr>
            <w:r>
              <w:t xml:space="preserve">90.20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24778.17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131.89</w:t>
            </w:r>
          </w:p>
        </w:tc>
        <w:tc>
          <w:tcPr>
            <w:tcW w:w="1474" w:type="dxa"/>
            <w:vAlign w:val="center"/>
          </w:tcPr>
          <w:p>
            <w:pPr>
              <w:pStyle w:val="单元格样式4"/>
            </w:pPr>
            <w:r>
              <w:t xml:space="preserve">131.89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1426.96</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612.83</w:t>
            </w:r>
          </w:p>
        </w:tc>
        <w:tc>
          <w:tcPr>
            <w:tcW w:w="1474" w:type="dxa"/>
            <w:vAlign w:val="center"/>
          </w:tcPr>
          <w:p>
            <w:pPr>
              <w:pStyle w:val="单元格样式4"/>
            </w:pPr>
            <w:r>
              <w:t xml:space="preserve">612.83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332.98</w:t>
            </w:r>
          </w:p>
        </w:tc>
        <w:tc>
          <w:tcPr>
            <w:tcW w:w="1474" w:type="dxa"/>
            <w:vAlign w:val="center"/>
          </w:tcPr>
          <w:p>
            <w:pPr>
              <w:pStyle w:val="单元格样式4"/>
            </w:pPr>
            <w:r>
              <w:t xml:space="preserve">332.98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1973.09</w:t>
            </w:r>
          </w:p>
        </w:tc>
        <w:tc>
          <w:tcPr>
            <w:tcW w:w="1474" w:type="dxa"/>
            <w:vAlign w:val="center"/>
          </w:tcPr>
          <w:p>
            <w:pPr>
              <w:pStyle w:val="单元格样式4"/>
            </w:pPr>
            <w:r>
              <w:t xml:space="preserve">1973.09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10100.58</w:t>
            </w:r>
          </w:p>
        </w:tc>
        <w:tc>
          <w:tcPr>
            <w:tcW w:w="1474" w:type="dxa"/>
            <w:vAlign w:val="center"/>
          </w:tcPr>
          <w:p>
            <w:pPr>
              <w:pStyle w:val="单元格样式4"/>
            </w:pPr>
            <w:r>
              <w:t xml:space="preserve">8673.63</w:t>
            </w:r>
          </w:p>
        </w:tc>
        <w:tc>
          <w:tcPr>
            <w:tcW w:w="1474" w:type="dxa"/>
            <w:vAlign w:val="center"/>
          </w:tcPr>
          <w:p>
            <w:pPr>
              <w:pStyle w:val="单元格样式4"/>
            </w:pPr>
            <w:r>
              <w:t xml:space="preserve">1426.96</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90.20</w:t>
            </w:r>
          </w:p>
        </w:tc>
        <w:tc>
          <w:tcPr>
            <w:tcW w:w="1474" w:type="dxa"/>
            <w:vAlign w:val="center"/>
          </w:tcPr>
          <w:p>
            <w:pPr>
              <w:pStyle w:val="单元格样式4"/>
            </w:pPr>
            <w:r>
              <w:t xml:space="preserve">90.20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21289.93</w:t>
            </w:r>
          </w:p>
        </w:tc>
        <w:tc>
          <w:tcPr>
            <w:tcW w:w="1474" w:type="dxa"/>
            <w:vAlign w:val="center"/>
          </w:tcPr>
          <w:p>
            <w:pPr>
              <w:pStyle w:val="单元格样式4"/>
            </w:pPr>
            <w:r>
              <w:t xml:space="preserve">21289.93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3497.59</w:t>
            </w:r>
          </w:p>
        </w:tc>
        <w:tc>
          <w:tcPr>
            <w:tcW w:w="1474" w:type="dxa"/>
            <w:vAlign w:val="center"/>
          </w:tcPr>
          <w:p>
            <w:pPr>
              <w:pStyle w:val="单元格样式4"/>
            </w:pPr>
          </w:p>
        </w:tc>
        <w:tc>
          <w:tcPr>
            <w:tcW w:w="1474" w:type="dxa"/>
            <w:vAlign w:val="center"/>
          </w:tcPr>
          <w:p>
            <w:pPr>
              <w:pStyle w:val="单元格样式4"/>
            </w:pPr>
            <w:r>
              <w:t xml:space="preserve">3497.59</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26205.13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38029.10</w:t>
            </w:r>
          </w:p>
        </w:tc>
        <w:tc>
          <w:tcPr>
            <w:tcW w:w="1474" w:type="dxa"/>
            <w:vAlign w:val="center"/>
          </w:tcPr>
          <w:p>
            <w:pPr>
              <w:pStyle w:val="单元格样式7"/>
            </w:pPr>
            <w:r>
              <w:t xml:space="preserve">33104.55</w:t>
            </w:r>
          </w:p>
        </w:tc>
        <w:tc>
          <w:tcPr>
            <w:tcW w:w="1474" w:type="dxa"/>
            <w:vAlign w:val="center"/>
          </w:tcPr>
          <w:p>
            <w:pPr>
              <w:pStyle w:val="单元格样式7"/>
            </w:pPr>
            <w:r>
              <w:t xml:space="preserve">4924.55</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11823.97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8326.38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3497.59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38029.10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38029.10</w:t>
            </w:r>
          </w:p>
        </w:tc>
        <w:tc>
          <w:tcPr>
            <w:tcW w:w="1474" w:type="dxa"/>
            <w:vAlign w:val="center"/>
          </w:tcPr>
          <w:p>
            <w:pPr>
              <w:pStyle w:val="单元格样式7"/>
            </w:pPr>
            <w:r>
              <w:t xml:space="preserve">33104.55</w:t>
            </w:r>
          </w:p>
        </w:tc>
        <w:tc>
          <w:tcPr>
            <w:tcW w:w="1474" w:type="dxa"/>
            <w:vAlign w:val="center"/>
          </w:tcPr>
          <w:p>
            <w:pPr>
              <w:pStyle w:val="单元格样式7"/>
            </w:pPr>
            <w:r>
              <w:t xml:space="preserve">4924.55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33104.55</w:t>
            </w:r>
          </w:p>
        </w:tc>
        <w:tc>
          <w:tcPr>
            <w:tcW w:w="2551" w:type="dxa"/>
            <w:vAlign w:val="center"/>
          </w:tcPr>
          <w:p>
            <w:pPr>
              <w:pStyle w:val="单元格样式7"/>
            </w:pPr>
            <w:r>
              <w:t xml:space="preserve">5621.13</w:t>
            </w:r>
          </w:p>
        </w:tc>
        <w:tc>
          <w:tcPr>
            <w:tcW w:w="2551" w:type="dxa"/>
            <w:vAlign w:val="center"/>
          </w:tcPr>
          <w:p>
            <w:pPr>
              <w:pStyle w:val="单元格样式7"/>
            </w:pPr>
            <w:r>
              <w:t xml:space="preserve">27483.42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20113</w:t>
            </w:r>
          </w:p>
        </w:tc>
        <w:tc>
          <w:tcPr>
            <w:tcW w:w="4535" w:type="dxa"/>
            <w:vAlign w:val="center"/>
          </w:tcPr>
          <w:p>
            <w:pPr>
              <w:pStyle w:val="单元格样式2"/>
            </w:pPr>
            <w:r>
              <w:t xml:space="preserve">商贸事务</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612.83</w:t>
            </w:r>
          </w:p>
        </w:tc>
        <w:tc>
          <w:tcPr>
            <w:tcW w:w="2551" w:type="dxa"/>
            <w:vAlign w:val="center"/>
          </w:tcPr>
          <w:p>
            <w:pPr>
              <w:pStyle w:val="单元格样式4"/>
            </w:pPr>
            <w:r>
              <w:t xml:space="preserve">612.83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562.14</w:t>
            </w:r>
          </w:p>
        </w:tc>
        <w:tc>
          <w:tcPr>
            <w:tcW w:w="2551" w:type="dxa"/>
            <w:vAlign w:val="center"/>
          </w:tcPr>
          <w:p>
            <w:pPr>
              <w:pStyle w:val="单元格样式4"/>
            </w:pPr>
            <w:r>
              <w:t xml:space="preserve">562.14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39.66</w:t>
            </w:r>
          </w:p>
        </w:tc>
        <w:tc>
          <w:tcPr>
            <w:tcW w:w="2551" w:type="dxa"/>
            <w:vAlign w:val="center"/>
          </w:tcPr>
          <w:p>
            <w:pPr>
              <w:pStyle w:val="单元格样式4"/>
            </w:pPr>
            <w:r>
              <w:t xml:space="preserve">39.66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499.59</w:t>
            </w:r>
          </w:p>
        </w:tc>
        <w:tc>
          <w:tcPr>
            <w:tcW w:w="2551" w:type="dxa"/>
            <w:vAlign w:val="center"/>
          </w:tcPr>
          <w:p>
            <w:pPr>
              <w:pStyle w:val="单元格样式4"/>
            </w:pPr>
            <w:r>
              <w:t xml:space="preserve">499.59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50.69</w:t>
            </w:r>
          </w:p>
        </w:tc>
        <w:tc>
          <w:tcPr>
            <w:tcW w:w="2551" w:type="dxa"/>
            <w:vAlign w:val="center"/>
          </w:tcPr>
          <w:p>
            <w:pPr>
              <w:pStyle w:val="单元格样式4"/>
            </w:pPr>
            <w:r>
              <w:t xml:space="preserve">50.69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50.69</w:t>
            </w:r>
          </w:p>
        </w:tc>
        <w:tc>
          <w:tcPr>
            <w:tcW w:w="2551" w:type="dxa"/>
            <w:vAlign w:val="center"/>
          </w:tcPr>
          <w:p>
            <w:pPr>
              <w:pStyle w:val="单元格样式4"/>
            </w:pPr>
            <w:r>
              <w:t xml:space="preserve">50.69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332.98</w:t>
            </w:r>
          </w:p>
        </w:tc>
        <w:tc>
          <w:tcPr>
            <w:tcW w:w="2551" w:type="dxa"/>
            <w:vAlign w:val="center"/>
          </w:tcPr>
          <w:p>
            <w:pPr>
              <w:pStyle w:val="单元格样式4"/>
            </w:pPr>
            <w:r>
              <w:t xml:space="preserve">332.98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332.98</w:t>
            </w:r>
          </w:p>
        </w:tc>
        <w:tc>
          <w:tcPr>
            <w:tcW w:w="2551" w:type="dxa"/>
            <w:vAlign w:val="center"/>
          </w:tcPr>
          <w:p>
            <w:pPr>
              <w:pStyle w:val="单元格样式4"/>
            </w:pPr>
            <w:r>
              <w:t xml:space="preserve">332.98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325.58</w:t>
            </w:r>
          </w:p>
        </w:tc>
        <w:tc>
          <w:tcPr>
            <w:tcW w:w="2551" w:type="dxa"/>
            <w:vAlign w:val="center"/>
          </w:tcPr>
          <w:p>
            <w:pPr>
              <w:pStyle w:val="单元格样式4"/>
            </w:pPr>
            <w:r>
              <w:t xml:space="preserve">325.58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8673.63</w:t>
            </w:r>
          </w:p>
        </w:tc>
        <w:tc>
          <w:tcPr>
            <w:tcW w:w="2551" w:type="dxa"/>
            <w:vAlign w:val="center"/>
          </w:tcPr>
          <w:p>
            <w:pPr>
              <w:pStyle w:val="单元格样式4"/>
            </w:pPr>
            <w:r>
              <w:t xml:space="preserve">4453.23</w:t>
            </w:r>
          </w:p>
        </w:tc>
        <w:tc>
          <w:tcPr>
            <w:tcW w:w="2551" w:type="dxa"/>
            <w:vAlign w:val="center"/>
          </w:tcPr>
          <w:p>
            <w:pPr>
              <w:pStyle w:val="单元格样式4"/>
            </w:pPr>
            <w:r>
              <w:t xml:space="preserve">4220.40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8468.68</w:t>
            </w:r>
          </w:p>
        </w:tc>
        <w:tc>
          <w:tcPr>
            <w:tcW w:w="2551" w:type="dxa"/>
            <w:vAlign w:val="center"/>
          </w:tcPr>
          <w:p>
            <w:pPr>
              <w:pStyle w:val="单元格样式4"/>
            </w:pPr>
            <w:r>
              <w:t xml:space="preserve">4453.23</w:t>
            </w:r>
          </w:p>
        </w:tc>
        <w:tc>
          <w:tcPr>
            <w:tcW w:w="2551" w:type="dxa"/>
            <w:vAlign w:val="center"/>
          </w:tcPr>
          <w:p>
            <w:pPr>
              <w:pStyle w:val="单元格样式4"/>
            </w:pPr>
            <w:r>
              <w:t xml:space="preserve">4015.45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4453.23</w:t>
            </w:r>
          </w:p>
        </w:tc>
        <w:tc>
          <w:tcPr>
            <w:tcW w:w="2551" w:type="dxa"/>
            <w:vAlign w:val="center"/>
          </w:tcPr>
          <w:p>
            <w:pPr>
              <w:pStyle w:val="单元格样式4"/>
            </w:pPr>
            <w:r>
              <w:t xml:space="preserve">4453.23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2551" w:type="dxa"/>
            <w:vAlign w:val="center"/>
          </w:tcPr>
          <w:p>
            <w:pPr>
              <w:pStyle w:val="单元格样式4"/>
            </w:pPr>
            <w:r>
              <w:t xml:space="preserve">4015.45</w:t>
            </w:r>
          </w:p>
        </w:tc>
        <w:tc>
          <w:tcPr>
            <w:tcW w:w="2551" w:type="dxa"/>
            <w:vAlign w:val="center"/>
          </w:tcPr>
          <w:p>
            <w:pPr>
              <w:pStyle w:val="单元格样式4"/>
            </w:pPr>
          </w:p>
        </w:tc>
        <w:tc>
          <w:tcPr>
            <w:tcW w:w="2551" w:type="dxa"/>
            <w:vAlign w:val="center"/>
          </w:tcPr>
          <w:p>
            <w:pPr>
              <w:pStyle w:val="单元格样式4"/>
            </w:pPr>
            <w:r>
              <w:t xml:space="preserve">4015.45</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204.95</w:t>
            </w:r>
          </w:p>
        </w:tc>
        <w:tc>
          <w:tcPr>
            <w:tcW w:w="2551" w:type="dxa"/>
            <w:vAlign w:val="center"/>
          </w:tcPr>
          <w:p>
            <w:pPr>
              <w:pStyle w:val="单元格样式4"/>
            </w:pPr>
          </w:p>
        </w:tc>
        <w:tc>
          <w:tcPr>
            <w:tcW w:w="2551" w:type="dxa"/>
            <w:vAlign w:val="center"/>
          </w:tcPr>
          <w:p>
            <w:pPr>
              <w:pStyle w:val="单元格样式4"/>
            </w:pPr>
            <w:r>
              <w:t xml:space="preserve">204.95</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204.95</w:t>
            </w:r>
          </w:p>
        </w:tc>
        <w:tc>
          <w:tcPr>
            <w:tcW w:w="2551" w:type="dxa"/>
            <w:vAlign w:val="center"/>
          </w:tcPr>
          <w:p>
            <w:pPr>
              <w:pStyle w:val="单元格样式4"/>
            </w:pPr>
          </w:p>
        </w:tc>
        <w:tc>
          <w:tcPr>
            <w:tcW w:w="2551" w:type="dxa"/>
            <w:vAlign w:val="center"/>
          </w:tcPr>
          <w:p>
            <w:pPr>
              <w:pStyle w:val="单元格样式4"/>
            </w:pPr>
            <w:r>
              <w:t xml:space="preserve">204.95</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90.20</w:t>
            </w:r>
          </w:p>
        </w:tc>
        <w:tc>
          <w:tcPr>
            <w:tcW w:w="2551" w:type="dxa"/>
            <w:vAlign w:val="center"/>
          </w:tcPr>
          <w:p>
            <w:pPr>
              <w:pStyle w:val="单元格样式4"/>
            </w:pPr>
            <w:r>
              <w:t xml:space="preserve">90.20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90.20</w:t>
            </w:r>
          </w:p>
        </w:tc>
        <w:tc>
          <w:tcPr>
            <w:tcW w:w="2551" w:type="dxa"/>
            <w:vAlign w:val="center"/>
          </w:tcPr>
          <w:p>
            <w:pPr>
              <w:pStyle w:val="单元格样式4"/>
            </w:pPr>
            <w:r>
              <w:t xml:space="preserve">90.20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90.20</w:t>
            </w:r>
          </w:p>
        </w:tc>
        <w:tc>
          <w:tcPr>
            <w:tcW w:w="2551" w:type="dxa"/>
            <w:vAlign w:val="center"/>
          </w:tcPr>
          <w:p>
            <w:pPr>
              <w:pStyle w:val="单元格样式4"/>
            </w:pPr>
            <w:r>
              <w:t xml:space="preserve">90.20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5621.13</w:t>
            </w:r>
          </w:p>
        </w:tc>
        <w:tc>
          <w:tcPr>
            <w:tcW w:w="2551" w:type="dxa"/>
            <w:vAlign w:val="center"/>
          </w:tcPr>
          <w:p>
            <w:pPr>
              <w:pStyle w:val="单元格样式7"/>
            </w:pPr>
            <w:r>
              <w:t xml:space="preserve">5569.16</w:t>
            </w:r>
          </w:p>
        </w:tc>
        <w:tc>
          <w:tcPr>
            <w:tcW w:w="2551" w:type="dxa"/>
            <w:vAlign w:val="center"/>
          </w:tcPr>
          <w:p>
            <w:pPr>
              <w:pStyle w:val="单元格样式7"/>
            </w:pPr>
            <w:r>
              <w:t xml:space="preserve">51.97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5533.63</w:t>
            </w:r>
          </w:p>
        </w:tc>
        <w:tc>
          <w:tcPr>
            <w:tcW w:w="2551" w:type="dxa"/>
            <w:vAlign w:val="center"/>
          </w:tcPr>
          <w:p>
            <w:pPr>
              <w:pStyle w:val="单元格样式4"/>
            </w:pPr>
            <w:r>
              <w:t xml:space="preserve">5529.50</w:t>
            </w:r>
          </w:p>
        </w:tc>
        <w:tc>
          <w:tcPr>
            <w:tcW w:w="2551" w:type="dxa"/>
            <w:vAlign w:val="center"/>
          </w:tcPr>
          <w:p>
            <w:pPr>
              <w:pStyle w:val="单元格样式4"/>
            </w:pPr>
            <w:r>
              <w:t xml:space="preserve">4.13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3935.03</w:t>
            </w:r>
          </w:p>
        </w:tc>
        <w:tc>
          <w:tcPr>
            <w:tcW w:w="2551" w:type="dxa"/>
            <w:vAlign w:val="center"/>
          </w:tcPr>
          <w:p>
            <w:pPr>
              <w:pStyle w:val="单元格样式4"/>
            </w:pPr>
            <w:r>
              <w:t xml:space="preserve">3935.03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251.59</w:t>
            </w:r>
          </w:p>
        </w:tc>
        <w:tc>
          <w:tcPr>
            <w:tcW w:w="2551" w:type="dxa"/>
            <w:vAlign w:val="center"/>
          </w:tcPr>
          <w:p>
            <w:pPr>
              <w:pStyle w:val="单元格样式4"/>
            </w:pPr>
            <w:r>
              <w:t xml:space="preserve">251.59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38.97</w:t>
            </w:r>
          </w:p>
        </w:tc>
        <w:tc>
          <w:tcPr>
            <w:tcW w:w="2551" w:type="dxa"/>
            <w:vAlign w:val="center"/>
          </w:tcPr>
          <w:p>
            <w:pPr>
              <w:pStyle w:val="单元格样式4"/>
            </w:pPr>
            <w:r>
              <w:t xml:space="preserve">38.97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268.68</w:t>
            </w:r>
          </w:p>
        </w:tc>
        <w:tc>
          <w:tcPr>
            <w:tcW w:w="2551" w:type="dxa"/>
            <w:vAlign w:val="center"/>
          </w:tcPr>
          <w:p>
            <w:pPr>
              <w:pStyle w:val="单元格样式4"/>
            </w:pPr>
            <w:r>
              <w:t xml:space="preserve">268.68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499.59</w:t>
            </w:r>
          </w:p>
        </w:tc>
        <w:tc>
          <w:tcPr>
            <w:tcW w:w="2551" w:type="dxa"/>
            <w:vAlign w:val="center"/>
          </w:tcPr>
          <w:p>
            <w:pPr>
              <w:pStyle w:val="单元格样式4"/>
            </w:pPr>
            <w:r>
              <w:t xml:space="preserve">499.59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332.98</w:t>
            </w:r>
          </w:p>
        </w:tc>
        <w:tc>
          <w:tcPr>
            <w:tcW w:w="2551" w:type="dxa"/>
            <w:vAlign w:val="center"/>
          </w:tcPr>
          <w:p>
            <w:pPr>
              <w:pStyle w:val="单元格样式4"/>
            </w:pPr>
            <w:r>
              <w:t xml:space="preserve">332.98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54.82</w:t>
            </w:r>
          </w:p>
        </w:tc>
        <w:tc>
          <w:tcPr>
            <w:tcW w:w="2551" w:type="dxa"/>
            <w:vAlign w:val="center"/>
          </w:tcPr>
          <w:p>
            <w:pPr>
              <w:pStyle w:val="单元格样式4"/>
            </w:pPr>
            <w:r>
              <w:t xml:space="preserve">50.69</w:t>
            </w:r>
          </w:p>
        </w:tc>
        <w:tc>
          <w:tcPr>
            <w:tcW w:w="2551" w:type="dxa"/>
            <w:vAlign w:val="center"/>
          </w:tcPr>
          <w:p>
            <w:pPr>
              <w:pStyle w:val="单元格样式4"/>
            </w:pPr>
            <w:r>
              <w:t xml:space="preserve">4.13</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90.20</w:t>
            </w:r>
          </w:p>
        </w:tc>
        <w:tc>
          <w:tcPr>
            <w:tcW w:w="2551" w:type="dxa"/>
            <w:vAlign w:val="center"/>
          </w:tcPr>
          <w:p>
            <w:pPr>
              <w:pStyle w:val="单元格样式4"/>
            </w:pPr>
            <w:r>
              <w:t xml:space="preserve">90.20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38.88</w:t>
            </w:r>
          </w:p>
        </w:tc>
        <w:tc>
          <w:tcPr>
            <w:tcW w:w="2551" w:type="dxa"/>
            <w:vAlign w:val="center"/>
          </w:tcPr>
          <w:p>
            <w:pPr>
              <w:pStyle w:val="单元格样式4"/>
            </w:pPr>
            <w:r>
              <w:t xml:space="preserve">38.88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47.84</w:t>
            </w:r>
          </w:p>
        </w:tc>
        <w:tc>
          <w:tcPr>
            <w:tcW w:w="2551" w:type="dxa"/>
            <w:vAlign w:val="center"/>
          </w:tcPr>
          <w:p>
            <w:pPr>
              <w:pStyle w:val="单元格样式4"/>
            </w:pPr>
          </w:p>
        </w:tc>
        <w:tc>
          <w:tcPr>
            <w:tcW w:w="2551" w:type="dxa"/>
            <w:vAlign w:val="center"/>
          </w:tcPr>
          <w:p>
            <w:pPr>
              <w:pStyle w:val="单元格样式4"/>
            </w:pPr>
            <w:r>
              <w:t xml:space="preserve">47.84</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6.58</w:t>
            </w:r>
          </w:p>
        </w:tc>
        <w:tc>
          <w:tcPr>
            <w:tcW w:w="2551" w:type="dxa"/>
            <w:vAlign w:val="center"/>
          </w:tcPr>
          <w:p>
            <w:pPr>
              <w:pStyle w:val="单元格样式4"/>
            </w:pPr>
          </w:p>
        </w:tc>
        <w:tc>
          <w:tcPr>
            <w:tcW w:w="2551" w:type="dxa"/>
            <w:vAlign w:val="center"/>
          </w:tcPr>
          <w:p>
            <w:pPr>
              <w:pStyle w:val="单元格样式4"/>
            </w:pPr>
            <w:r>
              <w:t xml:space="preserve">6.58</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8.86</w:t>
            </w:r>
          </w:p>
        </w:tc>
        <w:tc>
          <w:tcPr>
            <w:tcW w:w="2551" w:type="dxa"/>
            <w:vAlign w:val="center"/>
          </w:tcPr>
          <w:p>
            <w:pPr>
              <w:pStyle w:val="单元格样式4"/>
            </w:pPr>
          </w:p>
        </w:tc>
        <w:tc>
          <w:tcPr>
            <w:tcW w:w="2551" w:type="dxa"/>
            <w:vAlign w:val="center"/>
          </w:tcPr>
          <w:p>
            <w:pPr>
              <w:pStyle w:val="单元格样式4"/>
            </w:pPr>
            <w:r>
              <w:t xml:space="preserve">8.86</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4.44</w:t>
            </w:r>
          </w:p>
        </w:tc>
        <w:tc>
          <w:tcPr>
            <w:tcW w:w="2551" w:type="dxa"/>
            <w:vAlign w:val="center"/>
          </w:tcPr>
          <w:p>
            <w:pPr>
              <w:pStyle w:val="单元格样式4"/>
            </w:pPr>
          </w:p>
        </w:tc>
        <w:tc>
          <w:tcPr>
            <w:tcW w:w="2551" w:type="dxa"/>
            <w:vAlign w:val="center"/>
          </w:tcPr>
          <w:p>
            <w:pPr>
              <w:pStyle w:val="单元格样式4"/>
            </w:pPr>
            <w:r>
              <w:t xml:space="preserve">4.44</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4.28</w:t>
            </w:r>
          </w:p>
        </w:tc>
        <w:tc>
          <w:tcPr>
            <w:tcW w:w="2551" w:type="dxa"/>
            <w:vAlign w:val="center"/>
          </w:tcPr>
          <w:p>
            <w:pPr>
              <w:pStyle w:val="单元格样式4"/>
            </w:pPr>
          </w:p>
        </w:tc>
        <w:tc>
          <w:tcPr>
            <w:tcW w:w="2551" w:type="dxa"/>
            <w:vAlign w:val="center"/>
          </w:tcPr>
          <w:p>
            <w:pPr>
              <w:pStyle w:val="单元格样式4"/>
            </w:pPr>
            <w:r>
              <w:t xml:space="preserve">4.28</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5.06</w:t>
            </w:r>
          </w:p>
        </w:tc>
        <w:tc>
          <w:tcPr>
            <w:tcW w:w="2551" w:type="dxa"/>
            <w:vAlign w:val="center"/>
          </w:tcPr>
          <w:p>
            <w:pPr>
              <w:pStyle w:val="单元格样式4"/>
            </w:pPr>
          </w:p>
        </w:tc>
        <w:tc>
          <w:tcPr>
            <w:tcW w:w="2551" w:type="dxa"/>
            <w:vAlign w:val="center"/>
          </w:tcPr>
          <w:p>
            <w:pPr>
              <w:pStyle w:val="单元格样式4"/>
            </w:pPr>
            <w:r>
              <w:t xml:space="preserve">5.06</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10.26</w:t>
            </w:r>
          </w:p>
        </w:tc>
        <w:tc>
          <w:tcPr>
            <w:tcW w:w="2551" w:type="dxa"/>
            <w:vAlign w:val="center"/>
          </w:tcPr>
          <w:p>
            <w:pPr>
              <w:pStyle w:val="单元格样式4"/>
            </w:pPr>
          </w:p>
        </w:tc>
        <w:tc>
          <w:tcPr>
            <w:tcW w:w="2551" w:type="dxa"/>
            <w:vAlign w:val="center"/>
          </w:tcPr>
          <w:p>
            <w:pPr>
              <w:pStyle w:val="单元格样式4"/>
            </w:pPr>
            <w:r>
              <w:t xml:space="preserve">10.26</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0.34</w:t>
            </w:r>
          </w:p>
        </w:tc>
        <w:tc>
          <w:tcPr>
            <w:tcW w:w="2551" w:type="dxa"/>
            <w:vAlign w:val="center"/>
          </w:tcPr>
          <w:p>
            <w:pPr>
              <w:pStyle w:val="单元格样式4"/>
            </w:pPr>
          </w:p>
        </w:tc>
        <w:tc>
          <w:tcPr>
            <w:tcW w:w="2551" w:type="dxa"/>
            <w:vAlign w:val="center"/>
          </w:tcPr>
          <w:p>
            <w:pPr>
              <w:pStyle w:val="单元格样式4"/>
            </w:pPr>
            <w:r>
              <w:t xml:space="preserve">0.34</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39.66</w:t>
            </w:r>
          </w:p>
        </w:tc>
        <w:tc>
          <w:tcPr>
            <w:tcW w:w="2551" w:type="dxa"/>
            <w:vAlign w:val="center"/>
          </w:tcPr>
          <w:p>
            <w:pPr>
              <w:pStyle w:val="单元格样式4"/>
            </w:pPr>
            <w:r>
              <w:t xml:space="preserve">39.66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39.66</w:t>
            </w:r>
          </w:p>
        </w:tc>
        <w:tc>
          <w:tcPr>
            <w:tcW w:w="2551" w:type="dxa"/>
            <w:vAlign w:val="center"/>
          </w:tcPr>
          <w:p>
            <w:pPr>
              <w:pStyle w:val="单元格样式4"/>
            </w:pPr>
            <w:r>
              <w:t xml:space="preserve">39.66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4924.55</w:t>
            </w:r>
          </w:p>
        </w:tc>
        <w:tc>
          <w:tcPr>
            <w:tcW w:w="2551" w:type="dxa"/>
            <w:vAlign w:val="center"/>
          </w:tcPr>
          <w:p>
            <w:pPr>
              <w:pStyle w:val="单元格样式7"/>
            </w:pPr>
          </w:p>
        </w:tc>
        <w:tc>
          <w:tcPr>
            <w:tcW w:w="2551" w:type="dxa"/>
            <w:vAlign w:val="center"/>
          </w:tcPr>
          <w:p>
            <w:pPr>
              <w:pStyle w:val="单元格样式7"/>
            </w:pPr>
            <w:r>
              <w:t xml:space="preserve">4924.55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1426.96</w:t>
            </w:r>
          </w:p>
        </w:tc>
        <w:tc>
          <w:tcPr>
            <w:tcW w:w="2551" w:type="dxa"/>
            <w:vAlign w:val="center"/>
          </w:tcPr>
          <w:p>
            <w:pPr>
              <w:pStyle w:val="单元格样式4"/>
            </w:pPr>
          </w:p>
        </w:tc>
        <w:tc>
          <w:tcPr>
            <w:tcW w:w="2551" w:type="dxa"/>
            <w:vAlign w:val="center"/>
          </w:tcPr>
          <w:p>
            <w:pPr>
              <w:pStyle w:val="单元格样式4"/>
            </w:pPr>
            <w:r>
              <w:t xml:space="preserve">1426.96</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1426.96</w:t>
            </w:r>
          </w:p>
        </w:tc>
        <w:tc>
          <w:tcPr>
            <w:tcW w:w="2551" w:type="dxa"/>
            <w:vAlign w:val="center"/>
          </w:tcPr>
          <w:p>
            <w:pPr>
              <w:pStyle w:val="单元格样式4"/>
            </w:pPr>
          </w:p>
        </w:tc>
        <w:tc>
          <w:tcPr>
            <w:tcW w:w="2551" w:type="dxa"/>
            <w:vAlign w:val="center"/>
          </w:tcPr>
          <w:p>
            <w:pPr>
              <w:pStyle w:val="单元格样式4"/>
            </w:pPr>
            <w:r>
              <w:t xml:space="preserve">1426.96</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1426.96</w:t>
            </w:r>
          </w:p>
        </w:tc>
        <w:tc>
          <w:tcPr>
            <w:tcW w:w="2551" w:type="dxa"/>
            <w:vAlign w:val="center"/>
          </w:tcPr>
          <w:p>
            <w:pPr>
              <w:pStyle w:val="单元格样式4"/>
            </w:pPr>
          </w:p>
        </w:tc>
        <w:tc>
          <w:tcPr>
            <w:tcW w:w="2551" w:type="dxa"/>
            <w:vAlign w:val="center"/>
          </w:tcPr>
          <w:p>
            <w:pPr>
              <w:pStyle w:val="单元格样式4"/>
            </w:pPr>
            <w:r>
              <w:t xml:space="preserve">1426.96</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7.20</w:t>
            </w:r>
          </w:p>
        </w:tc>
        <w:tc>
          <w:tcPr>
            <w:tcW w:w="2381" w:type="dxa"/>
            <w:vAlign w:val="center"/>
          </w:tcPr>
          <w:p>
            <w:pPr>
              <w:pStyle w:val="单元格样式7"/>
            </w:pPr>
            <w:r>
              <w:t xml:space="preserve">7.20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7.20</w:t>
            </w:r>
          </w:p>
        </w:tc>
        <w:tc>
          <w:tcPr>
            <w:tcW w:w="2381" w:type="dxa"/>
            <w:vAlign w:val="center"/>
          </w:tcPr>
          <w:p>
            <w:pPr>
              <w:pStyle w:val="单元格样式4"/>
            </w:pPr>
            <w:r>
              <w:t xml:space="preserve">7.20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7.20</w:t>
            </w:r>
          </w:p>
        </w:tc>
        <w:tc>
          <w:tcPr>
            <w:tcW w:w="2381" w:type="dxa"/>
            <w:vAlign w:val="center"/>
          </w:tcPr>
          <w:p>
            <w:pPr>
              <w:pStyle w:val="单元格样式4"/>
            </w:pPr>
            <w:r>
              <w:t xml:space="preserve">7.20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新乐市城市管理综合行政执法局2025年部门预算信息公开情况说明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新乐市城市管理综合行政执法局2025年部门预算信息公开情况说明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按照《中华人民共和国预算法》、《地方预决算公开操作规程》和《关于进一步推进预算公开工作的实施意见》规定，现将新乐市城市管理综合行政执法局2025年部门预算公开如下：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新乐市城市管理综合行政执法局部门职责：  （一）贯彻落实国家、省、石家庄市关于城市管理、园林绿化相关工作的方针政策和法律法规；执行有关地方性法规、政府规章草案和行业标准，拟定城市管理、园林绿化中长期发展规划和年度计划并组织实施。</w:t>
      </w:r>
    </w:p>
    <w:p>
      <w:pPr>
        <w:pStyle w:val="插入文本样式-插入预算公开部门职责文件"/>
      </w:pPr>
      <w:r>
        <w:t xml:space="preserve">（二）负责编制道路、桥梁、排水、照明设施的改造、整修计划并组织实施；负责城市排水管理工作及城市排水、中水的水质检测及监督管理；负责城市道路、桥梁维护管理；负责城市夜景照明维护管理工作；负责组织、协调、管理城区市政设施改造工作。</w:t>
      </w:r>
    </w:p>
    <w:p>
      <w:pPr>
        <w:pStyle w:val="插入文本样式-插入预算公开部门职责文件"/>
      </w:pPr>
      <w:r>
        <w:t xml:space="preserve">（三）负责制订城市市政基础设施日常管护作业标准和市容环境卫生质量标准并组织实施；负责对城市市政基础设施日常管理、市容环境卫生、行政执法等工作进行监督检查和考核评比；制订城市市政基础设施日常管护资金使用计划，并监督管理和组织实施。</w:t>
      </w:r>
    </w:p>
    <w:p>
      <w:pPr>
        <w:pStyle w:val="插入文本样式-插入预算公开部门职责文件"/>
      </w:pPr>
      <w:r>
        <w:t xml:space="preserve">（四）负责指导、协调、考核城市市政设施管理、市容环境卫生管理和城市管理综合执法工作；负责组织城市管理专项活动和重大执法活动。</w:t>
      </w:r>
    </w:p>
    <w:p>
      <w:pPr>
        <w:pStyle w:val="插入文本样式-插入预算公开部门职责文件"/>
      </w:pPr>
      <w:r>
        <w:t xml:space="preserve">（五）负责城市供水、节水、污水处理工作。</w:t>
      </w:r>
    </w:p>
    <w:p>
      <w:pPr>
        <w:pStyle w:val="插入文本样式-插入预算公开部门职责文件"/>
      </w:pPr>
      <w:r>
        <w:t xml:space="preserve">（六）负责建成区主要街道、公园、广场和有关防护林区的规划、设计、建设和管理；负责执行城市绿化“绿线”管制制度；负责伐移树木的初审、上报、监管工作；参与圃地、花木市场的规划、建设和管理。</w:t>
      </w:r>
    </w:p>
    <w:p>
      <w:pPr>
        <w:pStyle w:val="插入文本样式-插入预算公开部门职责文件"/>
      </w:pPr>
      <w:r>
        <w:t xml:space="preserve">（七）负责城区防汛工作。研究部署城区防汛工作，开展城区防汛宣传，提高全社会的防洪减灾意识，会同有关部门做好城区自然灾害应急处置工作。承担城区防汛指挥部日常工作。</w:t>
      </w:r>
    </w:p>
    <w:p>
      <w:pPr>
        <w:pStyle w:val="插入文本样式-插入预算公开部门职责文件"/>
      </w:pPr>
      <w:r>
        <w:t xml:space="preserve">（八）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插入文本样式-插入预算公开部门职责文件"/>
      </w:pPr>
      <w:r>
        <w:t xml:space="preserve">（九）负责协调、监督城区生活垃圾、建筑垃圾、餐厨垃圾、粪便垃圾垃圾无害化处理工作；参与城市开发和城市改造中有关环卫设施配套项目建设竣工验收。</w:t>
      </w:r>
    </w:p>
    <w:p>
      <w:pPr>
        <w:pStyle w:val="插入文本样式-插入预算公开部门职责文件"/>
      </w:pPr>
      <w:r>
        <w:t xml:space="preserve">（十）负责全市供热、燃气行业管理工作。指导各乡镇（街道）供热、燃气管理工作。</w:t>
      </w:r>
    </w:p>
    <w:p>
      <w:pPr>
        <w:pStyle w:val="插入文本样式-插入预算公开部门职责文件"/>
      </w:pPr>
      <w:r>
        <w:t xml:space="preserve">（十一）负责城区城市便道非机动车停放工作。</w:t>
      </w:r>
    </w:p>
    <w:p>
      <w:pPr>
        <w:pStyle w:val="插入文本样式-插入预算公开部门职责文件"/>
      </w:pPr>
      <w:r>
        <w:t xml:space="preserve">（十二）负责城区洗车行业的监督管理工作。</w:t>
      </w:r>
    </w:p>
    <w:p>
      <w:pPr>
        <w:pStyle w:val="插入文本样式-插入预算公开部门职责文件"/>
      </w:pPr>
      <w:r>
        <w:t xml:space="preserve">（十三）负责机关和所属单位的安全生产综合监督管理工作。</w:t>
      </w:r>
    </w:p>
    <w:p>
      <w:pPr>
        <w:pStyle w:val="插入文本样式-插入预算公开部门职责文件"/>
      </w:pPr>
      <w:r>
        <w:t xml:space="preserve">（十四）负责指导各乡镇（街道）容貌整治、环境卫生、市政基础设施日常管护、综合执法、垃圾处理、污水处理等工作。</w:t>
      </w:r>
    </w:p>
    <w:p>
      <w:pPr>
        <w:pStyle w:val="插入文本样式-插入预算公开部门职责文件"/>
      </w:pPr>
      <w:r>
        <w:t xml:space="preserve">（十五）会同有关部门，做好城市建设行业涉及本部门的相关专业规划的编制和实施工作。</w:t>
      </w:r>
    </w:p>
    <w:p>
      <w:pPr>
        <w:pStyle w:val="插入文本样式-插入预算公开部门职责文件"/>
      </w:pPr>
      <w:r>
        <w:t xml:space="preserve">（十六）实施与以下范围内法律法规规章规定的行政处罚权有关的行政强制措施：</w:t>
      </w:r>
    </w:p>
    <w:p>
      <w:pPr>
        <w:pStyle w:val="插入文本样式-插入预算公开部门职责文件"/>
      </w:pPr>
      <w:r>
        <w:t xml:space="preserve">1、市容环境卫生、市政公用设施、园林绿化等方面法律法规规章规定的全部行政处罚权；</w:t>
      </w:r>
    </w:p>
    <w:p>
      <w:pPr>
        <w:pStyle w:val="插入文本样式-插入预算公开部门职责文件"/>
      </w:pPr>
      <w:r>
        <w:t xml:space="preserve">2、住房和城乡建设、城乡规划方面法律法规规章规定全部行政处罚权；</w:t>
      </w:r>
    </w:p>
    <w:p>
      <w:pPr>
        <w:pStyle w:val="插入文本样式-插入预算公开部门职责文件"/>
      </w:pPr>
      <w:r>
        <w:t xml:space="preserve">3、城市建成区内社会生活噪声污染、露天烧烤污染、焚烧沥青塑料垃圾等烟尘和恶臭污染、露天焚烧秸秆落叶等烟尘污染等的行政处罚权。企业厂区外公共场地存放煤炭、煤矸石、煤渣、沙石、灰土等物料未采取环境保护措施行为的行政处罚权；</w:t>
      </w:r>
    </w:p>
    <w:p>
      <w:pPr>
        <w:pStyle w:val="插入文本样式-插入预算公开部门职责文件"/>
      </w:pPr>
      <w:r>
        <w:t xml:space="preserve">4、城市建成区内城市道路、绿地、公园、广场、街头空地等公共场所无照商贩经营、违规设置户外广告等行为的行政处罚权；</w:t>
      </w:r>
    </w:p>
    <w:p>
      <w:pPr>
        <w:pStyle w:val="插入文本样式-插入预算公开部门职责文件"/>
      </w:pPr>
      <w:r>
        <w:t xml:space="preserve">5、城市建成区内非机动车辆乱停乱放影响交通行为的行政处罚权；</w:t>
      </w:r>
    </w:p>
    <w:p>
      <w:pPr>
        <w:pStyle w:val="插入文本样式-插入预算公开部门职责文件"/>
      </w:pPr>
      <w:r>
        <w:t xml:space="preserve">6、城市供水、节水、污水处理的行政处罚权，向城市河道倾倒废弃物、垃圾及违规取土、城市河道违法建筑物拆除等的行政处罚权；</w:t>
      </w:r>
    </w:p>
    <w:p>
      <w:pPr>
        <w:pStyle w:val="插入文本样式-插入预算公开部门职责文件"/>
      </w:pPr>
      <w:r>
        <w:t xml:space="preserve">7、城市建成区内户外公共场所食品销售和餐饮摊点无证经营的行政处罚权。</w:t>
      </w:r>
    </w:p>
    <w:p>
      <w:pPr>
        <w:pStyle w:val="插入文本样式-插入预算公开部门职责文件"/>
      </w:pPr>
      <w:r>
        <w:t xml:space="preserve">（十七）负责城市管理综合行政执法监督工作，指导城市管理综合执法队伍规范执法、文明执法。研究拟定城市管理和综合执法资金计划；指导各乡镇（街道）城管综合行政执法队伍正规化建设。</w:t>
      </w:r>
    </w:p>
    <w:p>
      <w:pPr>
        <w:pStyle w:val="插入文本样式-插入预算公开部门职责文件"/>
      </w:pPr>
      <w:r>
        <w:t xml:space="preserve">（十八）完成市委、市政府交办的其他任务。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新乐市城市管理综合行政执法局本级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rPr>
          <w:trHeight w:val="369"/>
          <w:jc w:val="center"/>
        </w:trPr>
        <w:tc>
          <w:tcPr>
            <w:tcW w:w="5669" w:type="dxa"/>
            <w:vAlign w:val="center"/>
          </w:tcPr>
          <w:p>
            <w:pPr>
              <w:pStyle w:val="单元格样式2"/>
            </w:pPr>
            <w:r>
              <w:t xml:space="preserve">新乐市市场管理中心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按照预算管理有关规定，目前部门预算的编制实行综合预算管理，即全部收入和支出都反映在预算中。新乐市城市管理综合行政执法局机关及所属事业单位的收支包含在部门预算中。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2024年预算收入33715.28万元，其中：一般公共预算收入12688.25万元，基金预算收入2000.00万元，国有资本经营预算收入0.00万元，财政专户核拨收入0.00万元，单位资金收入0.00万元，上年结转结余19027.03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城市管理综合行政执法局年度部门预算中支出预算的总体情况。2024年支出预算33715.28万元，其中基本支出5166.32万元，包括人员经费4414.04万元和日常公用经费752.28万元；项目支出28548.96万元，主要为2023年第二批新增债券新乐市第二污水处理厂深度提标改造（一期）工程497.988305万元</w:t>
      </w:r>
    </w:p>
    <w:p>
      <w:pPr>
        <w:pStyle w:val="插入文本样式-插入预算公开部门预算安排的总体情况文件"/>
      </w:pPr>
      <w:r>
        <w:t xml:space="preserve">2023年第二批新增政府债券新乐市第一污水处理厂尾水导排资源化利用项目1639.983202万元</w:t>
      </w:r>
    </w:p>
    <w:p>
      <w:pPr>
        <w:pStyle w:val="插入文本样式-插入预算公开部门预算安排的总体情况文件"/>
      </w:pPr>
      <w:r>
        <w:t xml:space="preserve">2023年第七批新增专项债券资金-新乐市城区排水管网提升改造工程1889.059万元</w:t>
      </w:r>
    </w:p>
    <w:p>
      <w:pPr>
        <w:pStyle w:val="插入文本样式-插入预算公开部门预算安排的总体情况文件"/>
      </w:pPr>
      <w:r>
        <w:t xml:space="preserve">2024年本级支出-2023年一般债券资金-新乐市生活垃圾填埋场封场工程248.1297万元</w:t>
      </w:r>
    </w:p>
    <w:p>
      <w:pPr>
        <w:pStyle w:val="插入文本样式-插入预算公开部门预算安排的总体情况文件"/>
      </w:pPr>
      <w:r>
        <w:t xml:space="preserve">2024年本级支出-新乐市城区排水管网提升改造工程（县级配套）1000万元</w:t>
      </w:r>
    </w:p>
    <w:p>
      <w:pPr>
        <w:pStyle w:val="插入文本样式-插入预算公开部门预算安排的总体情况文件"/>
      </w:pPr>
      <w:r>
        <w:t xml:space="preserve">2024年本级支出-征占地补偿2000万元</w:t>
      </w:r>
    </w:p>
    <w:p>
      <w:pPr>
        <w:pStyle w:val="插入文本样式-插入预算公开部门预算安排的总体情况文件"/>
      </w:pPr>
      <w:r>
        <w:t xml:space="preserve">]2024年本级支出-2023年度集中供热财政补贴5200万元</w:t>
      </w:r>
    </w:p>
    <w:p>
      <w:pPr>
        <w:pStyle w:val="插入文本样式-插入预算公开部门预算安排的总体情况文件"/>
      </w:pPr>
      <w:r>
        <w:t xml:space="preserve">冀财建【2022】235号2023年省级抢救性资源保护补助资金12.8万元</w:t>
      </w:r>
    </w:p>
    <w:p>
      <w:pPr>
        <w:pStyle w:val="插入文本样式-插入预算公开部门预算安排的总体情况文件"/>
      </w:pPr>
      <w:r>
        <w:t xml:space="preserve">冀财建【2023】229号文-提前下达2024年中央大气污染防治资金（用于农村地区气代煤电代煤改造任务运行补助）686万元</w:t>
      </w:r>
    </w:p>
    <w:p>
      <w:pPr>
        <w:pStyle w:val="插入文本样式-插入预算公开部门预算安排的总体情况文件"/>
      </w:pPr>
      <w:r>
        <w:t xml:space="preserve">冀财建【2023】279号-增发2023年国债省级补助（市政领域）资金（新乐市城区排水管网提升改造工程）375万元</w:t>
      </w:r>
    </w:p>
    <w:p>
      <w:pPr>
        <w:pStyle w:val="插入文本样式-插入预算公开部门预算安排的总体情况文件"/>
      </w:pPr>
      <w:r>
        <w:t xml:space="preserve">冀财预【2023】74号-增发2023年国债资金（新乐市城区排水管网提升改造工程）15000万元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2024年预算收支安排33715.28万元，较2023年预算增加7653.28万元，其中：基本支出增加379.66万元，主要为人员经费共增加了151.313929万元，其中新乐市城市管理综合行政执法局本级增加了94.953927万元，新乐市市场管理中心增加了56.36万元；日常公用经费增加了228.340435万元，其中劳务费增加217.042635万元，日常公用增加了11.2978万元项目支出增加7273.62万元，主要为减少了2023年的：2023年本级支出2023年度拨付生活垃圾填埋场处理运行补贴、2023年本级支出城区园林养护管理项目、2023年本级支出城市市容和环境卫生管理、牌匾整治等业务费、2023年本级支出-市场保洁人员工资及垃圾清运保洁费、2023年本级支出-市场公益广告费等项目，增加了冀财预【2023】74号-增发2023年国债资金（新乐市城区排水管网提升改造工程）、2023年第二批新增政府债券新乐市第一污水处理厂尾水导排资源化利用项目等项目</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7.20万元，其中因公出国（境）费0.00万元；公务用车购置及运维费7.20万元（其中：公务用车购置费为0.00万元，公务用车运维费7.20万元)；公务接待费0.00万元。与2024年相比增加0.00万元，增减变化的主要原因是无增减变化，2025年“三公”经费安排与2024年三公”经费安排一致</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2025年，新乐市城市管理综合行政执法局将严格落实市委、市政府工作部署，聚焦市容市貌、园林绿化、环境卫生、城市照明、市政设施等重点板块，补短项、攻缺项、扬长项，着力实现城市“公园化”、设施“韧性化”、环境“宜居化”、市容“优美化”。</w:t>
      </w:r>
    </w:p>
    <w:p>
      <w:pPr>
        <w:pStyle w:val="插入文本样式-插入总体目标文件"/>
      </w:pPr>
      <w:r>
        <w:t xml:space="preserve">（一）营造“干净卫生城市”，结合大气污染防治工作，持续深化“深度保洁、以克论净”全覆盖，创新“高压冲洗、机械清扫、人工保洁、消毒消杀”四位一体作业模式，大力开展“人工+夜间冲洗”、“人机结合”作业新模式，城市道路高标准保持“双五”保洁标准，深入推进生活垃圾分类、公厕革命、城乡垃圾整治，打造“最洁净城市”金字招牌。</w:t>
      </w:r>
    </w:p>
    <w:p>
      <w:pPr>
        <w:pStyle w:val="插入文本样式-插入总体目标文件"/>
      </w:pPr>
      <w:r>
        <w:t xml:space="preserve">（二）塑造“有序文明城市”，积极发挥数字化城市管理效能，综合运用“教育、管理、处罚”三项措施，高效率、快节奏处置商品外摆、占道经营、乱贴乱画、私搭乱建等城市“乱象”，规范化管理“地摊经济”，疏堵结合，严格管控，在增强城市管理力度的同时，体现城市管理“温度”，打造“规范化城市管理”品牌。</w:t>
      </w:r>
    </w:p>
    <w:p>
      <w:pPr>
        <w:pStyle w:val="插入文本样式-插入总体目标文件"/>
      </w:pPr>
      <w:r>
        <w:t xml:space="preserve">（三）建设“生态公园城市”，围绕“生态园林、人文园林、精致园林”建设思路，采取规划增绿、拆违建绿、破墙透绿、垂直造绿等方式，结合新一轮国土空间规划调整，积极谋划新建游园、口袋公园、主题公园绿地建设。积极推进星级公园、园林式小区（单位）创建，采用“高密度、多层次、亮色彩”绿化手法，全力提升城市“绿量”，着力构建“300米见绿、500米见园”城市绿化体系，为创建国家园林城市奠定坚实基础。</w:t>
      </w:r>
    </w:p>
    <w:p>
      <w:pPr>
        <w:pStyle w:val="插入文本样式-插入总体目标文件"/>
      </w:pPr>
      <w:r>
        <w:t xml:space="preserve">（四）打造“安全韧性城市”，围绕市政设施、城市风貌、城市供热、垃圾污水处理等方面，谋划实施新乐市生活垃圾全链条分类收集、处置项目、新乐市智慧燃气信息监管平台新型基础设施建设项目、新乐市城区排水管网提升改造工程、新乐市城市综合能力提升（市政基础设施改造）工程、新乐市白洋淀流域第二污水处理厂设施提升工程等重点项目、民生工程，高标准完成项目建设。</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（一）围绕国家园林城市创建，重点打造“三个园林”</w:t>
      </w:r>
    </w:p>
    <w:p>
      <w:pPr>
        <w:pStyle w:val="插入文本样式-插入职责分类绩效目标文件"/>
      </w:pPr>
      <w:r>
        <w:t xml:space="preserve">绩效目标：围绕国家园林城市创建，重点打造“三个园林”---生态园林、人文园林、精益园林，高标准修剪、修补园林设施和苗木，全面提升园林绿化管护精细化、标准化水平。</w:t>
      </w:r>
    </w:p>
    <w:p>
      <w:pPr>
        <w:pStyle w:val="插入文本样式-插入职责分类绩效目标文件"/>
      </w:pPr>
      <w:r>
        <w:t xml:space="preserve">绩效指标：一是打造生态园林。突出“大绿量、高密度、多层次”园林绿化思路，采取规划增绿、拆违建绿、破墙透绿、见缝插绿、垂直造绿等方式，结合新一轮国土空间规划调整，积极谋划新建游园、口袋公园、主题公园绿地建设，打造“300米见绿、500米见园”城市绿化体系。二是打造人文园林。深入挖掘伏羲文化、动漫文化、雕塑艺术，重要节点增设绿植雕塑、景观树种、游园绿地补栽时令花卉、公园游园新建景观设施，切实提升园林绿化的景观性和观赏性。积极实施园林式小区、单位、星级公园创建工作，督促产权单位做好绿化养护，争创一批省市级园林式单位、小区、街道、星级公园。三是打造精益园林。逐项对标国家园林城市8大类57项考核指标（7项否决项）、省级园林城市44项考核验收指标要求，实行定人、定岗、定责、定考核、定监督的“五定”绿化管理机制，高标准修剪、修补园林设施和苗木，全面提升园林绿化管护精细化、标准化水平。</w:t>
      </w:r>
    </w:p>
    <w:p>
      <w:pPr>
        <w:pStyle w:val="插入文本样式-插入职责分类绩效目标文件"/>
      </w:pPr>
      <w:r>
        <w:t xml:space="preserve">（二）打造两个亮点</w:t>
      </w:r>
    </w:p>
    <w:p>
      <w:pPr>
        <w:pStyle w:val="插入文本样式-插入职责分类绩效目标文件"/>
      </w:pPr>
      <w:r>
        <w:t xml:space="preserve">绩效目标：一是传承历史文脉经营城市。着力打造伏羲台文化旅游片区，实现“看得见古迹、望得见森林、拍得着美景”；二是建设城市“智慧大脑”。全面提升城市综合治理能力和水平。</w:t>
      </w:r>
    </w:p>
    <w:p>
      <w:pPr>
        <w:pStyle w:val="插入文本样式-插入职责分类绩效目标文件"/>
      </w:pPr>
      <w:r>
        <w:t xml:space="preserve">绩效指标：一是传承历史文脉经营城市。重点实施伏羲台上古文旅小镇（伏羲台公园）项目，积极推进儿童森林乐园、花海公园工程，科学制定投资规模、建设步骤，着力打造伏羲台文化旅游片区，实现“看得见古迹、望得见森林、拍得着美景”；二是建设城市“智慧大脑”。以提升城市治理能力为目标，积极与华为集团对接，依托大数据、云计算、互联网等现代信息技术，推进跨部门、跨行业的信息共享、协调联动，搭建具有高度信息集成、密切部门联系、畅通市民服务的城市“智慧大脑”，全面提升城市综合治理能力和水平。</w:t>
      </w:r>
    </w:p>
    <w:p>
      <w:pPr>
        <w:pStyle w:val="插入文本样式-插入职责分类绩效目标文件"/>
      </w:pPr>
      <w:r>
        <w:t xml:space="preserve">（三）提升三项管理</w:t>
      </w:r>
    </w:p>
    <w:p>
      <w:pPr>
        <w:pStyle w:val="插入文本样式-插入职责分类绩效目标文件"/>
      </w:pPr>
      <w:r>
        <w:t xml:space="preserve">绩效目标：一是持续推进“升级版”洁净城市创建工作，二是持续加大市容市貌管理力度，三是牢固树立“违法建设零容忍、零增长”工作原则。</w:t>
      </w:r>
    </w:p>
    <w:p>
      <w:pPr>
        <w:pStyle w:val="插入文本样式-插入职责分类绩效目标文件"/>
      </w:pPr>
      <w:r>
        <w:t xml:space="preserve">绩效指标：一是持续推进“升级版”洁净城市创建工作，加大“深度保洁、以克论净”工作力度，积极推进生活垃圾分类，将“双五”标准由主次干道向城市区域全面覆盖，切实叫响“最洁净城市品牌”。二是持续加大市容市貌管理力度，强力开展市容市貌综合整治，划行归市，疏堵结合，严格管控，规范管理马路市场、店外摊点和流动摊点。同时，积极谋划更高标准、更高档次的广告牌匾设置，在规范统一的基础上提升广告牌匾、门店装修风格，切实叫响“城市标准化管理”品牌。三是牢固树立“违法建设零容忍、零增长”工作原则，铁腕执法，高压治违，严查违法建设行为，确保规划的刚性约束，以铁的手腕坚决遏制新的违法工程的产生。</w:t>
      </w:r>
    </w:p>
    <w:p>
      <w:pPr>
        <w:pStyle w:val="插入文本样式-插入职责分类绩效目标文件"/>
      </w:pPr>
      <w:r>
        <w:t xml:space="preserve">（四）实施四个方面城市管理工程</w:t>
      </w:r>
    </w:p>
    <w:p>
      <w:pPr>
        <w:pStyle w:val="插入文本样式-插入职责分类绩效目标文件"/>
      </w:pPr>
      <w:r>
        <w:t xml:space="preserve">绩效目标：主要有城乡垃圾污水治理、市政设施、城市风貌、城乡供热等四个方面管理。</w:t>
      </w:r>
    </w:p>
    <w:p>
      <w:pPr>
        <w:pStyle w:val="插入文本样式-插入职责分类绩效目标文件"/>
      </w:pPr>
      <w:r>
        <w:t xml:space="preserve">排水管网等问题进行统一修复，进一步提高城市道路通行和排水防涝能力。投资100万元实施城区出入口亮化提升工程，计划对107国道南出入口道路两侧及内营道口进行灯光亮化改造，并对绿洲公园进行分区、分块亮化提升，切实提升城区出入口夜间景观效果。三是提高城市温度安全度，谋划实施燃气智慧化指挥平台建设与管网改造项目，实现燃气精准化、智能化、科学化管理。聚焦燃气安全，投资778万元实施农村气代煤采暖设备维保项目，对农村气代煤维保超期采暖设备开展新一轮维保工作，投资950万元实施农村气代煤自闭阀更换项目，将管道气用户到期报警器联锁装置更换为自闭阀，坚决筑牢燃气安全防线。统筹城乡集中供热、燃气供热、地源供热三种供热方式，积极配合市城投公司积极推进“定热入新”工作，确保项目早建设、早使用，为城市长远发展提供集中供热有力保障。四是拓展垃圾污水治理。围绕污水处理厂提标改造，积极推进投资3419万元的新乐市第二污水处理厂深度处理提标改造（一期）工程，确保污水处理厂排放稳定达标。同时，谋划实施投资4114万新乐市污水处理厂尾水导排资源化利用项目和投资3700万的新乐市城区初期雨水截流调蓄(一期)工程，变废为宝，切实降低水资源损耗，让污水处理厂的提标改造发挥最大效益。借助社会资本，加快推进投资5715万元的生活垃圾全链条分类处理项目，提高可回收物资源化利用率，补齐我市生活垃圾处理短板。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强化责任担当。认真贯彻落实习近平新时代中国特色社会主义思想，牢固树立为人民管理城市的理念，聚焦主责主业，全面贯彻落实主体责任，推动城市管理绿、亮、净、美高质量协调发展，切实叫响“城市精细化管理”品牌，不断满足人民群众对于城市的美好向往。</w:t>
      </w:r>
    </w:p>
    <w:p>
      <w:pPr>
        <w:pStyle w:val="插入文本样式-插入实现年度发展规划目标的保障措施文件"/>
      </w:pPr>
      <w:r>
        <w:t xml:space="preserve">强化工作举措。对照2023年工作谋划，逐项拉出目标清单、明确时间节点、责任科室、责任人，建立“日巡查、周调度、月考评”工作制度，全力抓重点攻难点，抓创新出亮点，集中优势资源、集中精干力量，不断攻缺项、补短项、扬长项，确保各项重点工作高标准、高效率超标完成，推动各项工作走在全市前列。</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强化督导检查。局党组要加强对全局重点工作的督导检查，严格落实“每周一督导、每半月一通报、每月一评比”的督导办法，及时了解掌握各责任科室工作进展及存在的问题，对各责任科室问题整改情况进行调度和通报，及时曝光工作推进中存在的问题，对进度缓慢、弄虚作假、影响整改工作进度的，坚决报请局党组进行追责问效。</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1、2023年第二批新增债券新乐市第二污水处理厂深度提标改造（一期）工程绩效目标表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13018423P00312010001J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2023年第二批新增债券新乐市第二污水处理厂深度提标改造（一期）工程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用于第二污水处理厂深度处理提标改造（一期）工程。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290.37</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1.目标内容1为保证工程顺利完工。</w:t>
            </w:r>
          </w:p>
          <w:p>
            <w:pPr>
              <w:pStyle w:val="单元格样式2"/>
            </w:pPr>
            <w:r>
              <w:t xml:space="preserve">2.目标内容2为保障新乐市市民安全用水。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污水处理量</w:t>
            </w:r>
          </w:p>
        </w:tc>
        <w:tc>
          <w:tcPr>
            <w:tcW w:w="5386" w:type="dxa"/>
            <w:vAlign w:val="center"/>
          </w:tcPr>
          <w:p>
            <w:pPr>
              <w:pStyle w:val="单元格样式2"/>
            </w:pPr>
            <w:r>
              <w:t xml:space="preserve">集中收集处理城区排放的生活污水及工业园区排放的工业废水</w:t>
            </w:r>
          </w:p>
        </w:tc>
        <w:tc>
          <w:tcPr>
            <w:tcW w:w="2268" w:type="dxa"/>
            <w:vAlign w:val="center"/>
          </w:tcPr>
          <w:p>
            <w:pPr>
              <w:pStyle w:val="单元格样式2"/>
            </w:pPr>
            <w:r>
              <w:t xml:space="preserve">≥1500万立方米</w:t>
            </w:r>
          </w:p>
        </w:tc>
        <w:tc>
          <w:tcPr>
            <w:tcW w:w="1276" w:type="dxa"/>
            <w:vAlign w:val="center"/>
          </w:tcPr>
          <w:p>
            <w:pPr>
              <w:pStyle w:val="单元格样式2"/>
            </w:pPr>
            <w:r>
              <w:t xml:space="preserve">进水在线监测数据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出水水质</w:t>
            </w:r>
          </w:p>
        </w:tc>
        <w:tc>
          <w:tcPr>
            <w:tcW w:w="5386" w:type="dxa"/>
            <w:vAlign w:val="center"/>
          </w:tcPr>
          <w:p>
            <w:pPr>
              <w:pStyle w:val="单元格样式2"/>
            </w:pPr>
            <w:r>
              <w:t xml:space="preserve">严格执行大清河流域污染物排放标准</w:t>
            </w:r>
          </w:p>
        </w:tc>
        <w:tc>
          <w:tcPr>
            <w:tcW w:w="2268" w:type="dxa"/>
            <w:vAlign w:val="center"/>
          </w:tcPr>
          <w:p>
            <w:pPr>
              <w:pStyle w:val="单元格样式2"/>
            </w:pPr>
            <w:r>
              <w:t xml:space="preserve">100出水水质严格达标排放</w:t>
            </w:r>
          </w:p>
        </w:tc>
        <w:tc>
          <w:tcPr>
            <w:tcW w:w="1276" w:type="dxa"/>
            <w:vAlign w:val="center"/>
          </w:tcPr>
          <w:p>
            <w:pPr>
              <w:pStyle w:val="单元格样式2"/>
            </w:pPr>
            <w:r>
              <w:t xml:space="preserve">大清河流域污水排放标准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运行时间</w:t>
            </w:r>
          </w:p>
        </w:tc>
        <w:tc>
          <w:tcPr>
            <w:tcW w:w="5386" w:type="dxa"/>
            <w:vAlign w:val="center"/>
          </w:tcPr>
          <w:p>
            <w:pPr>
              <w:pStyle w:val="单元格样式2"/>
            </w:pPr>
            <w:r>
              <w:t xml:space="preserve">污水处理不间断连续运行</w:t>
            </w:r>
          </w:p>
        </w:tc>
        <w:tc>
          <w:tcPr>
            <w:tcW w:w="2268" w:type="dxa"/>
            <w:vAlign w:val="center"/>
          </w:tcPr>
          <w:p>
            <w:pPr>
              <w:pStyle w:val="单元格样式2"/>
            </w:pPr>
            <w:r>
              <w:t xml:space="preserve">365天</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本级财政拨款</w:t>
            </w:r>
          </w:p>
        </w:tc>
        <w:tc>
          <w:tcPr>
            <w:tcW w:w="5386" w:type="dxa"/>
            <w:vAlign w:val="center"/>
          </w:tcPr>
          <w:p>
            <w:pPr>
              <w:pStyle w:val="单元格样式2"/>
            </w:pPr>
            <w:r>
              <w:t xml:space="preserve">本级财政拨款</w:t>
            </w:r>
          </w:p>
        </w:tc>
        <w:tc>
          <w:tcPr>
            <w:tcW w:w="2268" w:type="dxa"/>
            <w:vAlign w:val="center"/>
          </w:tcPr>
          <w:p>
            <w:pPr>
              <w:pStyle w:val="单元格样式2"/>
            </w:pPr>
            <w:r>
              <w:t xml:space="preserve">290.37万元</w:t>
            </w:r>
          </w:p>
        </w:tc>
        <w:tc>
          <w:tcPr>
            <w:tcW w:w="1276" w:type="dxa"/>
            <w:vAlign w:val="center"/>
          </w:tcPr>
          <w:p>
            <w:pPr>
              <w:pStyle w:val="单元格样式2"/>
            </w:pPr>
            <w:r>
              <w:t xml:space="preserve">专项债券</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保护水生态环境，造福后代</w:t>
            </w:r>
          </w:p>
        </w:tc>
        <w:tc>
          <w:tcPr>
            <w:tcW w:w="5386" w:type="dxa"/>
            <w:vAlign w:val="center"/>
          </w:tcPr>
          <w:p>
            <w:pPr>
              <w:pStyle w:val="单元格样式2"/>
            </w:pPr>
            <w:r>
              <w:t xml:space="preserve">我市水生态环境进一步改善</w:t>
            </w:r>
          </w:p>
        </w:tc>
        <w:tc>
          <w:tcPr>
            <w:tcW w:w="2268" w:type="dxa"/>
            <w:vAlign w:val="center"/>
          </w:tcPr>
          <w:p>
            <w:pPr>
              <w:pStyle w:val="单元格样式2"/>
            </w:pPr>
            <w:r>
              <w:t xml:space="preserve">≥95水生态100%得到改善</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问卷调查</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2、2023年第二批新增政府债券新乐市第一污水处理厂尾水导排资源化利用项目绩效目标表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13018423P003121100018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2023年第二批新增政府债券新乐市第一污水处理厂尾水导排资源化利用项目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用于新乐市第一污水处理厂尾水导排资源化利用项目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325.80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为保证新乐市第一污水处理厂尾水导排资源化利用项目顺利完工验收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≥95工程完工情况</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≥95工程完工合格情况</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≥95工程完工及时率</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325.8万元</w:t>
            </w:r>
          </w:p>
        </w:tc>
        <w:tc>
          <w:tcPr>
            <w:tcW w:w="1276" w:type="dxa"/>
            <w:vAlign w:val="center"/>
          </w:tcPr>
          <w:p>
            <w:pPr>
              <w:pStyle w:val="单元格样式2"/>
            </w:pPr>
            <w:r>
              <w:t xml:space="preserve">实际拨付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≥95在全市产生重要影响</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≥95服务对象满意情况</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3、2024年第七批新增一般债券新乐市邮电街、建新街道路提升改造工程绩效目标表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13018424P00493610001T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2024年第七批新增一般债券新乐市邮电街、建新街道路提升改造工程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用于新乐市邮电街、建新街道路提升改造工程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85.45</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1.为完成新乐市邮电街、建新街道路提升改造。</w:t>
            </w:r>
          </w:p>
          <w:p>
            <w:pPr>
              <w:pStyle w:val="单元格样式2"/>
            </w:pPr>
            <w:r>
              <w:t xml:space="preserve">2.为保障道路畅通，保证新乐市市民安全出行。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工程建设覆盖率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工程建设完工及时率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需拨付工程款</w:t>
            </w:r>
          </w:p>
        </w:tc>
        <w:tc>
          <w:tcPr>
            <w:tcW w:w="2268" w:type="dxa"/>
            <w:vAlign w:val="center"/>
          </w:tcPr>
          <w:p>
            <w:pPr>
              <w:pStyle w:val="单元格样式2"/>
            </w:pPr>
            <w:r>
              <w:t xml:space="preserve">85.45万元</w:t>
            </w:r>
          </w:p>
        </w:tc>
        <w:tc>
          <w:tcPr>
            <w:tcW w:w="1276" w:type="dxa"/>
            <w:vAlign w:val="center"/>
          </w:tcPr>
          <w:p>
            <w:pPr>
              <w:pStyle w:val="单元格样式2"/>
            </w:pPr>
            <w:r>
              <w:t xml:space="preserve">工程款及时拨付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4、2024年第十批新增债券-新乐市城镇集中供热提升工程绩效目标表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13018424P00507910001M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2024年第十批新增债券-新乐市城镇集中供热提升工程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用于新乐市城镇集中供热提升工程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214.50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1.切实做好我市城镇冬季集中供热工作，缓解我市供热企业压力。</w:t>
            </w:r>
          </w:p>
          <w:p>
            <w:pPr>
              <w:pStyle w:val="单元格样式2"/>
            </w:pPr>
            <w:r>
              <w:t xml:space="preserve">2.为保障新乐市市民供暖。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城镇集中供热提升工程建设</w:t>
            </w:r>
          </w:p>
        </w:tc>
        <w:tc>
          <w:tcPr>
            <w:tcW w:w="5386" w:type="dxa"/>
            <w:vAlign w:val="center"/>
          </w:tcPr>
          <w:p>
            <w:pPr>
              <w:pStyle w:val="单元格样式2"/>
            </w:pPr>
            <w:r>
              <w:t xml:space="preserve">反映城镇集中供热提升工程实际完成情况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反映城镇集中供热提升工程实际完成情况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反映城镇集中供热提升工程单位成本控制情况</w:t>
            </w:r>
          </w:p>
        </w:tc>
        <w:tc>
          <w:tcPr>
            <w:tcW w:w="2268" w:type="dxa"/>
            <w:vAlign w:val="center"/>
          </w:tcPr>
          <w:p>
            <w:pPr>
              <w:pStyle w:val="单元格样式2"/>
            </w:pPr>
            <w:r>
              <w:t xml:space="preserve">214.5万元</w:t>
            </w:r>
          </w:p>
        </w:tc>
        <w:tc>
          <w:tcPr>
            <w:tcW w:w="1276" w:type="dxa"/>
            <w:vAlign w:val="center"/>
          </w:tcPr>
          <w:p>
            <w:pPr>
              <w:pStyle w:val="单元格样式2"/>
            </w:pPr>
            <w:r>
              <w:t xml:space="preserve">工程单位成本控制情况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5、2024年第十批新增债券-新乐市燃气行业智慧监管平台建设项目绩效目标表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13018424P00507710001A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2024年第十批新增债券-新乐市燃气行业智慧监管平台建设项目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777.86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777.86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用于新乐市燃气行业智慧监管平台建设项目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777.86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1.通过建设新乐市燃气智慧监管平台加快了推进我市区燃气行业监管信息化。</w:t>
            </w:r>
          </w:p>
          <w:p>
            <w:pPr>
              <w:pStyle w:val="单元格样式2"/>
            </w:pPr>
            <w:r>
              <w:t xml:space="preserve">2.通过建设新乐市燃气智慧监管平台确保了实现“省、市、县、企业四级联网。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智慧监管平台建设</w:t>
            </w:r>
          </w:p>
        </w:tc>
        <w:tc>
          <w:tcPr>
            <w:tcW w:w="5386" w:type="dxa"/>
            <w:vAlign w:val="center"/>
          </w:tcPr>
          <w:p>
            <w:pPr>
              <w:pStyle w:val="单元格样式2"/>
            </w:pPr>
            <w:r>
              <w:t xml:space="preserve">反映智慧监管平台建设实际完成情况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智慧监管平台建设实际完成情况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反映项目燃气监管平台工程单位成本控制情况</w:t>
            </w:r>
          </w:p>
        </w:tc>
        <w:tc>
          <w:tcPr>
            <w:tcW w:w="2268" w:type="dxa"/>
            <w:vAlign w:val="center"/>
          </w:tcPr>
          <w:p>
            <w:pPr>
              <w:pStyle w:val="单元格样式2"/>
            </w:pPr>
            <w:r>
              <w:t xml:space="preserve">777.86元</w:t>
            </w:r>
          </w:p>
        </w:tc>
        <w:tc>
          <w:tcPr>
            <w:tcW w:w="1276" w:type="dxa"/>
            <w:vAlign w:val="center"/>
          </w:tcPr>
          <w:p>
            <w:pPr>
              <w:pStyle w:val="单元格样式2"/>
            </w:pPr>
            <w:r>
              <w:t xml:space="preserve">工程单位成本控制情况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6、2025年本级支出-2024年度集中供热燃煤资金绩效目标表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13018425P00010610001B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2025年本级支出-2024年度集中供热燃煤资金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用于2024年度集中供热燃煤资金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3800.00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1.确保我市冬季供热工作顺利开展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采购燃煤吨数</w:t>
            </w:r>
          </w:p>
        </w:tc>
        <w:tc>
          <w:tcPr>
            <w:tcW w:w="5386" w:type="dxa"/>
            <w:vAlign w:val="center"/>
          </w:tcPr>
          <w:p>
            <w:pPr>
              <w:pStyle w:val="单元格样式2"/>
            </w:pPr>
            <w:r>
              <w:t xml:space="preserve">采购燃煤吨数</w:t>
            </w:r>
          </w:p>
        </w:tc>
        <w:tc>
          <w:tcPr>
            <w:tcW w:w="2268" w:type="dxa"/>
            <w:vAlign w:val="center"/>
          </w:tcPr>
          <w:p>
            <w:pPr>
              <w:pStyle w:val="单元格样式2"/>
            </w:pPr>
            <w:r>
              <w:t xml:space="preserve">10.5万吨</w:t>
            </w:r>
          </w:p>
        </w:tc>
        <w:tc>
          <w:tcPr>
            <w:tcW w:w="1276" w:type="dxa"/>
            <w:vAlign w:val="center"/>
          </w:tcPr>
          <w:p>
            <w:pPr>
              <w:pStyle w:val="单元格样式2"/>
            </w:pPr>
            <w:r>
              <w:t xml:space="preserve">采购燃煤吨数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供热质量合格率</w:t>
            </w:r>
          </w:p>
        </w:tc>
        <w:tc>
          <w:tcPr>
            <w:tcW w:w="5386" w:type="dxa"/>
            <w:vAlign w:val="center"/>
          </w:tcPr>
          <w:p>
            <w:pPr>
              <w:pStyle w:val="单元格样式2"/>
            </w:pPr>
            <w:r>
              <w:t xml:space="preserve">供热质量合格率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供热质量合格率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集中供热及时率</w:t>
            </w:r>
          </w:p>
        </w:tc>
        <w:tc>
          <w:tcPr>
            <w:tcW w:w="5386" w:type="dxa"/>
            <w:vAlign w:val="center"/>
          </w:tcPr>
          <w:p>
            <w:pPr>
              <w:pStyle w:val="单元格样式2"/>
            </w:pPr>
            <w:r>
              <w:t xml:space="preserve">集中供热及时率</w:t>
            </w:r>
          </w:p>
        </w:tc>
        <w:tc>
          <w:tcPr>
            <w:tcW w:w="2268" w:type="dxa"/>
            <w:vAlign w:val="center"/>
          </w:tcPr>
          <w:p>
            <w:pPr>
              <w:pStyle w:val="单元格样式2"/>
            </w:pPr>
            <w:r>
              <w:t xml:space="preserve">≥95%</w:t>
            </w:r>
          </w:p>
        </w:tc>
        <w:tc>
          <w:tcPr>
            <w:tcW w:w="1276" w:type="dxa"/>
            <w:vAlign w:val="center"/>
          </w:tcPr>
          <w:p>
            <w:pPr>
              <w:pStyle w:val="单元格样式2"/>
            </w:pPr>
            <w:r>
              <w:t xml:space="preserve">集中供热及时率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补贴资金数</w:t>
            </w:r>
          </w:p>
        </w:tc>
        <w:tc>
          <w:tcPr>
            <w:tcW w:w="5386" w:type="dxa"/>
            <w:vAlign w:val="center"/>
          </w:tcPr>
          <w:p>
            <w:pPr>
              <w:pStyle w:val="单元格样式2"/>
            </w:pPr>
            <w:r>
              <w:t xml:space="preserve">增加补贴资金数</w:t>
            </w:r>
          </w:p>
        </w:tc>
        <w:tc>
          <w:tcPr>
            <w:tcW w:w="2268" w:type="dxa"/>
            <w:vAlign w:val="center"/>
          </w:tcPr>
          <w:p>
            <w:pPr>
              <w:pStyle w:val="单元格样式2"/>
            </w:pPr>
            <w:r>
              <w:t xml:space="preserve">3800万元</w:t>
            </w:r>
          </w:p>
        </w:tc>
        <w:tc>
          <w:tcPr>
            <w:tcW w:w="1276" w:type="dxa"/>
            <w:vAlign w:val="center"/>
          </w:tcPr>
          <w:p>
            <w:pPr>
              <w:pStyle w:val="单元格样式2"/>
            </w:pPr>
            <w:r>
              <w:t xml:space="preserve">补贴资金数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在新乐全市产生重大的影响，得到广大群众的一致认可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7、2025年本级支出-新乐市城区照明亮化电费绩效目标表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13018425P00011210001U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2025年本级支出-新乐市城区照明亮化电费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用于城区亮化电费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1.为保证提升新乐市夜间景观效果，保障人民夜间出行安全。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及时拨付情况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8、2025年本级支出-新乐市农村生活垃圾市场化托管费用绩效目标表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13018425P00011310001H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2025年本级支出-新乐市农村生活垃圾市场化托管费用</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204.95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204.95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用于支付农村生活垃圾市场化托管费用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204.95</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1.为进一步打造干净、整洁、有序的城乡环境。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垃圾托管覆盖率</w:t>
            </w:r>
          </w:p>
        </w:tc>
        <w:tc>
          <w:tcPr>
            <w:tcW w:w="5386" w:type="dxa"/>
            <w:vAlign w:val="center"/>
          </w:tcPr>
          <w:p>
            <w:pPr>
              <w:pStyle w:val="单元格样式2"/>
            </w:pPr>
            <w:r>
              <w:t xml:space="preserve">垃圾托管覆盖160个村</w:t>
            </w:r>
          </w:p>
        </w:tc>
        <w:tc>
          <w:tcPr>
            <w:tcW w:w="2268" w:type="dxa"/>
            <w:vAlign w:val="center"/>
          </w:tcPr>
          <w:p>
            <w:pPr>
              <w:pStyle w:val="单元格样式2"/>
            </w:pPr>
            <w:r>
              <w:t xml:space="preserve">160个村</w:t>
            </w:r>
          </w:p>
        </w:tc>
        <w:tc>
          <w:tcPr>
            <w:tcW w:w="1276" w:type="dxa"/>
            <w:vAlign w:val="center"/>
          </w:tcPr>
          <w:p>
            <w:pPr>
              <w:pStyle w:val="单元格样式2"/>
            </w:pPr>
            <w:r>
              <w:t xml:space="preserve">垃圾托管覆盖率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生活垃圾处理率</w:t>
            </w:r>
          </w:p>
        </w:tc>
        <w:tc>
          <w:tcPr>
            <w:tcW w:w="5386" w:type="dxa"/>
            <w:vAlign w:val="center"/>
          </w:tcPr>
          <w:p>
            <w:pPr>
              <w:pStyle w:val="单元格样式2"/>
            </w:pPr>
            <w:r>
              <w:t xml:space="preserve">生活垃圾日处理量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生活垃圾处理率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生活垃圾处理及时率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2472万元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9、2025年本级支出-新能源环卫作业车辆电费绩效目标表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13018425P00011210002F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2025年本级支出-新能源环卫作业车辆电费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用于支付新乐市新能源环卫作业车辆电费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1.为进一步做好城区环卫保洁及助力大气污染防治工作。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反映充电桩使用情况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反映充电桩合格使用情况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反映电费及时拨付情况</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30万元</w:t>
            </w:r>
          </w:p>
        </w:tc>
        <w:tc>
          <w:tcPr>
            <w:tcW w:w="1276" w:type="dxa"/>
            <w:vAlign w:val="center"/>
          </w:tcPr>
          <w:p>
            <w:pPr>
              <w:pStyle w:val="单元格样式2"/>
            </w:pPr>
            <w:r>
              <w:t xml:space="preserve">拨付情况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10、2025年本级支出-占地补偿款绩效目标表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13018425P00522210011K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2025年本级支出-占地补偿款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1425.23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1425.23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用于支付占地补偿款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1425.23</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1.按期支付占地补偿款，保证项目正常运转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占地补偿数量</w:t>
            </w:r>
          </w:p>
        </w:tc>
        <w:tc>
          <w:tcPr>
            <w:tcW w:w="5386" w:type="dxa"/>
            <w:vAlign w:val="center"/>
          </w:tcPr>
          <w:p>
            <w:pPr>
              <w:pStyle w:val="单元格样式2"/>
            </w:pPr>
            <w:r>
              <w:t xml:space="preserve">占地补偿数</w:t>
            </w:r>
          </w:p>
        </w:tc>
        <w:tc>
          <w:tcPr>
            <w:tcW w:w="2268" w:type="dxa"/>
            <w:vAlign w:val="center"/>
          </w:tcPr>
          <w:p>
            <w:pPr>
              <w:pStyle w:val="单元格样式2"/>
            </w:pPr>
            <w:r>
              <w:t xml:space="preserve">5个</w:t>
            </w:r>
          </w:p>
        </w:tc>
        <w:tc>
          <w:tcPr>
            <w:tcW w:w="1276" w:type="dxa"/>
            <w:vAlign w:val="center"/>
          </w:tcPr>
          <w:p>
            <w:pPr>
              <w:pStyle w:val="单元格样式2"/>
            </w:pPr>
            <w:r>
              <w:t xml:space="preserve">占地补偿数量</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发放合格率</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占地补偿款发放及时率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占地款</w:t>
            </w:r>
          </w:p>
        </w:tc>
        <w:tc>
          <w:tcPr>
            <w:tcW w:w="5386" w:type="dxa"/>
            <w:vAlign w:val="center"/>
          </w:tcPr>
          <w:p>
            <w:pPr>
              <w:pStyle w:val="单元格样式2"/>
            </w:pPr>
            <w:r>
              <w:t xml:space="preserve">占地款</w:t>
            </w:r>
          </w:p>
        </w:tc>
        <w:tc>
          <w:tcPr>
            <w:tcW w:w="2268" w:type="dxa"/>
            <w:vAlign w:val="center"/>
          </w:tcPr>
          <w:p>
            <w:pPr>
              <w:pStyle w:val="单元格样式2"/>
            </w:pPr>
            <w:r>
              <w:t xml:space="preserve">1425.23万元</w:t>
            </w:r>
          </w:p>
        </w:tc>
        <w:tc>
          <w:tcPr>
            <w:tcW w:w="1276" w:type="dxa"/>
            <w:vAlign w:val="center"/>
          </w:tcPr>
          <w:p>
            <w:pPr>
              <w:pStyle w:val="单元格样式2"/>
            </w:pPr>
            <w:r>
              <w:t xml:space="preserve">占地款</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w:t>
            </w:r>
          </w:p>
        </w:tc>
        <w:tc>
          <w:tcPr>
            <w:tcW w:w="5386" w:type="dxa"/>
            <w:vAlign w:val="center"/>
          </w:tcPr>
          <w:p>
            <w:pPr>
              <w:pStyle w:val="单元格样式2"/>
            </w:pPr>
            <w:r>
              <w:t xml:space="preserve">被征地对象满意度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被征地对象满意度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11、冀财建【2024】237号文提前下达2025年中央大气污染防治资金（用于农村地区气代煤电代煤改造任务运行补助）绩效目标表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冀财建【2024】237号文提前下达2025年中央大气污染防治资金（用于农村地区气代煤电代煤改造任务运行补助）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用于大气污染防治资金（农村地区气代煤电代煤改造任务运行补助）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519.00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1.为确保农村清洁取暖补贴足额到位，及早惠及广大群众。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519万元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12、冀财建【2024】307号文-关于清算2021年农村地区清洁取暖改造任务省级补贴绩效目标表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冀财建【2024】307号文-关于清算2021年农村地区清洁取暖改造任务省级补贴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36.09</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36.09万元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13、冀财资环[2024]89号-大气污染防治专项资金绩效目标表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冀财资环[2024]89号-大气污染防治专项资金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442.00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442万元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14、冀财资环【2024】90号文关于提前下达2025年中央大气污染防治资金绩效目标表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冀财资环【2024】90号文关于提前下达2025年中央大气污染防治资金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976.00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1.用于农村地区清洁取暖，保障新乐市民顺利过冬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976万元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15、新乐市城区排水管网提升改造工程国债项目（冀财预【2023】74号）绩效目标表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13018423P00388510001G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新乐市城区排水管网提升改造工程国债项目（冀财预【2023】74号）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7490.93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7490.93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7490.93</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1.用于新乐市排水管道、排涝泵站、调蓄设施、排涝通道建设顺利进行。保证新乐市城市排水防涝工作。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建设、改造、修缮工程量（平米、公里、个数、亩等）</w:t>
            </w:r>
          </w:p>
        </w:tc>
        <w:tc>
          <w:tcPr>
            <w:tcW w:w="5386" w:type="dxa"/>
            <w:vAlign w:val="center"/>
          </w:tcPr>
          <w:p>
            <w:pPr>
              <w:pStyle w:val="单元格样式2"/>
            </w:pPr>
            <w:r>
              <w:t xml:space="preserve">新建污水管道16km，雨水管道10km。对762个错接点改造。</w:t>
            </w:r>
          </w:p>
        </w:tc>
        <w:tc>
          <w:tcPr>
            <w:tcW w:w="2268" w:type="dxa"/>
            <w:vAlign w:val="center"/>
          </w:tcPr>
          <w:p>
            <w:pPr>
              <w:pStyle w:val="单元格样式2"/>
            </w:pPr>
            <w:r>
              <w:t xml:space="preserve">≥26公里</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配套设施完成率</w:t>
            </w:r>
          </w:p>
        </w:tc>
        <w:tc>
          <w:tcPr>
            <w:tcW w:w="5386" w:type="dxa"/>
            <w:vAlign w:val="center"/>
          </w:tcPr>
          <w:p>
            <w:pPr>
              <w:pStyle w:val="单元格样式2"/>
            </w:pPr>
            <w:r>
              <w:t xml:space="preserve">实际完成配套设施量占计划完成配套设施量的100%</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建设工程数量</w:t>
            </w:r>
          </w:p>
        </w:tc>
        <w:tc>
          <w:tcPr>
            <w:tcW w:w="5386" w:type="dxa"/>
            <w:vAlign w:val="center"/>
          </w:tcPr>
          <w:p>
            <w:pPr>
              <w:pStyle w:val="单元格样式2"/>
            </w:pPr>
            <w:r>
              <w:t xml:space="preserve">新建污水管道16km，雨水管道10km。对762个错接点改造。实际完成工程量占计划完成工程量的100%</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项目竣工验收合格率≥98%</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项目设计变更不得超过10%</w:t>
            </w:r>
          </w:p>
        </w:tc>
        <w:tc>
          <w:tcPr>
            <w:tcW w:w="2268" w:type="dxa"/>
            <w:vAlign w:val="center"/>
          </w:tcPr>
          <w:p>
            <w:pPr>
              <w:pStyle w:val="单元格样式2"/>
            </w:pPr>
            <w:r>
              <w:t xml:space="preserve">≤10%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工程开工时间</w:t>
            </w:r>
          </w:p>
        </w:tc>
        <w:tc>
          <w:tcPr>
            <w:tcW w:w="5386" w:type="dxa"/>
            <w:vAlign w:val="center"/>
          </w:tcPr>
          <w:p>
            <w:pPr>
              <w:pStyle w:val="单元格样式2"/>
            </w:pPr>
            <w:r>
              <w:t xml:space="preserve">项目工程于2024年3月27日前开工建设</w:t>
            </w:r>
          </w:p>
        </w:tc>
        <w:tc>
          <w:tcPr>
            <w:tcW w:w="2268" w:type="dxa"/>
            <w:vAlign w:val="center"/>
          </w:tcPr>
          <w:p>
            <w:pPr>
              <w:pStyle w:val="单元格样式2"/>
            </w:pPr>
            <w:r>
              <w:t xml:space="preserve">2024年3月27日前</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项目竣工验收时间于2024年12月31日前验收完成</w:t>
            </w:r>
          </w:p>
        </w:tc>
        <w:tc>
          <w:tcPr>
            <w:tcW w:w="2268" w:type="dxa"/>
            <w:vAlign w:val="center"/>
          </w:tcPr>
          <w:p>
            <w:pPr>
              <w:pStyle w:val="单元格样式2"/>
            </w:pPr>
            <w:r>
              <w:t xml:space="preserve">2024年12月31日前</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该工程于2024年12月31日前竣工</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严格按照工程量清单及设计图纸进行施工改造</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建筑（工程）综合利用率</w:t>
            </w:r>
          </w:p>
        </w:tc>
        <w:tc>
          <w:tcPr>
            <w:tcW w:w="5386" w:type="dxa"/>
            <w:vAlign w:val="center"/>
          </w:tcPr>
          <w:p>
            <w:pPr>
              <w:pStyle w:val="单元格样式2"/>
            </w:pPr>
            <w:r>
              <w:t xml:space="preserve">项目实施完成后排水管网综合利用情况</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工程建成后排水管网正常使用年限≥30年</w:t>
            </w:r>
          </w:p>
        </w:tc>
        <w:tc>
          <w:tcPr>
            <w:tcW w:w="2268" w:type="dxa"/>
            <w:vAlign w:val="center"/>
          </w:tcPr>
          <w:p>
            <w:pPr>
              <w:pStyle w:val="单元格样式2"/>
            </w:pPr>
            <w:r>
              <w:t xml:space="preserve">≥30年</w:t>
            </w:r>
          </w:p>
        </w:tc>
        <w:tc>
          <w:tcPr>
            <w:tcW w:w="1276" w:type="dxa"/>
            <w:vAlign w:val="center"/>
          </w:tcPr>
          <w:p>
            <w:pPr>
              <w:pStyle w:val="单元格样式2"/>
            </w:pPr>
            <w:r>
              <w:t xml:space="preserve">初步设计、概算及相关批复</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工程建成后通过问卷调查市民对城区排水效率的满意情况≥98%</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16、新乐市城区排水管网提升改造工程国债项目省级配套（冀财建【2023】279号）绩效目标表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13018424P00394010001D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新乐市城区排水管网提升改造工程国债项目省级配套（冀财建【2023】279号）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1.保障新乐市排水管道、排涝泵站、调蓄设施、排涝通道建设顺利进行。保证新乐市城市排水防涝工作。</w:t>
            </w:r>
            <w:r>
              <w:rPr/>
              <w:tab/>
            </w:r>
            <w:r>
              <w:rPr/>
              <w:tab/>
            </w:r>
            <w:r>
              <w:rPr/>
              <w:tab/>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下达国债数</w:t>
            </w:r>
          </w:p>
        </w:tc>
        <w:tc>
          <w:tcPr>
            <w:tcW w:w="5386" w:type="dxa"/>
            <w:vAlign w:val="center"/>
          </w:tcPr>
          <w:p>
            <w:pPr>
              <w:pStyle w:val="单元格样式2"/>
            </w:pPr>
            <w:r>
              <w:t xml:space="preserve">下达国债资金</w:t>
            </w:r>
          </w:p>
        </w:tc>
        <w:tc>
          <w:tcPr>
            <w:tcW w:w="2268" w:type="dxa"/>
            <w:vAlign w:val="center"/>
          </w:tcPr>
          <w:p>
            <w:pPr>
              <w:pStyle w:val="单元格样式2"/>
            </w:pPr>
            <w:r>
              <w:t xml:space="preserve">375万元</w:t>
            </w:r>
          </w:p>
        </w:tc>
        <w:tc>
          <w:tcPr>
            <w:tcW w:w="1276" w:type="dxa"/>
            <w:vAlign w:val="center"/>
          </w:tcPr>
          <w:p>
            <w:pPr>
              <w:pStyle w:val="单元格样式2"/>
            </w:pPr>
            <w:r>
              <w:t xml:space="preserve">实际拨付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17、新乐市城区排水管网提升改造工程国债项目省级配套（冀财建【2024】125号）绩效目标表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13018424P00490510001F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新乐市城区排水管网提升改造工程国债项目省级配套（冀财建【2024】125号）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1.通过新建污水管网16000米、雨水管网10000米等设施，提升防灾减灾能力。</w:t>
            </w:r>
            <w:r>
              <w:rPr/>
              <w:tab/>
            </w:r>
            <w:r>
              <w:rPr/>
              <w:tab/>
            </w:r>
            <w:r>
              <w:rPr/>
              <w:tab/>
            </w:r>
            <w:r>
              <w:rPr/>
              <w:tab/>
            </w:r>
            <w:r>
              <w:rPr/>
              <w:tab/>
            </w:r>
          </w:p>
          <w:p>
            <w:pPr>
              <w:pStyle w:val="单元格样式2"/>
            </w:pPr>
          </w:p>
          <w:p>
            <w:pPr>
              <w:pStyle w:val="单元格样式2"/>
            </w:pPr>
            <w:r>
              <w:t xml:space="preserve">2.保障城区内人民生命财产安全。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18、新乐市城区排水管网提升改造工程国债项目县级配套绩效目标表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13018425P000114100017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13049.00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1.通过新建污水管网160000米，新建雨水管网10000米等设施，提升防灾减灾能力，保证城区人民生命财产安全。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19、新乐市城区排水管网提升改造工程国债项目县级配套（2023年专项债券）绩效目标表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13018423P00358310001X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新乐市城区排水管网提升改造工程国债项目县级配套（2023年专项债券）</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1889.06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1889.06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用于新乐市城区排水管网建设工程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1889.06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：为保证城区排水工程的顺利进行。</w:t>
            </w:r>
          </w:p>
          <w:p>
            <w:pPr>
              <w:pStyle w:val="单元格样式2"/>
            </w:pPr>
            <w:r>
              <w:t xml:space="preserve">2.目标内容2  ： 为保证雨季汛期的排水工作顺利开展。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889.06万元</w:t>
            </w:r>
          </w:p>
        </w:tc>
        <w:tc>
          <w:tcPr>
            <w:tcW w:w="1276" w:type="dxa"/>
            <w:vAlign w:val="center"/>
          </w:tcPr>
          <w:p>
            <w:pPr>
              <w:pStyle w:val="单元格样式2"/>
            </w:pPr>
            <w:r>
              <w:t xml:space="preserve">实际拨付</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20、2025年本级支出-新乐市集贸市场占地补偿款绩效目标表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2025年本级支出-新乐市集贸市场占地补偿款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新乐集贸市场占地补偿款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1.73</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1.按期支付市场土地租赁费用，保证市场正常运营。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支付租赁费市场数量</w:t>
            </w:r>
          </w:p>
        </w:tc>
        <w:tc>
          <w:tcPr>
            <w:tcW w:w="5386" w:type="dxa"/>
            <w:vAlign w:val="center"/>
          </w:tcPr>
          <w:p>
            <w:pPr>
              <w:pStyle w:val="单元格样式2"/>
            </w:pPr>
            <w:r>
              <w:t xml:space="preserve">支付市场租赁土地费用</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市场秩序</w:t>
            </w:r>
          </w:p>
        </w:tc>
        <w:tc>
          <w:tcPr>
            <w:tcW w:w="5386" w:type="dxa"/>
            <w:vAlign w:val="center"/>
          </w:tcPr>
          <w:p>
            <w:pPr>
              <w:pStyle w:val="单元格样式2"/>
            </w:pPr>
            <w:r>
              <w:t xml:space="preserve">市场经营井然有序</w:t>
            </w:r>
          </w:p>
        </w:tc>
        <w:tc>
          <w:tcPr>
            <w:tcW w:w="2268" w:type="dxa"/>
            <w:vAlign w:val="center"/>
          </w:tcPr>
          <w:p>
            <w:pPr>
              <w:pStyle w:val="单元格样式2"/>
            </w:pPr>
            <w:r>
              <w:t xml:space="preserve">市场秩序良好</w:t>
            </w:r>
          </w:p>
        </w:tc>
        <w:tc>
          <w:tcPr>
            <w:tcW w:w="1276" w:type="dxa"/>
            <w:vAlign w:val="center"/>
          </w:tcPr>
          <w:p>
            <w:pPr>
              <w:pStyle w:val="单元格样式2"/>
            </w:pPr>
            <w:r>
              <w:t xml:space="preserve">市场管理需要</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及时支付</w:t>
            </w:r>
          </w:p>
        </w:tc>
        <w:tc>
          <w:tcPr>
            <w:tcW w:w="5386" w:type="dxa"/>
            <w:vAlign w:val="center"/>
          </w:tcPr>
          <w:p>
            <w:pPr>
              <w:pStyle w:val="单元格样式2"/>
            </w:pPr>
            <w:r>
              <w:t xml:space="preserve">到期及时支付</w:t>
            </w:r>
          </w:p>
        </w:tc>
        <w:tc>
          <w:tcPr>
            <w:tcW w:w="2268" w:type="dxa"/>
            <w:vAlign w:val="center"/>
          </w:tcPr>
          <w:p>
            <w:pPr>
              <w:pStyle w:val="单元格样式2"/>
            </w:pPr>
            <w:r>
              <w:t xml:space="preserve">每年按期支付</w:t>
            </w:r>
          </w:p>
        </w:tc>
        <w:tc>
          <w:tcPr>
            <w:tcW w:w="1276" w:type="dxa"/>
            <w:vAlign w:val="center"/>
          </w:tcPr>
          <w:p>
            <w:pPr>
              <w:pStyle w:val="单元格样式2"/>
            </w:pPr>
            <w:r>
              <w:t xml:space="preserve">合同约定</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控制租赁成本</w:t>
            </w:r>
          </w:p>
        </w:tc>
        <w:tc>
          <w:tcPr>
            <w:tcW w:w="2268" w:type="dxa"/>
            <w:vAlign w:val="center"/>
          </w:tcPr>
          <w:p>
            <w:pPr>
              <w:pStyle w:val="单元格样式2"/>
            </w:pPr>
            <w:r>
              <w:t xml:space="preserve">≤1.73</w:t>
            </w:r>
          </w:p>
        </w:tc>
        <w:tc>
          <w:tcPr>
            <w:tcW w:w="1276" w:type="dxa"/>
            <w:vAlign w:val="center"/>
          </w:tcPr>
          <w:p>
            <w:pPr>
              <w:pStyle w:val="单元格样式2"/>
            </w:pPr>
            <w:r>
              <w:t xml:space="preserve">合同约定</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保证市场正常运营</w:t>
            </w:r>
          </w:p>
        </w:tc>
        <w:tc>
          <w:tcPr>
            <w:tcW w:w="5386" w:type="dxa"/>
            <w:vAlign w:val="center"/>
          </w:tcPr>
          <w:p>
            <w:pPr>
              <w:pStyle w:val="单元格样式2"/>
            </w:pPr>
            <w:r>
              <w:t xml:space="preserve">加强市场管理，保证市场运营平稳</w:t>
            </w:r>
          </w:p>
        </w:tc>
        <w:tc>
          <w:tcPr>
            <w:tcW w:w="2268" w:type="dxa"/>
            <w:vAlign w:val="center"/>
          </w:tcPr>
          <w:p>
            <w:pPr>
              <w:pStyle w:val="单元格样式2"/>
            </w:pPr>
            <w:r>
              <w:t xml:space="preserve">市场运营平稳</w:t>
            </w:r>
          </w:p>
        </w:tc>
        <w:tc>
          <w:tcPr>
            <w:tcW w:w="1276" w:type="dxa"/>
            <w:vAlign w:val="center"/>
          </w:tcPr>
          <w:p>
            <w:pPr>
              <w:pStyle w:val="单元格样式2"/>
            </w:pPr>
            <w:r>
              <w:t xml:space="preserve">市场管理需要</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提高服务对象满意度</w:t>
            </w:r>
          </w:p>
        </w:tc>
        <w:tc>
          <w:tcPr>
            <w:tcW w:w="5386" w:type="dxa"/>
            <w:vAlign w:val="center"/>
          </w:tcPr>
          <w:p>
            <w:pPr>
              <w:pStyle w:val="单元格样式2"/>
            </w:pPr>
            <w:r>
              <w:t xml:space="preserve">服务对象满意度调查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满意度调查</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新乐市城市管理综合行政执法局（含所属单位）上年末固定资产金额为115325627.67万元（详见下表）。本年度拟购置固定资产总额为0.00万元，已按要求列入政府采购预算，详见政府采购预算表。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506新乐市城市管理综合行政执法局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115325627.67</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6304.02</w:t>
            </w:r>
          </w:p>
        </w:tc>
        <w:tc>
          <w:tcPr>
            <w:tcW w:w="2835" w:type="dxa"/>
            <w:vAlign w:val="center"/>
          </w:tcPr>
          <w:p>
            <w:pPr>
              <w:pStyle w:val="单元格样式4"/>
            </w:pPr>
            <w:r>
              <w:t xml:space="preserve">6810958.49</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472.52</w:t>
            </w:r>
          </w:p>
        </w:tc>
        <w:tc>
          <w:tcPr>
            <w:tcW w:w="2835" w:type="dxa"/>
            <w:vAlign w:val="center"/>
          </w:tcPr>
          <w:p>
            <w:pPr>
              <w:pStyle w:val="单元格样式4"/>
            </w:pPr>
            <w:r>
              <w:t xml:space="preserve">479819.44</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274</w:t>
            </w:r>
          </w:p>
        </w:tc>
        <w:tc>
          <w:tcPr>
            <w:tcW w:w="2835" w:type="dxa"/>
            <w:vAlign w:val="center"/>
          </w:tcPr>
          <w:p>
            <w:pPr>
              <w:pStyle w:val="单元格样式4"/>
            </w:pPr>
            <w:r>
              <w:t xml:space="preserve">81008937.24</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1180000.00</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5948</w:t>
            </w:r>
          </w:p>
        </w:tc>
        <w:tc>
          <w:tcPr>
            <w:tcW w:w="2835" w:type="dxa"/>
            <w:vAlign w:val="center"/>
          </w:tcPr>
          <w:p>
            <w:pPr>
              <w:pStyle w:val="单元格样式4"/>
            </w:pPr>
            <w:r>
              <w:t xml:space="preserve">26325731.94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52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51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54</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2025-09-09T11:04:42Z</dcterms:created>
  <dcterms:modified xsi:type="dcterms:W3CDTF">2025-09-09T11:04:42Z</dcterms:modified>
</cp:coreProperties>
</file>