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fldChar w:fldCharType="begin"/>
      </w:r>
      <w:r>
        <w:instrText xml:space="preserve">TOC \o "4-4" \h \z \u</w:instrText>
      </w:r>
      <w:r>
        <w:fldChar w:fldCharType="separate"/>
      </w: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4"/>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4"/>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4"/>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4"/>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4"/>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4"/>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4"/>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pStyle w:val="4"/>
        <w:tabs>
          <w:tab w:val="right" w:leader="dot" w:pos="14562"/>
        </w:tabs>
      </w:pPr>
    </w:p>
    <w:p>
      <w:pPr>
        <w:sectPr>
          <w:pgSz w:w="16840" w:h="11900" w:orient="landscape"/>
          <w:pgMar w:top="1587" w:right="1134" w:bottom="1361" w:left="1134" w:header="720" w:footer="720" w:gutter="0"/>
          <w:pgNumType w:start="1"/>
        </w:sectPr>
      </w:pPr>
      <w:r>
        <w:fldChar w:fldCharType="end"/>
      </w:r>
    </w:p>
    <w:p>
      <w:pPr>
        <w:spacing w:before="0" w:after="0"/>
        <w:ind w:firstLine="0"/>
        <w:jc w:val="both"/>
        <w:outlineLvl w:val="3"/>
      </w:pPr>
      <w:bookmarkStart w:id="0" w:name="_Toc_4_4_0000000001"/>
      <w:r>
        <w:rPr>
          <w:rFonts w:ascii="方正小标宋_GBK" w:hAnsi="方正小标宋_GBK" w:eastAsia="方正小标宋_GBK" w:cs="方正小标宋_GBK"/>
          <w:b w:val="0"/>
          <w:color w:val="000000"/>
          <w:sz w:val="44"/>
        </w:rPr>
        <w:t>一、新乐市工商业联合会本级收支预算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714001新乐市工商业联合会本级</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116.00</w:t>
            </w:r>
          </w:p>
        </w:tc>
        <w:tc>
          <w:tcPr>
            <w:tcW w:w="4535" w:type="dxa"/>
            <w:vAlign w:val="center"/>
          </w:tcPr>
          <w:p>
            <w:pPr>
              <w:pStyle w:val="14"/>
            </w:pPr>
            <w:r>
              <w:t>一、一般公共服务支出</w:t>
            </w:r>
          </w:p>
        </w:tc>
        <w:tc>
          <w:tcPr>
            <w:tcW w:w="2126" w:type="dxa"/>
            <w:vAlign w:val="center"/>
          </w:tcPr>
          <w:p>
            <w:pPr>
              <w:pStyle w:val="13"/>
            </w:pPr>
            <w:r>
              <w:t>66.74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38.12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7.69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116.00</w:t>
            </w:r>
          </w:p>
        </w:tc>
        <w:tc>
          <w:tcPr>
            <w:tcW w:w="4535" w:type="dxa"/>
            <w:vAlign w:val="center"/>
          </w:tcPr>
          <w:p>
            <w:pPr>
              <w:pStyle w:val="16"/>
            </w:pPr>
            <w:r>
              <w:t>本年支出合计</w:t>
            </w:r>
          </w:p>
        </w:tc>
        <w:tc>
          <w:tcPr>
            <w:tcW w:w="2126" w:type="dxa"/>
            <w:vAlign w:val="center"/>
          </w:tcPr>
          <w:p>
            <w:pPr>
              <w:pStyle w:val="17"/>
            </w:pPr>
            <w:r>
              <w:t>116.00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116.00</w:t>
            </w:r>
          </w:p>
        </w:tc>
        <w:tc>
          <w:tcPr>
            <w:tcW w:w="4535" w:type="dxa"/>
            <w:vAlign w:val="center"/>
          </w:tcPr>
          <w:p>
            <w:pPr>
              <w:pStyle w:val="16"/>
            </w:pPr>
            <w:r>
              <w:t>支出总计</w:t>
            </w:r>
          </w:p>
        </w:tc>
        <w:tc>
          <w:tcPr>
            <w:tcW w:w="2126" w:type="dxa"/>
            <w:vAlign w:val="center"/>
          </w:tcPr>
          <w:p>
            <w:pPr>
              <w:pStyle w:val="17"/>
            </w:pPr>
            <w:r>
              <w:t>116.00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714001新乐市工商业联合会本级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116.00</w:t>
            </w:r>
          </w:p>
        </w:tc>
        <w:tc>
          <w:tcPr>
            <w:tcW w:w="1134" w:type="dxa"/>
            <w:vAlign w:val="center"/>
          </w:tcPr>
          <w:p>
            <w:pPr>
              <w:pStyle w:val="17"/>
            </w:pPr>
            <w:r>
              <w:t>116.00</w:t>
            </w:r>
          </w:p>
        </w:tc>
        <w:tc>
          <w:tcPr>
            <w:tcW w:w="1134" w:type="dxa"/>
            <w:vAlign w:val="center"/>
          </w:tcPr>
          <w:p>
            <w:pPr>
              <w:pStyle w:val="17"/>
            </w:pPr>
            <w:r>
              <w:t>116.00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66.74</w:t>
            </w:r>
          </w:p>
        </w:tc>
        <w:tc>
          <w:tcPr>
            <w:tcW w:w="1134" w:type="dxa"/>
            <w:vAlign w:val="center"/>
          </w:tcPr>
          <w:p>
            <w:pPr>
              <w:pStyle w:val="13"/>
            </w:pPr>
            <w:r>
              <w:t>66.74</w:t>
            </w:r>
          </w:p>
        </w:tc>
        <w:tc>
          <w:tcPr>
            <w:tcW w:w="1134" w:type="dxa"/>
            <w:vAlign w:val="center"/>
          </w:tcPr>
          <w:p>
            <w:pPr>
              <w:pStyle w:val="13"/>
            </w:pPr>
            <w:r>
              <w:t>66.74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20128</w:t>
            </w:r>
          </w:p>
        </w:tc>
        <w:tc>
          <w:tcPr>
            <w:tcW w:w="1559" w:type="dxa"/>
            <w:vAlign w:val="center"/>
          </w:tcPr>
          <w:p>
            <w:pPr>
              <w:pStyle w:val="14"/>
            </w:pPr>
            <w:r>
              <w:t>民主党派及工商联事务</w:t>
            </w:r>
          </w:p>
        </w:tc>
        <w:tc>
          <w:tcPr>
            <w:tcW w:w="1134" w:type="dxa"/>
            <w:vAlign w:val="center"/>
          </w:tcPr>
          <w:p>
            <w:pPr>
              <w:pStyle w:val="13"/>
            </w:pPr>
            <w:r>
              <w:t>66.74</w:t>
            </w:r>
          </w:p>
        </w:tc>
        <w:tc>
          <w:tcPr>
            <w:tcW w:w="1134" w:type="dxa"/>
            <w:vAlign w:val="center"/>
          </w:tcPr>
          <w:p>
            <w:pPr>
              <w:pStyle w:val="13"/>
            </w:pPr>
            <w:r>
              <w:t>66.74</w:t>
            </w:r>
          </w:p>
        </w:tc>
        <w:tc>
          <w:tcPr>
            <w:tcW w:w="1134" w:type="dxa"/>
            <w:vAlign w:val="center"/>
          </w:tcPr>
          <w:p>
            <w:pPr>
              <w:pStyle w:val="13"/>
            </w:pPr>
            <w:r>
              <w:t>66.74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2012899</w:t>
            </w:r>
          </w:p>
        </w:tc>
        <w:tc>
          <w:tcPr>
            <w:tcW w:w="1559" w:type="dxa"/>
            <w:vAlign w:val="center"/>
          </w:tcPr>
          <w:p>
            <w:pPr>
              <w:pStyle w:val="14"/>
            </w:pPr>
            <w:r>
              <w:t>其他民主党派及工商联事务支出</w:t>
            </w:r>
          </w:p>
        </w:tc>
        <w:tc>
          <w:tcPr>
            <w:tcW w:w="1134" w:type="dxa"/>
            <w:vAlign w:val="center"/>
          </w:tcPr>
          <w:p>
            <w:pPr>
              <w:pStyle w:val="13"/>
            </w:pPr>
            <w:r>
              <w:t>66.74</w:t>
            </w:r>
          </w:p>
        </w:tc>
        <w:tc>
          <w:tcPr>
            <w:tcW w:w="1134" w:type="dxa"/>
            <w:vAlign w:val="center"/>
          </w:tcPr>
          <w:p>
            <w:pPr>
              <w:pStyle w:val="13"/>
            </w:pPr>
            <w:r>
              <w:t>66.74</w:t>
            </w:r>
          </w:p>
        </w:tc>
        <w:tc>
          <w:tcPr>
            <w:tcW w:w="1134" w:type="dxa"/>
            <w:vAlign w:val="center"/>
          </w:tcPr>
          <w:p>
            <w:pPr>
              <w:pStyle w:val="13"/>
            </w:pPr>
            <w:r>
              <w:t>66.74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38.12</w:t>
            </w:r>
          </w:p>
        </w:tc>
        <w:tc>
          <w:tcPr>
            <w:tcW w:w="1134" w:type="dxa"/>
            <w:vAlign w:val="center"/>
          </w:tcPr>
          <w:p>
            <w:pPr>
              <w:pStyle w:val="13"/>
            </w:pPr>
            <w:r>
              <w:t>38.12</w:t>
            </w:r>
          </w:p>
        </w:tc>
        <w:tc>
          <w:tcPr>
            <w:tcW w:w="1134" w:type="dxa"/>
            <w:vAlign w:val="center"/>
          </w:tcPr>
          <w:p>
            <w:pPr>
              <w:pStyle w:val="13"/>
            </w:pPr>
            <w:r>
              <w:t>38.12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37.92</w:t>
            </w:r>
          </w:p>
        </w:tc>
        <w:tc>
          <w:tcPr>
            <w:tcW w:w="1134" w:type="dxa"/>
            <w:vAlign w:val="center"/>
          </w:tcPr>
          <w:p>
            <w:pPr>
              <w:pStyle w:val="13"/>
            </w:pPr>
            <w:r>
              <w:t>37.92</w:t>
            </w:r>
          </w:p>
        </w:tc>
        <w:tc>
          <w:tcPr>
            <w:tcW w:w="1134" w:type="dxa"/>
            <w:vAlign w:val="center"/>
          </w:tcPr>
          <w:p>
            <w:pPr>
              <w:pStyle w:val="13"/>
            </w:pPr>
            <w:r>
              <w:t>37.92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23.14</w:t>
            </w:r>
          </w:p>
        </w:tc>
        <w:tc>
          <w:tcPr>
            <w:tcW w:w="1134" w:type="dxa"/>
            <w:vAlign w:val="center"/>
          </w:tcPr>
          <w:p>
            <w:pPr>
              <w:pStyle w:val="13"/>
            </w:pPr>
            <w:r>
              <w:t>23.14</w:t>
            </w:r>
          </w:p>
        </w:tc>
        <w:tc>
          <w:tcPr>
            <w:tcW w:w="1134" w:type="dxa"/>
            <w:vAlign w:val="center"/>
          </w:tcPr>
          <w:p>
            <w:pPr>
              <w:pStyle w:val="13"/>
            </w:pPr>
            <w:r>
              <w:t>23.14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7.52</w:t>
            </w:r>
          </w:p>
        </w:tc>
        <w:tc>
          <w:tcPr>
            <w:tcW w:w="1134" w:type="dxa"/>
            <w:vAlign w:val="center"/>
          </w:tcPr>
          <w:p>
            <w:pPr>
              <w:pStyle w:val="13"/>
            </w:pPr>
            <w:r>
              <w:t>7.52</w:t>
            </w:r>
          </w:p>
        </w:tc>
        <w:tc>
          <w:tcPr>
            <w:tcW w:w="1134" w:type="dxa"/>
            <w:vAlign w:val="center"/>
          </w:tcPr>
          <w:p>
            <w:pPr>
              <w:pStyle w:val="13"/>
            </w:pPr>
            <w:r>
              <w:t>7.52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7.26</w:t>
            </w:r>
          </w:p>
        </w:tc>
        <w:tc>
          <w:tcPr>
            <w:tcW w:w="1134" w:type="dxa"/>
            <w:vAlign w:val="center"/>
          </w:tcPr>
          <w:p>
            <w:pPr>
              <w:pStyle w:val="13"/>
            </w:pPr>
            <w:r>
              <w:t>7.26</w:t>
            </w:r>
          </w:p>
        </w:tc>
        <w:tc>
          <w:tcPr>
            <w:tcW w:w="1134" w:type="dxa"/>
            <w:vAlign w:val="center"/>
          </w:tcPr>
          <w:p>
            <w:pPr>
              <w:pStyle w:val="13"/>
            </w:pPr>
            <w:r>
              <w:t>7.26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0.20</w:t>
            </w:r>
          </w:p>
        </w:tc>
        <w:tc>
          <w:tcPr>
            <w:tcW w:w="1134" w:type="dxa"/>
            <w:vAlign w:val="center"/>
          </w:tcPr>
          <w:p>
            <w:pPr>
              <w:pStyle w:val="13"/>
            </w:pPr>
            <w:r>
              <w:t>0.20</w:t>
            </w:r>
          </w:p>
        </w:tc>
        <w:tc>
          <w:tcPr>
            <w:tcW w:w="1134" w:type="dxa"/>
            <w:vAlign w:val="center"/>
          </w:tcPr>
          <w:p>
            <w:pPr>
              <w:pStyle w:val="13"/>
            </w:pPr>
            <w:r>
              <w:t>0.20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0.20</w:t>
            </w:r>
          </w:p>
        </w:tc>
        <w:tc>
          <w:tcPr>
            <w:tcW w:w="1134" w:type="dxa"/>
            <w:vAlign w:val="center"/>
          </w:tcPr>
          <w:p>
            <w:pPr>
              <w:pStyle w:val="13"/>
            </w:pPr>
            <w:r>
              <w:t>0.20</w:t>
            </w:r>
          </w:p>
        </w:tc>
        <w:tc>
          <w:tcPr>
            <w:tcW w:w="1134" w:type="dxa"/>
            <w:vAlign w:val="center"/>
          </w:tcPr>
          <w:p>
            <w:pPr>
              <w:pStyle w:val="13"/>
            </w:pPr>
            <w:r>
              <w:t>0.20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3.45</w:t>
            </w:r>
          </w:p>
        </w:tc>
        <w:tc>
          <w:tcPr>
            <w:tcW w:w="1134" w:type="dxa"/>
            <w:vAlign w:val="center"/>
          </w:tcPr>
          <w:p>
            <w:pPr>
              <w:pStyle w:val="13"/>
            </w:pPr>
            <w:r>
              <w:t>3.45</w:t>
            </w:r>
          </w:p>
        </w:tc>
        <w:tc>
          <w:tcPr>
            <w:tcW w:w="1134" w:type="dxa"/>
            <w:vAlign w:val="center"/>
          </w:tcPr>
          <w:p>
            <w:pPr>
              <w:pStyle w:val="13"/>
            </w:pPr>
            <w:r>
              <w:t>3.45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3.45</w:t>
            </w:r>
          </w:p>
        </w:tc>
        <w:tc>
          <w:tcPr>
            <w:tcW w:w="1134" w:type="dxa"/>
            <w:vAlign w:val="center"/>
          </w:tcPr>
          <w:p>
            <w:pPr>
              <w:pStyle w:val="13"/>
            </w:pPr>
            <w:r>
              <w:t>3.45</w:t>
            </w:r>
          </w:p>
        </w:tc>
        <w:tc>
          <w:tcPr>
            <w:tcW w:w="1134" w:type="dxa"/>
            <w:vAlign w:val="center"/>
          </w:tcPr>
          <w:p>
            <w:pPr>
              <w:pStyle w:val="13"/>
            </w:pPr>
            <w:r>
              <w:t>3.45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3.45</w:t>
            </w:r>
          </w:p>
        </w:tc>
        <w:tc>
          <w:tcPr>
            <w:tcW w:w="1134" w:type="dxa"/>
            <w:vAlign w:val="center"/>
          </w:tcPr>
          <w:p>
            <w:pPr>
              <w:pStyle w:val="13"/>
            </w:pPr>
            <w:r>
              <w:t>3.45</w:t>
            </w:r>
          </w:p>
        </w:tc>
        <w:tc>
          <w:tcPr>
            <w:tcW w:w="1134" w:type="dxa"/>
            <w:vAlign w:val="center"/>
          </w:tcPr>
          <w:p>
            <w:pPr>
              <w:pStyle w:val="13"/>
            </w:pPr>
            <w:r>
              <w:t>3.45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7.69</w:t>
            </w:r>
          </w:p>
        </w:tc>
        <w:tc>
          <w:tcPr>
            <w:tcW w:w="1134" w:type="dxa"/>
            <w:vAlign w:val="center"/>
          </w:tcPr>
          <w:p>
            <w:pPr>
              <w:pStyle w:val="13"/>
            </w:pPr>
            <w:r>
              <w:t>7.69</w:t>
            </w:r>
          </w:p>
        </w:tc>
        <w:tc>
          <w:tcPr>
            <w:tcW w:w="1134" w:type="dxa"/>
            <w:vAlign w:val="center"/>
          </w:tcPr>
          <w:p>
            <w:pPr>
              <w:pStyle w:val="13"/>
            </w:pPr>
            <w:r>
              <w:t>7.69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7.69</w:t>
            </w:r>
          </w:p>
        </w:tc>
        <w:tc>
          <w:tcPr>
            <w:tcW w:w="1134" w:type="dxa"/>
            <w:vAlign w:val="center"/>
          </w:tcPr>
          <w:p>
            <w:pPr>
              <w:pStyle w:val="13"/>
            </w:pPr>
            <w:r>
              <w:t>7.69</w:t>
            </w:r>
          </w:p>
        </w:tc>
        <w:tc>
          <w:tcPr>
            <w:tcW w:w="1134" w:type="dxa"/>
            <w:vAlign w:val="center"/>
          </w:tcPr>
          <w:p>
            <w:pPr>
              <w:pStyle w:val="13"/>
            </w:pPr>
            <w:r>
              <w:t>7.69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7.69</w:t>
            </w:r>
          </w:p>
        </w:tc>
        <w:tc>
          <w:tcPr>
            <w:tcW w:w="1134" w:type="dxa"/>
            <w:vAlign w:val="center"/>
          </w:tcPr>
          <w:p>
            <w:pPr>
              <w:pStyle w:val="13"/>
            </w:pPr>
            <w:r>
              <w:t>7.69</w:t>
            </w:r>
          </w:p>
        </w:tc>
        <w:tc>
          <w:tcPr>
            <w:tcW w:w="1134" w:type="dxa"/>
            <w:vAlign w:val="center"/>
          </w:tcPr>
          <w:p>
            <w:pPr>
              <w:pStyle w:val="13"/>
            </w:pPr>
            <w:r>
              <w:t>7.69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714001新乐市工商业联合会本级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116.00</w:t>
            </w:r>
          </w:p>
        </w:tc>
        <w:tc>
          <w:tcPr>
            <w:tcW w:w="1361" w:type="dxa"/>
            <w:vAlign w:val="center"/>
          </w:tcPr>
          <w:p>
            <w:pPr>
              <w:pStyle w:val="17"/>
            </w:pPr>
            <w:r>
              <w:t>116.00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66.74</w:t>
            </w:r>
          </w:p>
        </w:tc>
        <w:tc>
          <w:tcPr>
            <w:tcW w:w="1361" w:type="dxa"/>
            <w:vAlign w:val="center"/>
          </w:tcPr>
          <w:p>
            <w:pPr>
              <w:pStyle w:val="13"/>
            </w:pPr>
            <w:r>
              <w:t>66.74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20128</w:t>
            </w:r>
          </w:p>
        </w:tc>
        <w:tc>
          <w:tcPr>
            <w:tcW w:w="4535" w:type="dxa"/>
            <w:vAlign w:val="center"/>
          </w:tcPr>
          <w:p>
            <w:pPr>
              <w:pStyle w:val="14"/>
            </w:pPr>
            <w:r>
              <w:t>民主党派及工商联事务</w:t>
            </w:r>
          </w:p>
        </w:tc>
        <w:tc>
          <w:tcPr>
            <w:tcW w:w="1361" w:type="dxa"/>
            <w:vAlign w:val="center"/>
          </w:tcPr>
          <w:p>
            <w:pPr>
              <w:pStyle w:val="13"/>
            </w:pPr>
            <w:r>
              <w:t>66.74</w:t>
            </w:r>
          </w:p>
        </w:tc>
        <w:tc>
          <w:tcPr>
            <w:tcW w:w="1361" w:type="dxa"/>
            <w:vAlign w:val="center"/>
          </w:tcPr>
          <w:p>
            <w:pPr>
              <w:pStyle w:val="13"/>
            </w:pPr>
            <w:r>
              <w:t>66.74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2012899</w:t>
            </w:r>
          </w:p>
        </w:tc>
        <w:tc>
          <w:tcPr>
            <w:tcW w:w="4535" w:type="dxa"/>
            <w:vAlign w:val="center"/>
          </w:tcPr>
          <w:p>
            <w:pPr>
              <w:pStyle w:val="14"/>
            </w:pPr>
            <w:r>
              <w:t>其他民主党派及工商联事务支出</w:t>
            </w:r>
          </w:p>
        </w:tc>
        <w:tc>
          <w:tcPr>
            <w:tcW w:w="1361" w:type="dxa"/>
            <w:vAlign w:val="center"/>
          </w:tcPr>
          <w:p>
            <w:pPr>
              <w:pStyle w:val="13"/>
            </w:pPr>
            <w:r>
              <w:t>66.74</w:t>
            </w:r>
          </w:p>
        </w:tc>
        <w:tc>
          <w:tcPr>
            <w:tcW w:w="1361" w:type="dxa"/>
            <w:vAlign w:val="center"/>
          </w:tcPr>
          <w:p>
            <w:pPr>
              <w:pStyle w:val="13"/>
            </w:pPr>
            <w:r>
              <w:t>66.74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38.12</w:t>
            </w:r>
          </w:p>
        </w:tc>
        <w:tc>
          <w:tcPr>
            <w:tcW w:w="1361" w:type="dxa"/>
            <w:vAlign w:val="center"/>
          </w:tcPr>
          <w:p>
            <w:pPr>
              <w:pStyle w:val="13"/>
            </w:pPr>
            <w:r>
              <w:t>38.12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37.92</w:t>
            </w:r>
          </w:p>
        </w:tc>
        <w:tc>
          <w:tcPr>
            <w:tcW w:w="1361" w:type="dxa"/>
            <w:vAlign w:val="center"/>
          </w:tcPr>
          <w:p>
            <w:pPr>
              <w:pStyle w:val="13"/>
            </w:pPr>
            <w:r>
              <w:t>37.92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23.14</w:t>
            </w:r>
          </w:p>
        </w:tc>
        <w:tc>
          <w:tcPr>
            <w:tcW w:w="1361" w:type="dxa"/>
            <w:vAlign w:val="center"/>
          </w:tcPr>
          <w:p>
            <w:pPr>
              <w:pStyle w:val="13"/>
            </w:pPr>
            <w:r>
              <w:t>23.14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7.52</w:t>
            </w:r>
          </w:p>
        </w:tc>
        <w:tc>
          <w:tcPr>
            <w:tcW w:w="1361" w:type="dxa"/>
            <w:vAlign w:val="center"/>
          </w:tcPr>
          <w:p>
            <w:pPr>
              <w:pStyle w:val="13"/>
            </w:pPr>
            <w:r>
              <w:t>7.52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7.26</w:t>
            </w:r>
          </w:p>
        </w:tc>
        <w:tc>
          <w:tcPr>
            <w:tcW w:w="1361" w:type="dxa"/>
            <w:vAlign w:val="center"/>
          </w:tcPr>
          <w:p>
            <w:pPr>
              <w:pStyle w:val="13"/>
            </w:pPr>
            <w:r>
              <w:t>7.26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0.20</w:t>
            </w:r>
          </w:p>
        </w:tc>
        <w:tc>
          <w:tcPr>
            <w:tcW w:w="1361" w:type="dxa"/>
            <w:vAlign w:val="center"/>
          </w:tcPr>
          <w:p>
            <w:pPr>
              <w:pStyle w:val="13"/>
            </w:pPr>
            <w:r>
              <w:t>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0.20</w:t>
            </w:r>
          </w:p>
        </w:tc>
        <w:tc>
          <w:tcPr>
            <w:tcW w:w="1361" w:type="dxa"/>
            <w:vAlign w:val="center"/>
          </w:tcPr>
          <w:p>
            <w:pPr>
              <w:pStyle w:val="13"/>
            </w:pPr>
            <w:r>
              <w:t>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3.45</w:t>
            </w:r>
          </w:p>
        </w:tc>
        <w:tc>
          <w:tcPr>
            <w:tcW w:w="1361" w:type="dxa"/>
            <w:vAlign w:val="center"/>
          </w:tcPr>
          <w:p>
            <w:pPr>
              <w:pStyle w:val="13"/>
            </w:pPr>
            <w:r>
              <w:t>3.45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3.45</w:t>
            </w:r>
          </w:p>
        </w:tc>
        <w:tc>
          <w:tcPr>
            <w:tcW w:w="1361" w:type="dxa"/>
            <w:vAlign w:val="center"/>
          </w:tcPr>
          <w:p>
            <w:pPr>
              <w:pStyle w:val="13"/>
            </w:pPr>
            <w:r>
              <w:t>3.45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3.45</w:t>
            </w:r>
          </w:p>
        </w:tc>
        <w:tc>
          <w:tcPr>
            <w:tcW w:w="1361" w:type="dxa"/>
            <w:vAlign w:val="center"/>
          </w:tcPr>
          <w:p>
            <w:pPr>
              <w:pStyle w:val="13"/>
            </w:pPr>
            <w:r>
              <w:t>3.45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7.69</w:t>
            </w:r>
          </w:p>
        </w:tc>
        <w:tc>
          <w:tcPr>
            <w:tcW w:w="1361" w:type="dxa"/>
            <w:vAlign w:val="center"/>
          </w:tcPr>
          <w:p>
            <w:pPr>
              <w:pStyle w:val="13"/>
            </w:pPr>
            <w:r>
              <w:t>7.69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7.69</w:t>
            </w:r>
          </w:p>
        </w:tc>
        <w:tc>
          <w:tcPr>
            <w:tcW w:w="1361" w:type="dxa"/>
            <w:vAlign w:val="center"/>
          </w:tcPr>
          <w:p>
            <w:pPr>
              <w:pStyle w:val="13"/>
            </w:pPr>
            <w:r>
              <w:t>7.69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7.69</w:t>
            </w:r>
          </w:p>
        </w:tc>
        <w:tc>
          <w:tcPr>
            <w:tcW w:w="1361" w:type="dxa"/>
            <w:vAlign w:val="center"/>
          </w:tcPr>
          <w:p>
            <w:pPr>
              <w:pStyle w:val="13"/>
            </w:pPr>
            <w:r>
              <w:t>7.69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714001新乐市工商业联合会本级</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116.00</w:t>
            </w:r>
          </w:p>
        </w:tc>
        <w:tc>
          <w:tcPr>
            <w:tcW w:w="3402" w:type="dxa"/>
            <w:vAlign w:val="center"/>
          </w:tcPr>
          <w:p>
            <w:pPr>
              <w:pStyle w:val="14"/>
            </w:pPr>
            <w:r>
              <w:t>一、一般公共服务支出</w:t>
            </w:r>
          </w:p>
        </w:tc>
        <w:tc>
          <w:tcPr>
            <w:tcW w:w="1474" w:type="dxa"/>
            <w:vAlign w:val="center"/>
          </w:tcPr>
          <w:p>
            <w:pPr>
              <w:pStyle w:val="13"/>
            </w:pPr>
            <w:r>
              <w:t>66.74</w:t>
            </w:r>
          </w:p>
        </w:tc>
        <w:tc>
          <w:tcPr>
            <w:tcW w:w="1474" w:type="dxa"/>
            <w:vAlign w:val="center"/>
          </w:tcPr>
          <w:p>
            <w:pPr>
              <w:pStyle w:val="13"/>
            </w:pPr>
            <w:r>
              <w:t>66.74</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38.12</w:t>
            </w:r>
          </w:p>
        </w:tc>
        <w:tc>
          <w:tcPr>
            <w:tcW w:w="1474" w:type="dxa"/>
            <w:vAlign w:val="center"/>
          </w:tcPr>
          <w:p>
            <w:pPr>
              <w:pStyle w:val="13"/>
            </w:pPr>
            <w:r>
              <w:t>38.12</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3.45</w:t>
            </w:r>
          </w:p>
        </w:tc>
        <w:tc>
          <w:tcPr>
            <w:tcW w:w="1474" w:type="dxa"/>
            <w:vAlign w:val="center"/>
          </w:tcPr>
          <w:p>
            <w:pPr>
              <w:pStyle w:val="13"/>
            </w:pPr>
            <w:r>
              <w:t>3.45</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7.69</w:t>
            </w:r>
          </w:p>
        </w:tc>
        <w:tc>
          <w:tcPr>
            <w:tcW w:w="1474" w:type="dxa"/>
            <w:vAlign w:val="center"/>
          </w:tcPr>
          <w:p>
            <w:pPr>
              <w:pStyle w:val="13"/>
            </w:pPr>
            <w:r>
              <w:t>7.69</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116.00</w:t>
            </w:r>
          </w:p>
        </w:tc>
        <w:tc>
          <w:tcPr>
            <w:tcW w:w="3402" w:type="dxa"/>
            <w:vAlign w:val="center"/>
          </w:tcPr>
          <w:p>
            <w:pPr>
              <w:pStyle w:val="16"/>
            </w:pPr>
            <w:r>
              <w:t>本年支出合计</w:t>
            </w:r>
          </w:p>
        </w:tc>
        <w:tc>
          <w:tcPr>
            <w:tcW w:w="1474" w:type="dxa"/>
            <w:vAlign w:val="center"/>
          </w:tcPr>
          <w:p>
            <w:pPr>
              <w:pStyle w:val="17"/>
            </w:pPr>
            <w:r>
              <w:t>116.00</w:t>
            </w:r>
          </w:p>
        </w:tc>
        <w:tc>
          <w:tcPr>
            <w:tcW w:w="1474" w:type="dxa"/>
            <w:vAlign w:val="center"/>
          </w:tcPr>
          <w:p>
            <w:pPr>
              <w:pStyle w:val="17"/>
            </w:pPr>
            <w:r>
              <w:t>116.00</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116.00</w:t>
            </w:r>
          </w:p>
        </w:tc>
        <w:tc>
          <w:tcPr>
            <w:tcW w:w="3402" w:type="dxa"/>
            <w:vAlign w:val="center"/>
          </w:tcPr>
          <w:p>
            <w:pPr>
              <w:pStyle w:val="16"/>
            </w:pPr>
            <w:r>
              <w:t>支出总计</w:t>
            </w:r>
          </w:p>
        </w:tc>
        <w:tc>
          <w:tcPr>
            <w:tcW w:w="1474" w:type="dxa"/>
            <w:vAlign w:val="center"/>
          </w:tcPr>
          <w:p>
            <w:pPr>
              <w:pStyle w:val="17"/>
            </w:pPr>
            <w:r>
              <w:t>116.00</w:t>
            </w:r>
          </w:p>
        </w:tc>
        <w:tc>
          <w:tcPr>
            <w:tcW w:w="1474" w:type="dxa"/>
            <w:vAlign w:val="center"/>
          </w:tcPr>
          <w:p>
            <w:pPr>
              <w:pStyle w:val="17"/>
            </w:pPr>
            <w:r>
              <w:t>116.00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714001新乐市工商业联合会本级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116.00</w:t>
            </w:r>
          </w:p>
        </w:tc>
        <w:tc>
          <w:tcPr>
            <w:tcW w:w="2551" w:type="dxa"/>
            <w:vAlign w:val="center"/>
          </w:tcPr>
          <w:p>
            <w:pPr>
              <w:pStyle w:val="17"/>
            </w:pPr>
            <w:r>
              <w:t>116.00</w:t>
            </w:r>
          </w:p>
        </w:tc>
        <w:tc>
          <w:tcPr>
            <w:tcW w:w="255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66.74</w:t>
            </w:r>
          </w:p>
        </w:tc>
        <w:tc>
          <w:tcPr>
            <w:tcW w:w="2551" w:type="dxa"/>
            <w:vAlign w:val="center"/>
          </w:tcPr>
          <w:p>
            <w:pPr>
              <w:pStyle w:val="13"/>
            </w:pPr>
            <w:r>
              <w:t>66.74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20128</w:t>
            </w:r>
          </w:p>
        </w:tc>
        <w:tc>
          <w:tcPr>
            <w:tcW w:w="4535" w:type="dxa"/>
            <w:vAlign w:val="center"/>
          </w:tcPr>
          <w:p>
            <w:pPr>
              <w:pStyle w:val="14"/>
            </w:pPr>
            <w:r>
              <w:t>民主党派及工商联事务</w:t>
            </w:r>
          </w:p>
        </w:tc>
        <w:tc>
          <w:tcPr>
            <w:tcW w:w="2551" w:type="dxa"/>
            <w:vAlign w:val="center"/>
          </w:tcPr>
          <w:p>
            <w:pPr>
              <w:pStyle w:val="13"/>
            </w:pPr>
            <w:r>
              <w:t>66.74</w:t>
            </w:r>
          </w:p>
        </w:tc>
        <w:tc>
          <w:tcPr>
            <w:tcW w:w="2551" w:type="dxa"/>
            <w:vAlign w:val="center"/>
          </w:tcPr>
          <w:p>
            <w:pPr>
              <w:pStyle w:val="13"/>
            </w:pPr>
            <w:r>
              <w:t>66.74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2012899</w:t>
            </w:r>
          </w:p>
        </w:tc>
        <w:tc>
          <w:tcPr>
            <w:tcW w:w="4535" w:type="dxa"/>
            <w:vAlign w:val="center"/>
          </w:tcPr>
          <w:p>
            <w:pPr>
              <w:pStyle w:val="14"/>
            </w:pPr>
            <w:r>
              <w:t>其他民主党派及工商联事务支出</w:t>
            </w:r>
          </w:p>
        </w:tc>
        <w:tc>
          <w:tcPr>
            <w:tcW w:w="2551" w:type="dxa"/>
            <w:vAlign w:val="center"/>
          </w:tcPr>
          <w:p>
            <w:pPr>
              <w:pStyle w:val="13"/>
            </w:pPr>
            <w:r>
              <w:t>66.74</w:t>
            </w:r>
          </w:p>
        </w:tc>
        <w:tc>
          <w:tcPr>
            <w:tcW w:w="2551" w:type="dxa"/>
            <w:vAlign w:val="center"/>
          </w:tcPr>
          <w:p>
            <w:pPr>
              <w:pStyle w:val="13"/>
            </w:pPr>
            <w:r>
              <w:t>66.74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38.12</w:t>
            </w:r>
          </w:p>
        </w:tc>
        <w:tc>
          <w:tcPr>
            <w:tcW w:w="2551" w:type="dxa"/>
            <w:vAlign w:val="center"/>
          </w:tcPr>
          <w:p>
            <w:pPr>
              <w:pStyle w:val="13"/>
            </w:pPr>
            <w:r>
              <w:t>38.12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37.92</w:t>
            </w:r>
          </w:p>
        </w:tc>
        <w:tc>
          <w:tcPr>
            <w:tcW w:w="2551" w:type="dxa"/>
            <w:vAlign w:val="center"/>
          </w:tcPr>
          <w:p>
            <w:pPr>
              <w:pStyle w:val="13"/>
            </w:pPr>
            <w:r>
              <w:t>37.92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23.14</w:t>
            </w:r>
          </w:p>
        </w:tc>
        <w:tc>
          <w:tcPr>
            <w:tcW w:w="2551" w:type="dxa"/>
            <w:vAlign w:val="center"/>
          </w:tcPr>
          <w:p>
            <w:pPr>
              <w:pStyle w:val="13"/>
            </w:pPr>
            <w:r>
              <w:t>23.14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7.52</w:t>
            </w:r>
          </w:p>
        </w:tc>
        <w:tc>
          <w:tcPr>
            <w:tcW w:w="2551" w:type="dxa"/>
            <w:vAlign w:val="center"/>
          </w:tcPr>
          <w:p>
            <w:pPr>
              <w:pStyle w:val="13"/>
            </w:pPr>
            <w:r>
              <w:t>7.52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7.26</w:t>
            </w:r>
          </w:p>
        </w:tc>
        <w:tc>
          <w:tcPr>
            <w:tcW w:w="2551" w:type="dxa"/>
            <w:vAlign w:val="center"/>
          </w:tcPr>
          <w:p>
            <w:pPr>
              <w:pStyle w:val="13"/>
            </w:pPr>
            <w:r>
              <w:t>7.26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0.20</w:t>
            </w:r>
          </w:p>
        </w:tc>
        <w:tc>
          <w:tcPr>
            <w:tcW w:w="2551" w:type="dxa"/>
            <w:vAlign w:val="center"/>
          </w:tcPr>
          <w:p>
            <w:pPr>
              <w:pStyle w:val="13"/>
            </w:pPr>
            <w:r>
              <w:t>0.20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0.20</w:t>
            </w:r>
          </w:p>
        </w:tc>
        <w:tc>
          <w:tcPr>
            <w:tcW w:w="2551" w:type="dxa"/>
            <w:vAlign w:val="center"/>
          </w:tcPr>
          <w:p>
            <w:pPr>
              <w:pStyle w:val="13"/>
            </w:pPr>
            <w:r>
              <w:t>0.20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3.45</w:t>
            </w:r>
          </w:p>
        </w:tc>
        <w:tc>
          <w:tcPr>
            <w:tcW w:w="2551" w:type="dxa"/>
            <w:vAlign w:val="center"/>
          </w:tcPr>
          <w:p>
            <w:pPr>
              <w:pStyle w:val="13"/>
            </w:pPr>
            <w:r>
              <w:t>3.45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3.45</w:t>
            </w:r>
          </w:p>
        </w:tc>
        <w:tc>
          <w:tcPr>
            <w:tcW w:w="2551" w:type="dxa"/>
            <w:vAlign w:val="center"/>
          </w:tcPr>
          <w:p>
            <w:pPr>
              <w:pStyle w:val="13"/>
            </w:pPr>
            <w:r>
              <w:t>3.45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3.45</w:t>
            </w:r>
          </w:p>
        </w:tc>
        <w:tc>
          <w:tcPr>
            <w:tcW w:w="2551" w:type="dxa"/>
            <w:vAlign w:val="center"/>
          </w:tcPr>
          <w:p>
            <w:pPr>
              <w:pStyle w:val="13"/>
            </w:pPr>
            <w:r>
              <w:t>3.45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7.69</w:t>
            </w:r>
          </w:p>
        </w:tc>
        <w:tc>
          <w:tcPr>
            <w:tcW w:w="2551" w:type="dxa"/>
            <w:vAlign w:val="center"/>
          </w:tcPr>
          <w:p>
            <w:pPr>
              <w:pStyle w:val="13"/>
            </w:pPr>
            <w:r>
              <w:t>7.69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7.69</w:t>
            </w:r>
          </w:p>
        </w:tc>
        <w:tc>
          <w:tcPr>
            <w:tcW w:w="2551" w:type="dxa"/>
            <w:vAlign w:val="center"/>
          </w:tcPr>
          <w:p>
            <w:pPr>
              <w:pStyle w:val="13"/>
            </w:pPr>
            <w:r>
              <w:t>7.69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7.69</w:t>
            </w:r>
          </w:p>
        </w:tc>
        <w:tc>
          <w:tcPr>
            <w:tcW w:w="2551" w:type="dxa"/>
            <w:vAlign w:val="center"/>
          </w:tcPr>
          <w:p>
            <w:pPr>
              <w:pStyle w:val="13"/>
            </w:pPr>
            <w:r>
              <w:t>7.69</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714001新乐市工商业联合会本级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116.00</w:t>
            </w:r>
          </w:p>
        </w:tc>
        <w:tc>
          <w:tcPr>
            <w:tcW w:w="2551" w:type="dxa"/>
            <w:vAlign w:val="center"/>
          </w:tcPr>
          <w:p>
            <w:pPr>
              <w:pStyle w:val="17"/>
            </w:pPr>
            <w:r>
              <w:t>105.75</w:t>
            </w:r>
          </w:p>
        </w:tc>
        <w:tc>
          <w:tcPr>
            <w:tcW w:w="2551" w:type="dxa"/>
            <w:vAlign w:val="center"/>
          </w:tcPr>
          <w:p>
            <w:pPr>
              <w:pStyle w:val="17"/>
            </w:pPr>
            <w:r>
              <w:t>10.25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83.41</w:t>
            </w:r>
          </w:p>
        </w:tc>
        <w:tc>
          <w:tcPr>
            <w:tcW w:w="2551" w:type="dxa"/>
            <w:vAlign w:val="center"/>
          </w:tcPr>
          <w:p>
            <w:pPr>
              <w:pStyle w:val="13"/>
            </w:pPr>
            <w:r>
              <w:t>82.61</w:t>
            </w:r>
          </w:p>
        </w:tc>
        <w:tc>
          <w:tcPr>
            <w:tcW w:w="2551" w:type="dxa"/>
            <w:vAlign w:val="center"/>
          </w:tcPr>
          <w:p>
            <w:pPr>
              <w:pStyle w:val="13"/>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29.53</w:t>
            </w:r>
          </w:p>
        </w:tc>
        <w:tc>
          <w:tcPr>
            <w:tcW w:w="2551" w:type="dxa"/>
            <w:vAlign w:val="center"/>
          </w:tcPr>
          <w:p>
            <w:pPr>
              <w:pStyle w:val="13"/>
            </w:pPr>
            <w:r>
              <w:t>29.53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13.86</w:t>
            </w:r>
          </w:p>
        </w:tc>
        <w:tc>
          <w:tcPr>
            <w:tcW w:w="2551" w:type="dxa"/>
            <w:vAlign w:val="center"/>
          </w:tcPr>
          <w:p>
            <w:pPr>
              <w:pStyle w:val="13"/>
            </w:pPr>
            <w:r>
              <w:t>13.86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13.10</w:t>
            </w:r>
          </w:p>
        </w:tc>
        <w:tc>
          <w:tcPr>
            <w:tcW w:w="2551" w:type="dxa"/>
            <w:vAlign w:val="center"/>
          </w:tcPr>
          <w:p>
            <w:pPr>
              <w:pStyle w:val="13"/>
            </w:pPr>
            <w:r>
              <w:t>13.10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7.52</w:t>
            </w:r>
          </w:p>
        </w:tc>
        <w:tc>
          <w:tcPr>
            <w:tcW w:w="2551" w:type="dxa"/>
            <w:vAlign w:val="center"/>
          </w:tcPr>
          <w:p>
            <w:pPr>
              <w:pStyle w:val="13"/>
            </w:pPr>
            <w:r>
              <w:t>7.52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7.26</w:t>
            </w:r>
          </w:p>
        </w:tc>
        <w:tc>
          <w:tcPr>
            <w:tcW w:w="2551" w:type="dxa"/>
            <w:vAlign w:val="center"/>
          </w:tcPr>
          <w:p>
            <w:pPr>
              <w:pStyle w:val="13"/>
            </w:pPr>
            <w:r>
              <w:t>7.26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3.45</w:t>
            </w:r>
          </w:p>
        </w:tc>
        <w:tc>
          <w:tcPr>
            <w:tcW w:w="2551" w:type="dxa"/>
            <w:vAlign w:val="center"/>
          </w:tcPr>
          <w:p>
            <w:pPr>
              <w:pStyle w:val="13"/>
            </w:pPr>
            <w:r>
              <w:t>3.45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1.00</w:t>
            </w:r>
          </w:p>
        </w:tc>
        <w:tc>
          <w:tcPr>
            <w:tcW w:w="2551" w:type="dxa"/>
            <w:vAlign w:val="center"/>
          </w:tcPr>
          <w:p>
            <w:pPr>
              <w:pStyle w:val="13"/>
            </w:pPr>
            <w:r>
              <w:t>0.20</w:t>
            </w:r>
          </w:p>
        </w:tc>
        <w:tc>
          <w:tcPr>
            <w:tcW w:w="2551" w:type="dxa"/>
            <w:vAlign w:val="center"/>
          </w:tcPr>
          <w:p>
            <w:pPr>
              <w:pStyle w:val="13"/>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7.69</w:t>
            </w:r>
          </w:p>
        </w:tc>
        <w:tc>
          <w:tcPr>
            <w:tcW w:w="2551" w:type="dxa"/>
            <w:vAlign w:val="center"/>
          </w:tcPr>
          <w:p>
            <w:pPr>
              <w:pStyle w:val="13"/>
            </w:pPr>
            <w:r>
              <w:t>7.69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9.45</w:t>
            </w:r>
          </w:p>
        </w:tc>
        <w:tc>
          <w:tcPr>
            <w:tcW w:w="2551" w:type="dxa"/>
            <w:vAlign w:val="center"/>
          </w:tcPr>
          <w:p>
            <w:pPr>
              <w:pStyle w:val="13"/>
            </w:pPr>
          </w:p>
        </w:tc>
        <w:tc>
          <w:tcPr>
            <w:tcW w:w="2551" w:type="dxa"/>
            <w:vAlign w:val="center"/>
          </w:tcPr>
          <w:p>
            <w:pPr>
              <w:pStyle w:val="13"/>
            </w:pPr>
            <w:r>
              <w:t>9.45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0.52</w:t>
            </w:r>
          </w:p>
        </w:tc>
        <w:tc>
          <w:tcPr>
            <w:tcW w:w="2551" w:type="dxa"/>
            <w:vAlign w:val="center"/>
          </w:tcPr>
          <w:p>
            <w:pPr>
              <w:pStyle w:val="13"/>
            </w:pPr>
          </w:p>
        </w:tc>
        <w:tc>
          <w:tcPr>
            <w:tcW w:w="2551" w:type="dxa"/>
            <w:vAlign w:val="center"/>
          </w:tcPr>
          <w:p>
            <w:pPr>
              <w:pStyle w:val="13"/>
            </w:pPr>
            <w:r>
              <w:t>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0.10</w:t>
            </w:r>
          </w:p>
        </w:tc>
        <w:tc>
          <w:tcPr>
            <w:tcW w:w="2551" w:type="dxa"/>
            <w:vAlign w:val="center"/>
          </w:tcPr>
          <w:p>
            <w:pPr>
              <w:pStyle w:val="13"/>
            </w:pPr>
          </w:p>
        </w:tc>
        <w:tc>
          <w:tcPr>
            <w:tcW w:w="2551" w:type="dxa"/>
            <w:vAlign w:val="center"/>
          </w:tcPr>
          <w:p>
            <w:pPr>
              <w:pStyle w:val="13"/>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2.98</w:t>
            </w:r>
          </w:p>
        </w:tc>
        <w:tc>
          <w:tcPr>
            <w:tcW w:w="2551" w:type="dxa"/>
            <w:vAlign w:val="center"/>
          </w:tcPr>
          <w:p>
            <w:pPr>
              <w:pStyle w:val="13"/>
            </w:pPr>
          </w:p>
        </w:tc>
        <w:tc>
          <w:tcPr>
            <w:tcW w:w="2551" w:type="dxa"/>
            <w:vAlign w:val="center"/>
          </w:tcPr>
          <w:p>
            <w:pPr>
              <w:pStyle w:val="13"/>
            </w:pPr>
            <w:r>
              <w:t>2.98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0.58</w:t>
            </w:r>
          </w:p>
        </w:tc>
        <w:tc>
          <w:tcPr>
            <w:tcW w:w="2551" w:type="dxa"/>
            <w:vAlign w:val="center"/>
          </w:tcPr>
          <w:p>
            <w:pPr>
              <w:pStyle w:val="13"/>
            </w:pPr>
          </w:p>
        </w:tc>
        <w:tc>
          <w:tcPr>
            <w:tcW w:w="2551" w:type="dxa"/>
            <w:vAlign w:val="center"/>
          </w:tcPr>
          <w:p>
            <w:pPr>
              <w:pStyle w:val="13"/>
            </w:pPr>
            <w:r>
              <w:t>0.58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0.74</w:t>
            </w:r>
          </w:p>
        </w:tc>
        <w:tc>
          <w:tcPr>
            <w:tcW w:w="2551" w:type="dxa"/>
            <w:vAlign w:val="center"/>
          </w:tcPr>
          <w:p>
            <w:pPr>
              <w:pStyle w:val="13"/>
            </w:pPr>
          </w:p>
        </w:tc>
        <w:tc>
          <w:tcPr>
            <w:tcW w:w="2551" w:type="dxa"/>
            <w:vAlign w:val="center"/>
          </w:tcPr>
          <w:p>
            <w:pPr>
              <w:pStyle w:val="13"/>
            </w:pPr>
            <w:r>
              <w:t>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4.14</w:t>
            </w:r>
          </w:p>
        </w:tc>
        <w:tc>
          <w:tcPr>
            <w:tcW w:w="2551" w:type="dxa"/>
            <w:vAlign w:val="center"/>
          </w:tcPr>
          <w:p>
            <w:pPr>
              <w:pStyle w:val="13"/>
            </w:pPr>
          </w:p>
        </w:tc>
        <w:tc>
          <w:tcPr>
            <w:tcW w:w="2551" w:type="dxa"/>
            <w:vAlign w:val="center"/>
          </w:tcPr>
          <w:p>
            <w:pPr>
              <w:pStyle w:val="13"/>
            </w:pPr>
            <w:r>
              <w:t>4.14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0.39</w:t>
            </w:r>
          </w:p>
        </w:tc>
        <w:tc>
          <w:tcPr>
            <w:tcW w:w="2551" w:type="dxa"/>
            <w:vAlign w:val="center"/>
          </w:tcPr>
          <w:p>
            <w:pPr>
              <w:pStyle w:val="13"/>
            </w:pPr>
          </w:p>
        </w:tc>
        <w:tc>
          <w:tcPr>
            <w:tcW w:w="2551" w:type="dxa"/>
            <w:vAlign w:val="center"/>
          </w:tcPr>
          <w:p>
            <w:pPr>
              <w:pStyle w:val="13"/>
            </w:pPr>
            <w:r>
              <w:t>0.39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23.14</w:t>
            </w:r>
          </w:p>
        </w:tc>
        <w:tc>
          <w:tcPr>
            <w:tcW w:w="2551" w:type="dxa"/>
            <w:vAlign w:val="center"/>
          </w:tcPr>
          <w:p>
            <w:pPr>
              <w:pStyle w:val="13"/>
            </w:pPr>
            <w:r>
              <w:t>23.14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23.14</w:t>
            </w:r>
          </w:p>
        </w:tc>
        <w:tc>
          <w:tcPr>
            <w:tcW w:w="2551" w:type="dxa"/>
            <w:vAlign w:val="center"/>
          </w:tcPr>
          <w:p>
            <w:pPr>
              <w:pStyle w:val="13"/>
            </w:pPr>
            <w:r>
              <w:t>23.14</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714001新乐市工商业联合会本级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714001新乐市工商业联合会本级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714001新乐市工商业联合会本级</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新乐市工商业联合会本级2025年单位预算信息公开情况说明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按照《中华人民共和国预算法》、《地方预决算公开操作规程》和《关于进一步推进预算公开工作的实施意见》规定，现将新乐市工商业联合会本级2025年单位预算公开如下：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（1）对会员进行团结、帮助、引导、教育、提倡爱国敬业、守法，提高会员素质。</w:t>
      </w:r>
    </w:p>
    <w:p>
      <w:pPr>
        <w:pStyle w:val="19"/>
      </w:pPr>
      <w:r>
        <w:t>（2）维护会员的合法权益，反映会员的意见、要求及建议，在会员与政府之间发挥桥梁作用，当好政府管理非公有制经济的助手。</w:t>
      </w:r>
    </w:p>
    <w:p>
      <w:pPr>
        <w:pStyle w:val="19"/>
      </w:pPr>
      <w:r>
        <w:t>（3）参政议政，参与国家事务和经济、社会重大决策的政治协商，发挥民主监督作用，做好代表性人士政治安排的推荐工作，对国家的有关法律、法规、政策的制定提出建议并协助贯彻执行。</w:t>
      </w:r>
    </w:p>
    <w:p>
      <w:pPr>
        <w:pStyle w:val="19"/>
      </w:pPr>
      <w:r>
        <w:t>（4）为会员提供信息、管理、法律、会计、审计、融资咨询等服务，开展工商专业培训，帮助会员改善经营管理，提高生产和产品质量，组织会员参加各种展销会、交易会、出国考察，帮助开拓国内、国际市场，为会员提供必要证明，协调各方面的关系。</w:t>
      </w:r>
    </w:p>
    <w:p>
      <w:pPr>
        <w:pStyle w:val="19"/>
      </w:pPr>
      <w:r>
        <w:t>（5）增进与港、澳、台地区和世界各国工商社团及工商经济界人士的联系和友谊，促进经济、技术和贸易合作的发展，协助引进资金、技术、人才。</w:t>
      </w:r>
    </w:p>
    <w:p>
      <w:pPr>
        <w:pStyle w:val="19"/>
      </w:pPr>
      <w:r>
        <w:t>（6）办好会办企业和经济实体。</w:t>
      </w:r>
    </w:p>
    <w:p>
      <w:pPr>
        <w:pStyle w:val="19"/>
      </w:pPr>
      <w:r>
        <w:t>（7）承办政府和有关部门委托事项。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新乐市工商业联合会本级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2025年预算收入116.00万元，其中：一般公共预算收入116.00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新乐市工商业联合会本级年度单位预算中支出预算的总体情况。2025年支出预算116.00万元，其中基本支出116.00万元，包括人员经费105.75万元和日常公用经费10.25万元；项目支出0.00万元，主要为无项目支出。</w:t>
      </w:r>
    </w:p>
    <w:p>
      <w:pPr>
        <w:pStyle w:val="20"/>
      </w:pPr>
      <w:r>
        <w:t>3、比上年增减情况</w:t>
      </w:r>
    </w:p>
    <w:p>
      <w:pPr>
        <w:pStyle w:val="20"/>
      </w:pPr>
      <w:r>
        <w:t>2025年预算收支安排116.00万元，较2024年预算减少14.35万元，其中：基本支出减少14.35万元，主要为人员减少。项目支出增加0.00万元，主要为项目支出增加0.00万元，主要为本年度无项……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本单位2025年度机关运行费预算为12.09万元。主要包括办公费、印刷费、邮电费、取暖费、维修（护）费、劳务费、工会经费、福利费、其他交通费用、其他商品和服务支出。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无“三公”经费预算。</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714001新乐市工商业联合会本级</w:t>
            </w:r>
          </w:p>
        </w:tc>
        <w:tc>
          <w:tcPr>
            <w:tcW w:w="7712"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新乐市工商业联合会本级上年末固定资产金额为2.16万元（详见下表）。本年度拟购置固定资产总额为0.00万元，已按要求列入政府采购预算，详见政府采购预算表。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714001新乐市工商业联合会本级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rPr>
                <w:rFonts w:hint="default" w:eastAsia="方正书宋_GBK"/>
                <w:lang w:val="en-US" w:eastAsia="zh-CN"/>
              </w:rPr>
            </w:pPr>
            <w:r>
              <w:rPr>
                <w:rFonts w:hint="eastAsia"/>
                <w:lang w:val="en-US" w:eastAsia="zh-CN"/>
              </w:rPr>
              <w:t>16</w:t>
            </w:r>
            <w:bookmarkStart w:id="1" w:name="_GoBack"/>
            <w:bookmarkEnd w:id="1"/>
          </w:p>
        </w:tc>
        <w:tc>
          <w:tcPr>
            <w:tcW w:w="2835" w:type="dxa"/>
            <w:vAlign w:val="center"/>
          </w:tcPr>
          <w:p>
            <w:pPr>
              <w:pStyle w:val="13"/>
            </w:pPr>
            <w:r>
              <w:t>2.16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r>
              <w:t>16</w:t>
            </w:r>
          </w:p>
        </w:tc>
        <w:tc>
          <w:tcPr>
            <w:tcW w:w="2835" w:type="dxa"/>
            <w:vAlign w:val="center"/>
          </w:tcPr>
          <w:p>
            <w:pPr>
              <w:pStyle w:val="13"/>
            </w:pPr>
            <w:r>
              <w:t>2.16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3E72559"/>
    <w:rsid w:val="789C441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Pages>
  <TotalTime>2</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2025-09-11T10:13:00Z</dcterms:created>
  <dc:creator>dell</dc:creator>
  <cp:lastModifiedBy>dell</cp:lastModifiedBy>
  <dcterms:modified xsi:type="dcterms:W3CDTF">2025-09-11T02:12:19Z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