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714新乐市工商业联合会</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116.00</w:t>
            </w:r>
          </w:p>
        </w:tc>
        <w:tc>
          <w:tcPr>
            <w:tcW w:w="4535" w:type="dxa"/>
            <w:vAlign w:val="center"/>
          </w:tcPr>
          <w:p>
            <w:pPr>
              <w:pStyle w:val="13"/>
            </w:pPr>
            <w:r>
              <w:t>一、一般公共服务支出</w:t>
            </w:r>
          </w:p>
        </w:tc>
        <w:tc>
          <w:tcPr>
            <w:tcW w:w="2126" w:type="dxa"/>
            <w:vAlign w:val="center"/>
          </w:tcPr>
          <w:p>
            <w:pPr>
              <w:pStyle w:val="12"/>
            </w:pPr>
            <w:r>
              <w:t>66.74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38.12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7.69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116.00</w:t>
            </w:r>
          </w:p>
        </w:tc>
        <w:tc>
          <w:tcPr>
            <w:tcW w:w="4535" w:type="dxa"/>
            <w:vAlign w:val="center"/>
          </w:tcPr>
          <w:p>
            <w:pPr>
              <w:pStyle w:val="15"/>
            </w:pPr>
            <w:r>
              <w:t>本年支出合计</w:t>
            </w:r>
          </w:p>
        </w:tc>
        <w:tc>
          <w:tcPr>
            <w:tcW w:w="2126" w:type="dxa"/>
            <w:vAlign w:val="center"/>
          </w:tcPr>
          <w:p>
            <w:pPr>
              <w:pStyle w:val="16"/>
            </w:pPr>
            <w:r>
              <w:t>116.00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116.00</w:t>
            </w:r>
          </w:p>
        </w:tc>
        <w:tc>
          <w:tcPr>
            <w:tcW w:w="4535" w:type="dxa"/>
            <w:vAlign w:val="center"/>
          </w:tcPr>
          <w:p>
            <w:pPr>
              <w:pStyle w:val="15"/>
            </w:pPr>
            <w:r>
              <w:t>支出总计</w:t>
            </w:r>
          </w:p>
        </w:tc>
        <w:tc>
          <w:tcPr>
            <w:tcW w:w="2126" w:type="dxa"/>
            <w:vAlign w:val="center"/>
          </w:tcPr>
          <w:p>
            <w:pPr>
              <w:pStyle w:val="16"/>
            </w:pPr>
            <w:r>
              <w:t>116.00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714新乐市工商业联合会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116.00</w:t>
            </w:r>
          </w:p>
        </w:tc>
        <w:tc>
          <w:tcPr>
            <w:tcW w:w="1134" w:type="dxa"/>
            <w:vAlign w:val="center"/>
          </w:tcPr>
          <w:p>
            <w:pPr>
              <w:pStyle w:val="16"/>
            </w:pPr>
            <w:r>
              <w:t>116.00</w:t>
            </w:r>
          </w:p>
        </w:tc>
        <w:tc>
          <w:tcPr>
            <w:tcW w:w="1134" w:type="dxa"/>
            <w:vAlign w:val="center"/>
          </w:tcPr>
          <w:p>
            <w:pPr>
              <w:pStyle w:val="16"/>
            </w:pPr>
            <w:r>
              <w:t>116.00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66.74</w:t>
            </w:r>
          </w:p>
        </w:tc>
        <w:tc>
          <w:tcPr>
            <w:tcW w:w="1134" w:type="dxa"/>
            <w:vAlign w:val="center"/>
          </w:tcPr>
          <w:p>
            <w:pPr>
              <w:pStyle w:val="12"/>
            </w:pPr>
            <w:r>
              <w:t>66.74</w:t>
            </w:r>
          </w:p>
        </w:tc>
        <w:tc>
          <w:tcPr>
            <w:tcW w:w="1134" w:type="dxa"/>
            <w:vAlign w:val="center"/>
          </w:tcPr>
          <w:p>
            <w:pPr>
              <w:pStyle w:val="12"/>
            </w:pPr>
            <w:r>
              <w:t>66.74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20128</w:t>
            </w:r>
          </w:p>
        </w:tc>
        <w:tc>
          <w:tcPr>
            <w:tcW w:w="1559" w:type="dxa"/>
            <w:vAlign w:val="center"/>
          </w:tcPr>
          <w:p>
            <w:pPr>
              <w:pStyle w:val="13"/>
            </w:pPr>
            <w:r>
              <w:t>民主党派及工商联事务</w:t>
            </w:r>
          </w:p>
        </w:tc>
        <w:tc>
          <w:tcPr>
            <w:tcW w:w="1134" w:type="dxa"/>
            <w:vAlign w:val="center"/>
          </w:tcPr>
          <w:p>
            <w:pPr>
              <w:pStyle w:val="12"/>
            </w:pPr>
            <w:r>
              <w:t>66.74</w:t>
            </w:r>
          </w:p>
        </w:tc>
        <w:tc>
          <w:tcPr>
            <w:tcW w:w="1134" w:type="dxa"/>
            <w:vAlign w:val="center"/>
          </w:tcPr>
          <w:p>
            <w:pPr>
              <w:pStyle w:val="12"/>
            </w:pPr>
            <w:r>
              <w:t>66.74</w:t>
            </w:r>
          </w:p>
        </w:tc>
        <w:tc>
          <w:tcPr>
            <w:tcW w:w="1134" w:type="dxa"/>
            <w:vAlign w:val="center"/>
          </w:tcPr>
          <w:p>
            <w:pPr>
              <w:pStyle w:val="12"/>
            </w:pPr>
            <w:r>
              <w:t>66.74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2012899</w:t>
            </w:r>
          </w:p>
        </w:tc>
        <w:tc>
          <w:tcPr>
            <w:tcW w:w="1559" w:type="dxa"/>
            <w:vAlign w:val="center"/>
          </w:tcPr>
          <w:p>
            <w:pPr>
              <w:pStyle w:val="13"/>
            </w:pPr>
            <w:r>
              <w:t>其他民主党派及工商联事务支出</w:t>
            </w:r>
          </w:p>
        </w:tc>
        <w:tc>
          <w:tcPr>
            <w:tcW w:w="1134" w:type="dxa"/>
            <w:vAlign w:val="center"/>
          </w:tcPr>
          <w:p>
            <w:pPr>
              <w:pStyle w:val="12"/>
            </w:pPr>
            <w:r>
              <w:t>66.74</w:t>
            </w:r>
          </w:p>
        </w:tc>
        <w:tc>
          <w:tcPr>
            <w:tcW w:w="1134" w:type="dxa"/>
            <w:vAlign w:val="center"/>
          </w:tcPr>
          <w:p>
            <w:pPr>
              <w:pStyle w:val="12"/>
            </w:pPr>
            <w:r>
              <w:t>66.74</w:t>
            </w:r>
          </w:p>
        </w:tc>
        <w:tc>
          <w:tcPr>
            <w:tcW w:w="1134" w:type="dxa"/>
            <w:vAlign w:val="center"/>
          </w:tcPr>
          <w:p>
            <w:pPr>
              <w:pStyle w:val="12"/>
            </w:pPr>
            <w:r>
              <w:t>66.74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38.12</w:t>
            </w:r>
          </w:p>
        </w:tc>
        <w:tc>
          <w:tcPr>
            <w:tcW w:w="1134" w:type="dxa"/>
            <w:vAlign w:val="center"/>
          </w:tcPr>
          <w:p>
            <w:pPr>
              <w:pStyle w:val="12"/>
            </w:pPr>
            <w:r>
              <w:t>38.12</w:t>
            </w:r>
          </w:p>
        </w:tc>
        <w:tc>
          <w:tcPr>
            <w:tcW w:w="1134" w:type="dxa"/>
            <w:vAlign w:val="center"/>
          </w:tcPr>
          <w:p>
            <w:pPr>
              <w:pStyle w:val="12"/>
            </w:pPr>
            <w:r>
              <w:t>38.12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37.92</w:t>
            </w:r>
          </w:p>
        </w:tc>
        <w:tc>
          <w:tcPr>
            <w:tcW w:w="1134" w:type="dxa"/>
            <w:vAlign w:val="center"/>
          </w:tcPr>
          <w:p>
            <w:pPr>
              <w:pStyle w:val="12"/>
            </w:pPr>
            <w:r>
              <w:t>37.92</w:t>
            </w:r>
          </w:p>
        </w:tc>
        <w:tc>
          <w:tcPr>
            <w:tcW w:w="1134" w:type="dxa"/>
            <w:vAlign w:val="center"/>
          </w:tcPr>
          <w:p>
            <w:pPr>
              <w:pStyle w:val="12"/>
            </w:pPr>
            <w:r>
              <w:t>37.92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23.14</w:t>
            </w:r>
          </w:p>
        </w:tc>
        <w:tc>
          <w:tcPr>
            <w:tcW w:w="1134" w:type="dxa"/>
            <w:vAlign w:val="center"/>
          </w:tcPr>
          <w:p>
            <w:pPr>
              <w:pStyle w:val="12"/>
            </w:pPr>
            <w:r>
              <w:t>23.14</w:t>
            </w:r>
          </w:p>
        </w:tc>
        <w:tc>
          <w:tcPr>
            <w:tcW w:w="1134" w:type="dxa"/>
            <w:vAlign w:val="center"/>
          </w:tcPr>
          <w:p>
            <w:pPr>
              <w:pStyle w:val="12"/>
            </w:pPr>
            <w:r>
              <w:t>23.14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7.52</w:t>
            </w:r>
          </w:p>
        </w:tc>
        <w:tc>
          <w:tcPr>
            <w:tcW w:w="1134" w:type="dxa"/>
            <w:vAlign w:val="center"/>
          </w:tcPr>
          <w:p>
            <w:pPr>
              <w:pStyle w:val="12"/>
            </w:pPr>
            <w:r>
              <w:t>7.52</w:t>
            </w:r>
          </w:p>
        </w:tc>
        <w:tc>
          <w:tcPr>
            <w:tcW w:w="1134" w:type="dxa"/>
            <w:vAlign w:val="center"/>
          </w:tcPr>
          <w:p>
            <w:pPr>
              <w:pStyle w:val="12"/>
            </w:pPr>
            <w:r>
              <w:t>7.52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7.26</w:t>
            </w:r>
          </w:p>
        </w:tc>
        <w:tc>
          <w:tcPr>
            <w:tcW w:w="1134" w:type="dxa"/>
            <w:vAlign w:val="center"/>
          </w:tcPr>
          <w:p>
            <w:pPr>
              <w:pStyle w:val="12"/>
            </w:pPr>
            <w:r>
              <w:t>7.26</w:t>
            </w:r>
          </w:p>
        </w:tc>
        <w:tc>
          <w:tcPr>
            <w:tcW w:w="1134" w:type="dxa"/>
            <w:vAlign w:val="center"/>
          </w:tcPr>
          <w:p>
            <w:pPr>
              <w:pStyle w:val="12"/>
            </w:pPr>
            <w:r>
              <w:t>7.26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0.20</w:t>
            </w:r>
          </w:p>
        </w:tc>
        <w:tc>
          <w:tcPr>
            <w:tcW w:w="1134" w:type="dxa"/>
            <w:vAlign w:val="center"/>
          </w:tcPr>
          <w:p>
            <w:pPr>
              <w:pStyle w:val="12"/>
            </w:pPr>
            <w:r>
              <w:t>0.20</w:t>
            </w:r>
          </w:p>
        </w:tc>
        <w:tc>
          <w:tcPr>
            <w:tcW w:w="1134" w:type="dxa"/>
            <w:vAlign w:val="center"/>
          </w:tcPr>
          <w:p>
            <w:pPr>
              <w:pStyle w:val="12"/>
            </w:pPr>
            <w:r>
              <w:t>0.20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0.20</w:t>
            </w:r>
          </w:p>
        </w:tc>
        <w:tc>
          <w:tcPr>
            <w:tcW w:w="1134" w:type="dxa"/>
            <w:vAlign w:val="center"/>
          </w:tcPr>
          <w:p>
            <w:pPr>
              <w:pStyle w:val="12"/>
            </w:pPr>
            <w:r>
              <w:t>0.20</w:t>
            </w:r>
          </w:p>
        </w:tc>
        <w:tc>
          <w:tcPr>
            <w:tcW w:w="1134" w:type="dxa"/>
            <w:vAlign w:val="center"/>
          </w:tcPr>
          <w:p>
            <w:pPr>
              <w:pStyle w:val="12"/>
            </w:pPr>
            <w:r>
              <w:t>0.20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3.45</w:t>
            </w:r>
          </w:p>
        </w:tc>
        <w:tc>
          <w:tcPr>
            <w:tcW w:w="1134" w:type="dxa"/>
            <w:vAlign w:val="center"/>
          </w:tcPr>
          <w:p>
            <w:pPr>
              <w:pStyle w:val="12"/>
            </w:pPr>
            <w:r>
              <w:t>3.45</w:t>
            </w:r>
          </w:p>
        </w:tc>
        <w:tc>
          <w:tcPr>
            <w:tcW w:w="1134" w:type="dxa"/>
            <w:vAlign w:val="center"/>
          </w:tcPr>
          <w:p>
            <w:pPr>
              <w:pStyle w:val="12"/>
            </w:pPr>
            <w:r>
              <w:t>3.45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3.45</w:t>
            </w:r>
          </w:p>
        </w:tc>
        <w:tc>
          <w:tcPr>
            <w:tcW w:w="1134" w:type="dxa"/>
            <w:vAlign w:val="center"/>
          </w:tcPr>
          <w:p>
            <w:pPr>
              <w:pStyle w:val="12"/>
            </w:pPr>
            <w:r>
              <w:t>3.45</w:t>
            </w:r>
          </w:p>
        </w:tc>
        <w:tc>
          <w:tcPr>
            <w:tcW w:w="1134" w:type="dxa"/>
            <w:vAlign w:val="center"/>
          </w:tcPr>
          <w:p>
            <w:pPr>
              <w:pStyle w:val="12"/>
            </w:pPr>
            <w:r>
              <w:t>3.45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3.45</w:t>
            </w:r>
          </w:p>
        </w:tc>
        <w:tc>
          <w:tcPr>
            <w:tcW w:w="1134" w:type="dxa"/>
            <w:vAlign w:val="center"/>
          </w:tcPr>
          <w:p>
            <w:pPr>
              <w:pStyle w:val="12"/>
            </w:pPr>
            <w:r>
              <w:t>3.45</w:t>
            </w:r>
          </w:p>
        </w:tc>
        <w:tc>
          <w:tcPr>
            <w:tcW w:w="1134" w:type="dxa"/>
            <w:vAlign w:val="center"/>
          </w:tcPr>
          <w:p>
            <w:pPr>
              <w:pStyle w:val="12"/>
            </w:pPr>
            <w:r>
              <w:t>3.45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7.69</w:t>
            </w:r>
          </w:p>
        </w:tc>
        <w:tc>
          <w:tcPr>
            <w:tcW w:w="1134" w:type="dxa"/>
            <w:vAlign w:val="center"/>
          </w:tcPr>
          <w:p>
            <w:pPr>
              <w:pStyle w:val="12"/>
            </w:pPr>
            <w:r>
              <w:t>7.69</w:t>
            </w:r>
          </w:p>
        </w:tc>
        <w:tc>
          <w:tcPr>
            <w:tcW w:w="1134" w:type="dxa"/>
            <w:vAlign w:val="center"/>
          </w:tcPr>
          <w:p>
            <w:pPr>
              <w:pStyle w:val="12"/>
            </w:pPr>
            <w:r>
              <w:t>7.69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7.69</w:t>
            </w:r>
          </w:p>
        </w:tc>
        <w:tc>
          <w:tcPr>
            <w:tcW w:w="1134" w:type="dxa"/>
            <w:vAlign w:val="center"/>
          </w:tcPr>
          <w:p>
            <w:pPr>
              <w:pStyle w:val="12"/>
            </w:pPr>
            <w:r>
              <w:t>7.69</w:t>
            </w:r>
          </w:p>
        </w:tc>
        <w:tc>
          <w:tcPr>
            <w:tcW w:w="1134" w:type="dxa"/>
            <w:vAlign w:val="center"/>
          </w:tcPr>
          <w:p>
            <w:pPr>
              <w:pStyle w:val="12"/>
            </w:pPr>
            <w:r>
              <w:t>7.69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7.69</w:t>
            </w:r>
          </w:p>
        </w:tc>
        <w:tc>
          <w:tcPr>
            <w:tcW w:w="1134" w:type="dxa"/>
            <w:vAlign w:val="center"/>
          </w:tcPr>
          <w:p>
            <w:pPr>
              <w:pStyle w:val="12"/>
            </w:pPr>
            <w:r>
              <w:t>7.69</w:t>
            </w:r>
          </w:p>
        </w:tc>
        <w:tc>
          <w:tcPr>
            <w:tcW w:w="1134" w:type="dxa"/>
            <w:vAlign w:val="center"/>
          </w:tcPr>
          <w:p>
            <w:pPr>
              <w:pStyle w:val="12"/>
            </w:pPr>
            <w:r>
              <w:t>7.69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714新乐市工商业联合会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116.00</w:t>
            </w:r>
          </w:p>
        </w:tc>
        <w:tc>
          <w:tcPr>
            <w:tcW w:w="1361" w:type="dxa"/>
            <w:vAlign w:val="center"/>
          </w:tcPr>
          <w:p>
            <w:pPr>
              <w:pStyle w:val="16"/>
            </w:pPr>
            <w:r>
              <w:t>116.00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66.74</w:t>
            </w:r>
          </w:p>
        </w:tc>
        <w:tc>
          <w:tcPr>
            <w:tcW w:w="1361" w:type="dxa"/>
            <w:vAlign w:val="center"/>
          </w:tcPr>
          <w:p>
            <w:pPr>
              <w:pStyle w:val="12"/>
            </w:pPr>
            <w:r>
              <w:t>66.74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20128</w:t>
            </w:r>
          </w:p>
        </w:tc>
        <w:tc>
          <w:tcPr>
            <w:tcW w:w="4535" w:type="dxa"/>
            <w:vAlign w:val="center"/>
          </w:tcPr>
          <w:p>
            <w:pPr>
              <w:pStyle w:val="13"/>
            </w:pPr>
            <w:r>
              <w:t>民主党派及工商联事务</w:t>
            </w:r>
          </w:p>
        </w:tc>
        <w:tc>
          <w:tcPr>
            <w:tcW w:w="1361" w:type="dxa"/>
            <w:vAlign w:val="center"/>
          </w:tcPr>
          <w:p>
            <w:pPr>
              <w:pStyle w:val="12"/>
            </w:pPr>
            <w:r>
              <w:t>66.74</w:t>
            </w:r>
          </w:p>
        </w:tc>
        <w:tc>
          <w:tcPr>
            <w:tcW w:w="1361" w:type="dxa"/>
            <w:vAlign w:val="center"/>
          </w:tcPr>
          <w:p>
            <w:pPr>
              <w:pStyle w:val="12"/>
            </w:pPr>
            <w:r>
              <w:t>66.74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2012899</w:t>
            </w:r>
          </w:p>
        </w:tc>
        <w:tc>
          <w:tcPr>
            <w:tcW w:w="4535" w:type="dxa"/>
            <w:vAlign w:val="center"/>
          </w:tcPr>
          <w:p>
            <w:pPr>
              <w:pStyle w:val="13"/>
            </w:pPr>
            <w:r>
              <w:t>其他民主党派及工商联事务支出</w:t>
            </w:r>
          </w:p>
        </w:tc>
        <w:tc>
          <w:tcPr>
            <w:tcW w:w="1361" w:type="dxa"/>
            <w:vAlign w:val="center"/>
          </w:tcPr>
          <w:p>
            <w:pPr>
              <w:pStyle w:val="12"/>
            </w:pPr>
            <w:r>
              <w:t>66.74</w:t>
            </w:r>
          </w:p>
        </w:tc>
        <w:tc>
          <w:tcPr>
            <w:tcW w:w="1361" w:type="dxa"/>
            <w:vAlign w:val="center"/>
          </w:tcPr>
          <w:p>
            <w:pPr>
              <w:pStyle w:val="12"/>
            </w:pPr>
            <w:r>
              <w:t>66.74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38.12</w:t>
            </w:r>
          </w:p>
        </w:tc>
        <w:tc>
          <w:tcPr>
            <w:tcW w:w="1361" w:type="dxa"/>
            <w:vAlign w:val="center"/>
          </w:tcPr>
          <w:p>
            <w:pPr>
              <w:pStyle w:val="12"/>
            </w:pPr>
            <w:r>
              <w:t>38.12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37.92</w:t>
            </w:r>
          </w:p>
        </w:tc>
        <w:tc>
          <w:tcPr>
            <w:tcW w:w="1361" w:type="dxa"/>
            <w:vAlign w:val="center"/>
          </w:tcPr>
          <w:p>
            <w:pPr>
              <w:pStyle w:val="12"/>
            </w:pPr>
            <w:r>
              <w:t>37.92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23.14</w:t>
            </w:r>
          </w:p>
        </w:tc>
        <w:tc>
          <w:tcPr>
            <w:tcW w:w="1361" w:type="dxa"/>
            <w:vAlign w:val="center"/>
          </w:tcPr>
          <w:p>
            <w:pPr>
              <w:pStyle w:val="12"/>
            </w:pPr>
            <w:r>
              <w:t>23.14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7.52</w:t>
            </w:r>
          </w:p>
        </w:tc>
        <w:tc>
          <w:tcPr>
            <w:tcW w:w="1361" w:type="dxa"/>
            <w:vAlign w:val="center"/>
          </w:tcPr>
          <w:p>
            <w:pPr>
              <w:pStyle w:val="12"/>
            </w:pPr>
            <w:r>
              <w:t>7.52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7.26</w:t>
            </w:r>
          </w:p>
        </w:tc>
        <w:tc>
          <w:tcPr>
            <w:tcW w:w="1361" w:type="dxa"/>
            <w:vAlign w:val="center"/>
          </w:tcPr>
          <w:p>
            <w:pPr>
              <w:pStyle w:val="12"/>
            </w:pPr>
            <w:r>
              <w:t>7.26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0.20</w:t>
            </w:r>
          </w:p>
        </w:tc>
        <w:tc>
          <w:tcPr>
            <w:tcW w:w="1361" w:type="dxa"/>
            <w:vAlign w:val="center"/>
          </w:tcPr>
          <w:p>
            <w:pPr>
              <w:pStyle w:val="12"/>
            </w:pPr>
            <w:r>
              <w:t>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0.20</w:t>
            </w:r>
          </w:p>
        </w:tc>
        <w:tc>
          <w:tcPr>
            <w:tcW w:w="1361" w:type="dxa"/>
            <w:vAlign w:val="center"/>
          </w:tcPr>
          <w:p>
            <w:pPr>
              <w:pStyle w:val="12"/>
            </w:pPr>
            <w:r>
              <w:t>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3.45</w:t>
            </w:r>
          </w:p>
        </w:tc>
        <w:tc>
          <w:tcPr>
            <w:tcW w:w="1361" w:type="dxa"/>
            <w:vAlign w:val="center"/>
          </w:tcPr>
          <w:p>
            <w:pPr>
              <w:pStyle w:val="12"/>
            </w:pPr>
            <w:r>
              <w:t>3.45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3.45</w:t>
            </w:r>
          </w:p>
        </w:tc>
        <w:tc>
          <w:tcPr>
            <w:tcW w:w="1361" w:type="dxa"/>
            <w:vAlign w:val="center"/>
          </w:tcPr>
          <w:p>
            <w:pPr>
              <w:pStyle w:val="12"/>
            </w:pPr>
            <w:r>
              <w:t>3.45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3.45</w:t>
            </w:r>
          </w:p>
        </w:tc>
        <w:tc>
          <w:tcPr>
            <w:tcW w:w="1361" w:type="dxa"/>
            <w:vAlign w:val="center"/>
          </w:tcPr>
          <w:p>
            <w:pPr>
              <w:pStyle w:val="12"/>
            </w:pPr>
            <w:r>
              <w:t>3.45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7.69</w:t>
            </w:r>
          </w:p>
        </w:tc>
        <w:tc>
          <w:tcPr>
            <w:tcW w:w="1361" w:type="dxa"/>
            <w:vAlign w:val="center"/>
          </w:tcPr>
          <w:p>
            <w:pPr>
              <w:pStyle w:val="12"/>
            </w:pPr>
            <w:r>
              <w:t>7.69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7.69</w:t>
            </w:r>
          </w:p>
        </w:tc>
        <w:tc>
          <w:tcPr>
            <w:tcW w:w="1361" w:type="dxa"/>
            <w:vAlign w:val="center"/>
          </w:tcPr>
          <w:p>
            <w:pPr>
              <w:pStyle w:val="12"/>
            </w:pPr>
            <w:r>
              <w:t>7.69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7.69</w:t>
            </w:r>
          </w:p>
        </w:tc>
        <w:tc>
          <w:tcPr>
            <w:tcW w:w="1361" w:type="dxa"/>
            <w:vAlign w:val="center"/>
          </w:tcPr>
          <w:p>
            <w:pPr>
              <w:pStyle w:val="12"/>
            </w:pPr>
            <w:r>
              <w:t>7.69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714新乐市工商业联合会</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116.00</w:t>
            </w:r>
          </w:p>
        </w:tc>
        <w:tc>
          <w:tcPr>
            <w:tcW w:w="3402" w:type="dxa"/>
            <w:vAlign w:val="center"/>
          </w:tcPr>
          <w:p>
            <w:pPr>
              <w:pStyle w:val="13"/>
            </w:pPr>
            <w:r>
              <w:t>一、一般公共服务支出</w:t>
            </w:r>
          </w:p>
        </w:tc>
        <w:tc>
          <w:tcPr>
            <w:tcW w:w="1474" w:type="dxa"/>
            <w:vAlign w:val="center"/>
          </w:tcPr>
          <w:p>
            <w:pPr>
              <w:pStyle w:val="12"/>
            </w:pPr>
            <w:r>
              <w:t>66.74</w:t>
            </w:r>
          </w:p>
        </w:tc>
        <w:tc>
          <w:tcPr>
            <w:tcW w:w="1474" w:type="dxa"/>
            <w:vAlign w:val="center"/>
          </w:tcPr>
          <w:p>
            <w:pPr>
              <w:pStyle w:val="12"/>
            </w:pPr>
            <w:r>
              <w:t>66.74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38.12</w:t>
            </w:r>
          </w:p>
        </w:tc>
        <w:tc>
          <w:tcPr>
            <w:tcW w:w="1474" w:type="dxa"/>
            <w:vAlign w:val="center"/>
          </w:tcPr>
          <w:p>
            <w:pPr>
              <w:pStyle w:val="12"/>
            </w:pPr>
            <w:r>
              <w:t>38.12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3.45</w:t>
            </w:r>
          </w:p>
        </w:tc>
        <w:tc>
          <w:tcPr>
            <w:tcW w:w="1474" w:type="dxa"/>
            <w:vAlign w:val="center"/>
          </w:tcPr>
          <w:p>
            <w:pPr>
              <w:pStyle w:val="12"/>
            </w:pPr>
            <w:r>
              <w:t>3.45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7.69</w:t>
            </w:r>
          </w:p>
        </w:tc>
        <w:tc>
          <w:tcPr>
            <w:tcW w:w="1474" w:type="dxa"/>
            <w:vAlign w:val="center"/>
          </w:tcPr>
          <w:p>
            <w:pPr>
              <w:pStyle w:val="12"/>
            </w:pPr>
            <w:r>
              <w:t>7.69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116.00</w:t>
            </w:r>
          </w:p>
        </w:tc>
        <w:tc>
          <w:tcPr>
            <w:tcW w:w="3402" w:type="dxa"/>
            <w:vAlign w:val="center"/>
          </w:tcPr>
          <w:p>
            <w:pPr>
              <w:pStyle w:val="15"/>
            </w:pPr>
            <w:r>
              <w:t>本年支出合计</w:t>
            </w:r>
          </w:p>
        </w:tc>
        <w:tc>
          <w:tcPr>
            <w:tcW w:w="1474" w:type="dxa"/>
            <w:vAlign w:val="center"/>
          </w:tcPr>
          <w:p>
            <w:pPr>
              <w:pStyle w:val="16"/>
            </w:pPr>
            <w:r>
              <w:t>116.00</w:t>
            </w:r>
          </w:p>
        </w:tc>
        <w:tc>
          <w:tcPr>
            <w:tcW w:w="1474" w:type="dxa"/>
            <w:vAlign w:val="center"/>
          </w:tcPr>
          <w:p>
            <w:pPr>
              <w:pStyle w:val="16"/>
            </w:pPr>
            <w:r>
              <w:t>116.00</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116.00</w:t>
            </w:r>
          </w:p>
        </w:tc>
        <w:tc>
          <w:tcPr>
            <w:tcW w:w="3402" w:type="dxa"/>
            <w:vAlign w:val="center"/>
          </w:tcPr>
          <w:p>
            <w:pPr>
              <w:pStyle w:val="15"/>
            </w:pPr>
            <w:r>
              <w:t>支出总计</w:t>
            </w:r>
          </w:p>
        </w:tc>
        <w:tc>
          <w:tcPr>
            <w:tcW w:w="1474" w:type="dxa"/>
            <w:vAlign w:val="center"/>
          </w:tcPr>
          <w:p>
            <w:pPr>
              <w:pStyle w:val="16"/>
            </w:pPr>
            <w:r>
              <w:t>116.00</w:t>
            </w:r>
          </w:p>
        </w:tc>
        <w:tc>
          <w:tcPr>
            <w:tcW w:w="1474" w:type="dxa"/>
            <w:vAlign w:val="center"/>
          </w:tcPr>
          <w:p>
            <w:pPr>
              <w:pStyle w:val="16"/>
            </w:pPr>
            <w:r>
              <w:t>116.00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714新乐市工商业联合会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116.00</w:t>
            </w:r>
          </w:p>
        </w:tc>
        <w:tc>
          <w:tcPr>
            <w:tcW w:w="2551" w:type="dxa"/>
            <w:vAlign w:val="center"/>
          </w:tcPr>
          <w:p>
            <w:pPr>
              <w:pStyle w:val="16"/>
            </w:pPr>
            <w:r>
              <w:t>116.00</w:t>
            </w:r>
          </w:p>
        </w:tc>
        <w:tc>
          <w:tcPr>
            <w:tcW w:w="255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66.74</w:t>
            </w:r>
          </w:p>
        </w:tc>
        <w:tc>
          <w:tcPr>
            <w:tcW w:w="2551" w:type="dxa"/>
            <w:vAlign w:val="center"/>
          </w:tcPr>
          <w:p>
            <w:pPr>
              <w:pStyle w:val="12"/>
            </w:pPr>
            <w:r>
              <w:t>66.74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20128</w:t>
            </w:r>
          </w:p>
        </w:tc>
        <w:tc>
          <w:tcPr>
            <w:tcW w:w="4535" w:type="dxa"/>
            <w:vAlign w:val="center"/>
          </w:tcPr>
          <w:p>
            <w:pPr>
              <w:pStyle w:val="13"/>
            </w:pPr>
            <w:r>
              <w:t>民主党派及工商联事务</w:t>
            </w:r>
          </w:p>
        </w:tc>
        <w:tc>
          <w:tcPr>
            <w:tcW w:w="2551" w:type="dxa"/>
            <w:vAlign w:val="center"/>
          </w:tcPr>
          <w:p>
            <w:pPr>
              <w:pStyle w:val="12"/>
            </w:pPr>
            <w:r>
              <w:t>66.74</w:t>
            </w:r>
          </w:p>
        </w:tc>
        <w:tc>
          <w:tcPr>
            <w:tcW w:w="2551" w:type="dxa"/>
            <w:vAlign w:val="center"/>
          </w:tcPr>
          <w:p>
            <w:pPr>
              <w:pStyle w:val="12"/>
            </w:pPr>
            <w:r>
              <w:t>66.74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2012899</w:t>
            </w:r>
          </w:p>
        </w:tc>
        <w:tc>
          <w:tcPr>
            <w:tcW w:w="4535" w:type="dxa"/>
            <w:vAlign w:val="center"/>
          </w:tcPr>
          <w:p>
            <w:pPr>
              <w:pStyle w:val="13"/>
            </w:pPr>
            <w:r>
              <w:t>其他民主党派及工商联事务支出</w:t>
            </w:r>
          </w:p>
        </w:tc>
        <w:tc>
          <w:tcPr>
            <w:tcW w:w="2551" w:type="dxa"/>
            <w:vAlign w:val="center"/>
          </w:tcPr>
          <w:p>
            <w:pPr>
              <w:pStyle w:val="12"/>
            </w:pPr>
            <w:r>
              <w:t>66.74</w:t>
            </w:r>
          </w:p>
        </w:tc>
        <w:tc>
          <w:tcPr>
            <w:tcW w:w="2551" w:type="dxa"/>
            <w:vAlign w:val="center"/>
          </w:tcPr>
          <w:p>
            <w:pPr>
              <w:pStyle w:val="12"/>
            </w:pPr>
            <w:r>
              <w:t>66.74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38.12</w:t>
            </w:r>
          </w:p>
        </w:tc>
        <w:tc>
          <w:tcPr>
            <w:tcW w:w="2551" w:type="dxa"/>
            <w:vAlign w:val="center"/>
          </w:tcPr>
          <w:p>
            <w:pPr>
              <w:pStyle w:val="12"/>
            </w:pPr>
            <w:r>
              <w:t>38.12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37.92</w:t>
            </w:r>
          </w:p>
        </w:tc>
        <w:tc>
          <w:tcPr>
            <w:tcW w:w="2551" w:type="dxa"/>
            <w:vAlign w:val="center"/>
          </w:tcPr>
          <w:p>
            <w:pPr>
              <w:pStyle w:val="12"/>
            </w:pPr>
            <w:r>
              <w:t>37.92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23.14</w:t>
            </w:r>
          </w:p>
        </w:tc>
        <w:tc>
          <w:tcPr>
            <w:tcW w:w="2551" w:type="dxa"/>
            <w:vAlign w:val="center"/>
          </w:tcPr>
          <w:p>
            <w:pPr>
              <w:pStyle w:val="12"/>
            </w:pPr>
            <w:r>
              <w:t>23.14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7.52</w:t>
            </w:r>
          </w:p>
        </w:tc>
        <w:tc>
          <w:tcPr>
            <w:tcW w:w="2551" w:type="dxa"/>
            <w:vAlign w:val="center"/>
          </w:tcPr>
          <w:p>
            <w:pPr>
              <w:pStyle w:val="12"/>
            </w:pPr>
            <w:r>
              <w:t>7.52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7.26</w:t>
            </w:r>
          </w:p>
        </w:tc>
        <w:tc>
          <w:tcPr>
            <w:tcW w:w="2551" w:type="dxa"/>
            <w:vAlign w:val="center"/>
          </w:tcPr>
          <w:p>
            <w:pPr>
              <w:pStyle w:val="12"/>
            </w:pPr>
            <w:r>
              <w:t>7.26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0.20</w:t>
            </w:r>
          </w:p>
        </w:tc>
        <w:tc>
          <w:tcPr>
            <w:tcW w:w="2551" w:type="dxa"/>
            <w:vAlign w:val="center"/>
          </w:tcPr>
          <w:p>
            <w:pPr>
              <w:pStyle w:val="12"/>
            </w:pPr>
            <w:r>
              <w:t>0.20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0.20</w:t>
            </w:r>
          </w:p>
        </w:tc>
        <w:tc>
          <w:tcPr>
            <w:tcW w:w="2551" w:type="dxa"/>
            <w:vAlign w:val="center"/>
          </w:tcPr>
          <w:p>
            <w:pPr>
              <w:pStyle w:val="12"/>
            </w:pPr>
            <w:r>
              <w:t>0.20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3.45</w:t>
            </w:r>
          </w:p>
        </w:tc>
        <w:tc>
          <w:tcPr>
            <w:tcW w:w="2551" w:type="dxa"/>
            <w:vAlign w:val="center"/>
          </w:tcPr>
          <w:p>
            <w:pPr>
              <w:pStyle w:val="12"/>
            </w:pPr>
            <w:r>
              <w:t>3.45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3.45</w:t>
            </w:r>
          </w:p>
        </w:tc>
        <w:tc>
          <w:tcPr>
            <w:tcW w:w="2551" w:type="dxa"/>
            <w:vAlign w:val="center"/>
          </w:tcPr>
          <w:p>
            <w:pPr>
              <w:pStyle w:val="12"/>
            </w:pPr>
            <w:r>
              <w:t>3.45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3.45</w:t>
            </w:r>
          </w:p>
        </w:tc>
        <w:tc>
          <w:tcPr>
            <w:tcW w:w="2551" w:type="dxa"/>
            <w:vAlign w:val="center"/>
          </w:tcPr>
          <w:p>
            <w:pPr>
              <w:pStyle w:val="12"/>
            </w:pPr>
            <w:r>
              <w:t>3.45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7.69</w:t>
            </w:r>
          </w:p>
        </w:tc>
        <w:tc>
          <w:tcPr>
            <w:tcW w:w="2551" w:type="dxa"/>
            <w:vAlign w:val="center"/>
          </w:tcPr>
          <w:p>
            <w:pPr>
              <w:pStyle w:val="12"/>
            </w:pPr>
            <w:r>
              <w:t>7.69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7.69</w:t>
            </w:r>
          </w:p>
        </w:tc>
        <w:tc>
          <w:tcPr>
            <w:tcW w:w="2551" w:type="dxa"/>
            <w:vAlign w:val="center"/>
          </w:tcPr>
          <w:p>
            <w:pPr>
              <w:pStyle w:val="12"/>
            </w:pPr>
            <w:r>
              <w:t>7.69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7.69</w:t>
            </w:r>
          </w:p>
        </w:tc>
        <w:tc>
          <w:tcPr>
            <w:tcW w:w="2551" w:type="dxa"/>
            <w:vAlign w:val="center"/>
          </w:tcPr>
          <w:p>
            <w:pPr>
              <w:pStyle w:val="12"/>
            </w:pPr>
            <w:r>
              <w:t>7.69</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714新乐市工商业联合会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116.00</w:t>
            </w:r>
          </w:p>
        </w:tc>
        <w:tc>
          <w:tcPr>
            <w:tcW w:w="2551" w:type="dxa"/>
            <w:vAlign w:val="center"/>
          </w:tcPr>
          <w:p>
            <w:pPr>
              <w:pStyle w:val="16"/>
            </w:pPr>
            <w:r>
              <w:t>105.75</w:t>
            </w:r>
          </w:p>
        </w:tc>
        <w:tc>
          <w:tcPr>
            <w:tcW w:w="2551" w:type="dxa"/>
            <w:vAlign w:val="center"/>
          </w:tcPr>
          <w:p>
            <w:pPr>
              <w:pStyle w:val="16"/>
            </w:pPr>
            <w:r>
              <w:t>10.25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83.41</w:t>
            </w:r>
          </w:p>
        </w:tc>
        <w:tc>
          <w:tcPr>
            <w:tcW w:w="2551" w:type="dxa"/>
            <w:vAlign w:val="center"/>
          </w:tcPr>
          <w:p>
            <w:pPr>
              <w:pStyle w:val="12"/>
            </w:pPr>
            <w:r>
              <w:t>82.61</w:t>
            </w:r>
          </w:p>
        </w:tc>
        <w:tc>
          <w:tcPr>
            <w:tcW w:w="2551" w:type="dxa"/>
            <w:vAlign w:val="center"/>
          </w:tcPr>
          <w:p>
            <w:pPr>
              <w:pStyle w:val="12"/>
            </w:pPr>
            <w:r>
              <w:t>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29.53</w:t>
            </w:r>
          </w:p>
        </w:tc>
        <w:tc>
          <w:tcPr>
            <w:tcW w:w="2551" w:type="dxa"/>
            <w:vAlign w:val="center"/>
          </w:tcPr>
          <w:p>
            <w:pPr>
              <w:pStyle w:val="12"/>
            </w:pPr>
            <w:r>
              <w:t>29.53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13.86</w:t>
            </w:r>
          </w:p>
        </w:tc>
        <w:tc>
          <w:tcPr>
            <w:tcW w:w="2551" w:type="dxa"/>
            <w:vAlign w:val="center"/>
          </w:tcPr>
          <w:p>
            <w:pPr>
              <w:pStyle w:val="12"/>
            </w:pPr>
            <w:r>
              <w:t>13.86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13.10</w:t>
            </w:r>
          </w:p>
        </w:tc>
        <w:tc>
          <w:tcPr>
            <w:tcW w:w="2551" w:type="dxa"/>
            <w:vAlign w:val="center"/>
          </w:tcPr>
          <w:p>
            <w:pPr>
              <w:pStyle w:val="12"/>
            </w:pPr>
            <w:r>
              <w:t>13.10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7.52</w:t>
            </w:r>
          </w:p>
        </w:tc>
        <w:tc>
          <w:tcPr>
            <w:tcW w:w="2551" w:type="dxa"/>
            <w:vAlign w:val="center"/>
          </w:tcPr>
          <w:p>
            <w:pPr>
              <w:pStyle w:val="12"/>
            </w:pPr>
            <w:r>
              <w:t>7.52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7.26</w:t>
            </w:r>
          </w:p>
        </w:tc>
        <w:tc>
          <w:tcPr>
            <w:tcW w:w="2551" w:type="dxa"/>
            <w:vAlign w:val="center"/>
          </w:tcPr>
          <w:p>
            <w:pPr>
              <w:pStyle w:val="12"/>
            </w:pPr>
            <w:r>
              <w:t>7.26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3.45</w:t>
            </w:r>
          </w:p>
        </w:tc>
        <w:tc>
          <w:tcPr>
            <w:tcW w:w="2551" w:type="dxa"/>
            <w:vAlign w:val="center"/>
          </w:tcPr>
          <w:p>
            <w:pPr>
              <w:pStyle w:val="12"/>
            </w:pPr>
            <w:r>
              <w:t>3.45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1.00</w:t>
            </w:r>
          </w:p>
        </w:tc>
        <w:tc>
          <w:tcPr>
            <w:tcW w:w="2551" w:type="dxa"/>
            <w:vAlign w:val="center"/>
          </w:tcPr>
          <w:p>
            <w:pPr>
              <w:pStyle w:val="12"/>
            </w:pPr>
            <w:r>
              <w:t>0.20</w:t>
            </w:r>
          </w:p>
        </w:tc>
        <w:tc>
          <w:tcPr>
            <w:tcW w:w="2551" w:type="dxa"/>
            <w:vAlign w:val="center"/>
          </w:tcPr>
          <w:p>
            <w:pPr>
              <w:pStyle w:val="12"/>
            </w:pPr>
            <w:r>
              <w:t>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7.69</w:t>
            </w:r>
          </w:p>
        </w:tc>
        <w:tc>
          <w:tcPr>
            <w:tcW w:w="2551" w:type="dxa"/>
            <w:vAlign w:val="center"/>
          </w:tcPr>
          <w:p>
            <w:pPr>
              <w:pStyle w:val="12"/>
            </w:pPr>
            <w:r>
              <w:t>7.69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9.45</w:t>
            </w:r>
          </w:p>
        </w:tc>
        <w:tc>
          <w:tcPr>
            <w:tcW w:w="2551" w:type="dxa"/>
            <w:vAlign w:val="center"/>
          </w:tcPr>
          <w:p>
            <w:pPr>
              <w:pStyle w:val="12"/>
            </w:pPr>
          </w:p>
        </w:tc>
        <w:tc>
          <w:tcPr>
            <w:tcW w:w="2551" w:type="dxa"/>
            <w:vAlign w:val="center"/>
          </w:tcPr>
          <w:p>
            <w:pPr>
              <w:pStyle w:val="12"/>
            </w:pPr>
            <w:r>
              <w:t>9.45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0.52</w:t>
            </w:r>
          </w:p>
        </w:tc>
        <w:tc>
          <w:tcPr>
            <w:tcW w:w="2551" w:type="dxa"/>
            <w:vAlign w:val="center"/>
          </w:tcPr>
          <w:p>
            <w:pPr>
              <w:pStyle w:val="12"/>
            </w:pPr>
          </w:p>
        </w:tc>
        <w:tc>
          <w:tcPr>
            <w:tcW w:w="2551" w:type="dxa"/>
            <w:vAlign w:val="center"/>
          </w:tcPr>
          <w:p>
            <w:pPr>
              <w:pStyle w:val="12"/>
            </w:pPr>
            <w:r>
              <w:t>0.52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0.10</w:t>
            </w:r>
          </w:p>
        </w:tc>
        <w:tc>
          <w:tcPr>
            <w:tcW w:w="2551" w:type="dxa"/>
            <w:vAlign w:val="center"/>
          </w:tcPr>
          <w:p>
            <w:pPr>
              <w:pStyle w:val="12"/>
            </w:pPr>
          </w:p>
        </w:tc>
        <w:tc>
          <w:tcPr>
            <w:tcW w:w="2551" w:type="dxa"/>
            <w:vAlign w:val="center"/>
          </w:tcPr>
          <w:p>
            <w:pPr>
              <w:pStyle w:val="12"/>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2.98</w:t>
            </w:r>
          </w:p>
        </w:tc>
        <w:tc>
          <w:tcPr>
            <w:tcW w:w="2551" w:type="dxa"/>
            <w:vAlign w:val="center"/>
          </w:tcPr>
          <w:p>
            <w:pPr>
              <w:pStyle w:val="12"/>
            </w:pPr>
          </w:p>
        </w:tc>
        <w:tc>
          <w:tcPr>
            <w:tcW w:w="2551" w:type="dxa"/>
            <w:vAlign w:val="center"/>
          </w:tcPr>
          <w:p>
            <w:pPr>
              <w:pStyle w:val="12"/>
            </w:pPr>
            <w:r>
              <w:t>2.98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0.58</w:t>
            </w:r>
          </w:p>
        </w:tc>
        <w:tc>
          <w:tcPr>
            <w:tcW w:w="2551" w:type="dxa"/>
            <w:vAlign w:val="center"/>
          </w:tcPr>
          <w:p>
            <w:pPr>
              <w:pStyle w:val="12"/>
            </w:pPr>
          </w:p>
        </w:tc>
        <w:tc>
          <w:tcPr>
            <w:tcW w:w="2551" w:type="dxa"/>
            <w:vAlign w:val="center"/>
          </w:tcPr>
          <w:p>
            <w:pPr>
              <w:pStyle w:val="12"/>
            </w:pPr>
            <w:r>
              <w:t>0.58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0.74</w:t>
            </w:r>
          </w:p>
        </w:tc>
        <w:tc>
          <w:tcPr>
            <w:tcW w:w="2551" w:type="dxa"/>
            <w:vAlign w:val="center"/>
          </w:tcPr>
          <w:p>
            <w:pPr>
              <w:pStyle w:val="12"/>
            </w:pPr>
          </w:p>
        </w:tc>
        <w:tc>
          <w:tcPr>
            <w:tcW w:w="2551" w:type="dxa"/>
            <w:vAlign w:val="center"/>
          </w:tcPr>
          <w:p>
            <w:pPr>
              <w:pStyle w:val="12"/>
            </w:pPr>
            <w:r>
              <w:t>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4.14</w:t>
            </w:r>
          </w:p>
        </w:tc>
        <w:tc>
          <w:tcPr>
            <w:tcW w:w="2551" w:type="dxa"/>
            <w:vAlign w:val="center"/>
          </w:tcPr>
          <w:p>
            <w:pPr>
              <w:pStyle w:val="12"/>
            </w:pPr>
          </w:p>
        </w:tc>
        <w:tc>
          <w:tcPr>
            <w:tcW w:w="2551" w:type="dxa"/>
            <w:vAlign w:val="center"/>
          </w:tcPr>
          <w:p>
            <w:pPr>
              <w:pStyle w:val="12"/>
            </w:pPr>
            <w:r>
              <w:t>4.14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0.39</w:t>
            </w:r>
          </w:p>
        </w:tc>
        <w:tc>
          <w:tcPr>
            <w:tcW w:w="2551" w:type="dxa"/>
            <w:vAlign w:val="center"/>
          </w:tcPr>
          <w:p>
            <w:pPr>
              <w:pStyle w:val="12"/>
            </w:pPr>
          </w:p>
        </w:tc>
        <w:tc>
          <w:tcPr>
            <w:tcW w:w="2551" w:type="dxa"/>
            <w:vAlign w:val="center"/>
          </w:tcPr>
          <w:p>
            <w:pPr>
              <w:pStyle w:val="12"/>
            </w:pPr>
            <w:r>
              <w:t>0.39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23.14</w:t>
            </w:r>
          </w:p>
        </w:tc>
        <w:tc>
          <w:tcPr>
            <w:tcW w:w="2551" w:type="dxa"/>
            <w:vAlign w:val="center"/>
          </w:tcPr>
          <w:p>
            <w:pPr>
              <w:pStyle w:val="12"/>
            </w:pPr>
            <w:r>
              <w:t>23.14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23.14</w:t>
            </w:r>
          </w:p>
        </w:tc>
        <w:tc>
          <w:tcPr>
            <w:tcW w:w="2551" w:type="dxa"/>
            <w:vAlign w:val="center"/>
          </w:tcPr>
          <w:p>
            <w:pPr>
              <w:pStyle w:val="12"/>
            </w:pPr>
            <w:r>
              <w:t>23.14</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714新乐市工商业联合会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714新乐市工商业联合会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714新乐市工商业联合会</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新乐市工商业联合会2025年部门预算信息公开情况说明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新乐市工商业联合会2025年部门预算信息公开情况说明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按照《中华人民共和国预算法》、《地方预决算公开操作规程》和《关于进一步推进预算公开工作的实施意见》规定，现将新乐市工商业联合会2025年部门预算公开如下：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（1）对会员进行团结、帮助、引导、教育、提倡爱国敬业、守法，提高会员素质。</w:t>
      </w:r>
    </w:p>
    <w:p>
      <w:pPr>
        <w:pStyle w:val="18"/>
      </w:pPr>
      <w:r>
        <w:t>（2）维护会员的合法权益，反映会员的意见、要求及建议，在会员与政府之间发挥桥梁作用，当好政府管理非公有制经济的助手。</w:t>
      </w:r>
    </w:p>
    <w:p>
      <w:pPr>
        <w:pStyle w:val="18"/>
      </w:pPr>
      <w:r>
        <w:t>（3）参政议政，参与国家事务和经济、社会重大决策的政治协商，发挥民主监督作用，做好代表性人士政治安排的推荐工作，对国家的有关法律、法规、政策的制定提出建议并协助贯彻执行。</w:t>
      </w:r>
    </w:p>
    <w:p>
      <w:pPr>
        <w:pStyle w:val="18"/>
      </w:pPr>
      <w:r>
        <w:t>（4）为会员提供信息、管理、法律、会计、审计、融资咨询等服务，开展工商专业培训，帮助会员改善经营管理，提高生产和产品质量，组织会员参加各种展销会、交易会、出国考察，帮助开拓国内、国际市场，为会员提供必要证明，协调各方面的关系。</w:t>
      </w:r>
    </w:p>
    <w:p>
      <w:pPr>
        <w:pStyle w:val="18"/>
      </w:pPr>
      <w:r>
        <w:t>（5）增进与港、澳、台地区和世界各国工商社团及工商经济界人士的联系和友谊，促进经济、技术和贸易合作的发展，协助引进资金、技术、人才。</w:t>
      </w:r>
    </w:p>
    <w:p>
      <w:pPr>
        <w:pStyle w:val="18"/>
      </w:pPr>
      <w:r>
        <w:t>（6）办好会办企业和经济实体。</w:t>
      </w:r>
    </w:p>
    <w:p>
      <w:pPr>
        <w:pStyle w:val="18"/>
      </w:pPr>
      <w:r>
        <w:t>（7）承办政府和有关部门委托事项。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新乐市工商业联合会本级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2025年预算收入116.00万元，其中：一般公共预算收入116.00万元，基金预算收入0.00万元，国有资本经营预算收入0.00万元，财政专户核拨收入0.00万元，单位资金收入0.00万元，上年结转结余0.00万元。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本单位2025年度机关运行费预算为12.09万元。主要包括办公费、印刷费、邮电费、取暖费、维修（护）费、劳务费、工会经费、福利费、其他交通费用、其他商品和服务支出。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本部门2025年度“三公”经费财政拨款支出预算为0万元。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总体绩效目标</w:t>
      </w:r>
    </w:p>
    <w:p>
      <w:pPr>
        <w:pStyle w:val="22"/>
      </w:pPr>
      <w:r>
        <w:t>市工商联坚持以习近平新时代中国特色社会主义思想为指导，深入贯彻学习党的二十大精神，严格落实中央决策部署和省、市有关要求，把民营经济人士的智慧和力量凝聚到实现中华民族伟大复兴上来。以促进“两个健康”为主题，把思想引领寓于支持服务之中，教育引导民营经济人士增强“四个意识”、坚定“四个自信”、做到“两个维护”，坚定不移听党话、跟党走，始终做合格的中国特色社会主义事业建设者，充分发挥桥梁纽带与参谋助手作用，积极搭建服务平台，引导民营企业和非公有制经纪人士积极践行新发展理念，努力实现高质量发展。一是围绕我市民营经济发展开展调查研究，完成调查报告、政协提案；二是实施民营企业家素质提升工程，培训民营企业家；三是举办服务民营经济的会议活动，民营企业招聘会等；四是推进本地商会建设，指导组建异地商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分项绩效目标</w:t>
      </w:r>
    </w:p>
    <w:p>
      <w:pPr>
        <w:pStyle w:val="23"/>
      </w:pPr>
      <w:r>
        <w:t>1、围绕民营经济发展调查研究。绩效目标:深入民营企业和商（协）会调研，了解企业呼声诉求，为我市民营经济发展建言献策。绩效指标：提交市政协发言、提案不少于4件，撰写调研报告不少于3篇。</w:t>
      </w:r>
    </w:p>
    <w:p>
      <w:pPr>
        <w:pStyle w:val="23"/>
      </w:pPr>
      <w:r>
        <w:t>2、提高民营企业家综合素质。</w:t>
      </w:r>
    </w:p>
    <w:p>
      <w:pPr>
        <w:pStyle w:val="23"/>
      </w:pPr>
      <w:r>
        <w:t>绩效目标:开展理想信念教育，举办系列民营企业家培训班。绩效指标：举办培训教育活动（班次）不少于1期（次）</w:t>
      </w:r>
    </w:p>
    <w:p>
      <w:pPr>
        <w:pStyle w:val="23"/>
      </w:pPr>
      <w:r>
        <w:t>3、举办服务企业发展的会议活动。</w:t>
      </w:r>
    </w:p>
    <w:p>
      <w:pPr>
        <w:pStyle w:val="23"/>
      </w:pPr>
      <w:r>
        <w:t>绩效目标:结合我市民营经济发展需要，举办相关会议或活动，为企业发展提供法律、金融、经贸、科技等服务，引导企业履行社会责任。绩效指标：召开执委会议、常委会议1次，举办业务工作会议以及有关服务活动不少于2次。</w:t>
      </w:r>
    </w:p>
    <w:p>
      <w:pPr>
        <w:pStyle w:val="23"/>
      </w:pPr>
      <w:r>
        <w:t>4、积极推进异地商会建设。</w:t>
      </w:r>
    </w:p>
    <w:p>
      <w:pPr>
        <w:pStyle w:val="23"/>
      </w:pPr>
      <w:r>
        <w:t>绩效目标:积极发展异地商会或异地市工商联与在外经商的新乐籍成功企业家的联系。绩效指标：就组织异地商会事宜考察城市不少于2个，组建异地商会。</w:t>
      </w:r>
    </w:p>
    <w:p>
      <w:pPr>
        <w:pStyle w:val="23"/>
      </w:pPr>
      <w:r>
        <w:t>5、积极推进所属商（协）会党建工作，提升其战斗力和没凝聚力。</w:t>
      </w:r>
    </w:p>
    <w:p>
      <w:pPr>
        <w:pStyle w:val="23"/>
      </w:pPr>
      <w:r>
        <w:t>绩效目标:举办所属商（协）会党支部培训班、入党积极分子培训班1次。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1、加强制度建设。建立健全机关预算绩效管理制度，为全年预算绩效目标的实现奠定制度基础。</w:t>
      </w:r>
    </w:p>
    <w:p>
      <w:pPr>
        <w:pStyle w:val="24"/>
      </w:pPr>
      <w:r>
        <w:t>2、规范财务管理。进一步完善财务管理制度，通过科学编制预算、优化支出结构、加快政府采购、加快项目建设、及时拨付资金，确保经费支出进度达到规定标准。</w:t>
      </w:r>
    </w:p>
    <w:p>
      <w:pPr>
        <w:pStyle w:val="24"/>
      </w:pPr>
      <w:r>
        <w:t>3、加强内部监督。加强内部监督制度建设，对绩效运行、重大支出事项、资产处置及其他重要经济业务事项决策和执行进行监督，定期开展财务内部审计，确保财政资金使用安全合规。</w:t>
      </w:r>
    </w:p>
    <w:p>
      <w:pPr>
        <w:pStyle w:val="24"/>
      </w:pPr>
      <w:r>
        <w:t>4、加强绩效监控。积极开展绩效运行监控，发现问题及时采取措施，确保绩效目标如期保质实现。</w:t>
      </w:r>
    </w:p>
    <w:p>
      <w:pPr>
        <w:pStyle w:val="24"/>
      </w:pPr>
      <w:r>
        <w:t>5、做好绩效自评。按要求开展部门预算绩效自评和重点项目评价工作，对评价中发现的问题及时整改。</w:t>
      </w:r>
    </w:p>
    <w:p>
      <w:pPr>
        <w:pStyle w:val="24"/>
        <w:sectPr>
          <w:pgSz w:w="16840" w:h="11900" w:orient="landscape"/>
          <w:pgMar w:top="1361" w:right="1020" w:bottom="1361" w:left="1020" w:header="720" w:footer="720" w:gutter="0"/>
        </w:sectPr>
      </w:pPr>
      <w:r>
        <w:t>6、加强宣传培训。加强人员培训，加大宣传力度，强化预算绩效管理意识，促进预算绩效管理水平提升。</w:t>
      </w: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714新乐市工商业联合会</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新乐市工商业联合会（含所属单位）上年末固定资产金额为2.16万元（详见下表）。本年度拟购置固定资产总额为0.00万元，已按要求列入政府采购预算，详见政府采购预算表。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714新乐市工商业联合会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rPr>
                <w:rFonts w:hint="default" w:eastAsia="方正书宋_GBK"/>
                <w:lang w:val="en-US" w:eastAsia="zh-CN"/>
              </w:rPr>
            </w:pPr>
            <w:r>
              <w:rPr>
                <w:rFonts w:hint="eastAsia"/>
                <w:lang w:val="en-US" w:eastAsia="zh-CN"/>
              </w:rPr>
              <w:t>16</w:t>
            </w:r>
            <w:bookmarkStart w:id="20" w:name="_GoBack"/>
            <w:bookmarkEnd w:id="20"/>
          </w:p>
        </w:tc>
        <w:tc>
          <w:tcPr>
            <w:tcW w:w="2835" w:type="dxa"/>
            <w:vAlign w:val="center"/>
          </w:tcPr>
          <w:p>
            <w:pPr>
              <w:pStyle w:val="12"/>
            </w:pPr>
            <w:r>
              <w:t>2.16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16</w:t>
            </w:r>
          </w:p>
        </w:tc>
        <w:tc>
          <w:tcPr>
            <w:tcW w:w="2835" w:type="dxa"/>
            <w:vAlign w:val="center"/>
          </w:tcPr>
          <w:p>
            <w:pPr>
              <w:pStyle w:val="12"/>
            </w:pPr>
            <w:r>
              <w:t>2.16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D37797"/>
    <w:rsid w:val="6E16024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24</Pages>
  <TotalTime>1</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2025-09-11T10:10:00Z</dcterms:created>
  <dc:creator>dell</dc:creator>
  <cp:lastModifiedBy>dell</cp:lastModifiedBy>
  <dcterms:modified xsi:type="dcterms:W3CDTF">2025-09-11T02:07:53Z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