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424新乐市市场监督管理局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2703.27</w:t>
            </w:r>
          </w:p>
        </w:tc>
        <w:tc>
          <w:tcPr>
            <w:tcW w:w="4535" w:type="dxa"/>
            <w:vAlign w:val="center"/>
          </w:tcPr>
          <w:p>
            <w:pPr>
              <w:pStyle w:val="13"/>
            </w:pPr>
            <w:r>
              <w:t>一、一般公共服务支出</w:t>
            </w:r>
          </w:p>
        </w:tc>
        <w:tc>
          <w:tcPr>
            <w:tcW w:w="2126" w:type="dxa"/>
            <w:vAlign w:val="center"/>
          </w:tcPr>
          <w:p>
            <w:pPr>
              <w:pStyle w:val="12"/>
            </w:pPr>
            <w:r>
              <w:t>1761.66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700.09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137.82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2703.27</w:t>
            </w:r>
          </w:p>
        </w:tc>
        <w:tc>
          <w:tcPr>
            <w:tcW w:w="4535" w:type="dxa"/>
            <w:vAlign w:val="center"/>
          </w:tcPr>
          <w:p>
            <w:pPr>
              <w:pStyle w:val="15"/>
            </w:pPr>
            <w:r>
              <w:t>本年支出合计</w:t>
            </w:r>
          </w:p>
        </w:tc>
        <w:tc>
          <w:tcPr>
            <w:tcW w:w="2126" w:type="dxa"/>
            <w:vAlign w:val="center"/>
          </w:tcPr>
          <w:p>
            <w:pPr>
              <w:pStyle w:val="16"/>
            </w:pPr>
            <w:r>
              <w:t>2703.27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2703.27</w:t>
            </w:r>
          </w:p>
        </w:tc>
        <w:tc>
          <w:tcPr>
            <w:tcW w:w="4535" w:type="dxa"/>
            <w:vAlign w:val="center"/>
          </w:tcPr>
          <w:p>
            <w:pPr>
              <w:pStyle w:val="15"/>
            </w:pPr>
            <w:r>
              <w:t>支出总计</w:t>
            </w:r>
          </w:p>
        </w:tc>
        <w:tc>
          <w:tcPr>
            <w:tcW w:w="2126" w:type="dxa"/>
            <w:vAlign w:val="center"/>
          </w:tcPr>
          <w:p>
            <w:pPr>
              <w:pStyle w:val="16"/>
            </w:pPr>
            <w:r>
              <w:t>2703.27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424新乐市市场监督管理局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2703.27</w:t>
            </w:r>
          </w:p>
        </w:tc>
        <w:tc>
          <w:tcPr>
            <w:tcW w:w="1134" w:type="dxa"/>
            <w:vAlign w:val="center"/>
          </w:tcPr>
          <w:p>
            <w:pPr>
              <w:pStyle w:val="16"/>
            </w:pPr>
            <w:r>
              <w:t>2703.27</w:t>
            </w:r>
          </w:p>
        </w:tc>
        <w:tc>
          <w:tcPr>
            <w:tcW w:w="1134" w:type="dxa"/>
            <w:vAlign w:val="center"/>
          </w:tcPr>
          <w:p>
            <w:pPr>
              <w:pStyle w:val="16"/>
            </w:pPr>
            <w:r>
              <w:t>2703.27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1761.66</w:t>
            </w:r>
          </w:p>
        </w:tc>
        <w:tc>
          <w:tcPr>
            <w:tcW w:w="1134" w:type="dxa"/>
            <w:vAlign w:val="center"/>
          </w:tcPr>
          <w:p>
            <w:pPr>
              <w:pStyle w:val="12"/>
            </w:pPr>
            <w:r>
              <w:t>1761.66</w:t>
            </w:r>
          </w:p>
        </w:tc>
        <w:tc>
          <w:tcPr>
            <w:tcW w:w="1134" w:type="dxa"/>
            <w:vAlign w:val="center"/>
          </w:tcPr>
          <w:p>
            <w:pPr>
              <w:pStyle w:val="12"/>
            </w:pPr>
            <w:r>
              <w:t>1761.66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1761.66</w:t>
            </w:r>
          </w:p>
        </w:tc>
        <w:tc>
          <w:tcPr>
            <w:tcW w:w="1134" w:type="dxa"/>
            <w:vAlign w:val="center"/>
          </w:tcPr>
          <w:p>
            <w:pPr>
              <w:pStyle w:val="12"/>
            </w:pPr>
            <w:r>
              <w:t>1761.66</w:t>
            </w:r>
          </w:p>
        </w:tc>
        <w:tc>
          <w:tcPr>
            <w:tcW w:w="1134" w:type="dxa"/>
            <w:vAlign w:val="center"/>
          </w:tcPr>
          <w:p>
            <w:pPr>
              <w:pStyle w:val="12"/>
            </w:pPr>
            <w:r>
              <w:t>1761.66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1726.66</w:t>
            </w:r>
          </w:p>
        </w:tc>
        <w:tc>
          <w:tcPr>
            <w:tcW w:w="1134" w:type="dxa"/>
            <w:vAlign w:val="center"/>
          </w:tcPr>
          <w:p>
            <w:pPr>
              <w:pStyle w:val="12"/>
            </w:pPr>
            <w:r>
              <w:t>1726.66</w:t>
            </w:r>
          </w:p>
        </w:tc>
        <w:tc>
          <w:tcPr>
            <w:tcW w:w="1134" w:type="dxa"/>
            <w:vAlign w:val="center"/>
          </w:tcPr>
          <w:p>
            <w:pPr>
              <w:pStyle w:val="12"/>
            </w:pPr>
            <w:r>
              <w:t>1726.66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700.09</w:t>
            </w:r>
          </w:p>
        </w:tc>
        <w:tc>
          <w:tcPr>
            <w:tcW w:w="1134" w:type="dxa"/>
            <w:vAlign w:val="center"/>
          </w:tcPr>
          <w:p>
            <w:pPr>
              <w:pStyle w:val="12"/>
            </w:pPr>
            <w:r>
              <w:t>700.09</w:t>
            </w:r>
          </w:p>
        </w:tc>
        <w:tc>
          <w:tcPr>
            <w:tcW w:w="1134" w:type="dxa"/>
            <w:vAlign w:val="center"/>
          </w:tcPr>
          <w:p>
            <w:pPr>
              <w:pStyle w:val="12"/>
            </w:pPr>
            <w:r>
              <w:t>700.09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658.39</w:t>
            </w:r>
          </w:p>
        </w:tc>
        <w:tc>
          <w:tcPr>
            <w:tcW w:w="1134" w:type="dxa"/>
            <w:vAlign w:val="center"/>
          </w:tcPr>
          <w:p>
            <w:pPr>
              <w:pStyle w:val="12"/>
            </w:pPr>
            <w:r>
              <w:t>658.39</w:t>
            </w:r>
          </w:p>
        </w:tc>
        <w:tc>
          <w:tcPr>
            <w:tcW w:w="1134" w:type="dxa"/>
            <w:vAlign w:val="center"/>
          </w:tcPr>
          <w:p>
            <w:pPr>
              <w:pStyle w:val="12"/>
            </w:pPr>
            <w:r>
              <w:t>658.39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381.01</w:t>
            </w:r>
          </w:p>
        </w:tc>
        <w:tc>
          <w:tcPr>
            <w:tcW w:w="1134" w:type="dxa"/>
            <w:vAlign w:val="center"/>
          </w:tcPr>
          <w:p>
            <w:pPr>
              <w:pStyle w:val="12"/>
            </w:pPr>
            <w:r>
              <w:t>381.01</w:t>
            </w:r>
          </w:p>
        </w:tc>
        <w:tc>
          <w:tcPr>
            <w:tcW w:w="1134" w:type="dxa"/>
            <w:vAlign w:val="center"/>
          </w:tcPr>
          <w:p>
            <w:pPr>
              <w:pStyle w:val="12"/>
            </w:pPr>
            <w:r>
              <w:t>381.01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214.39</w:t>
            </w:r>
          </w:p>
        </w:tc>
        <w:tc>
          <w:tcPr>
            <w:tcW w:w="1134" w:type="dxa"/>
            <w:vAlign w:val="center"/>
          </w:tcPr>
          <w:p>
            <w:pPr>
              <w:pStyle w:val="12"/>
            </w:pPr>
            <w:r>
              <w:t>214.39</w:t>
            </w:r>
          </w:p>
        </w:tc>
        <w:tc>
          <w:tcPr>
            <w:tcW w:w="1134" w:type="dxa"/>
            <w:vAlign w:val="center"/>
          </w:tcPr>
          <w:p>
            <w:pPr>
              <w:pStyle w:val="12"/>
            </w:pPr>
            <w:r>
              <w:t>214.39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62.99</w:t>
            </w:r>
          </w:p>
        </w:tc>
        <w:tc>
          <w:tcPr>
            <w:tcW w:w="1134" w:type="dxa"/>
            <w:vAlign w:val="center"/>
          </w:tcPr>
          <w:p>
            <w:pPr>
              <w:pStyle w:val="12"/>
            </w:pPr>
            <w:r>
              <w:t>62.99</w:t>
            </w:r>
          </w:p>
        </w:tc>
        <w:tc>
          <w:tcPr>
            <w:tcW w:w="1134" w:type="dxa"/>
            <w:vAlign w:val="center"/>
          </w:tcPr>
          <w:p>
            <w:pPr>
              <w:pStyle w:val="12"/>
            </w:pPr>
            <w:r>
              <w:t>62.99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30.30</w:t>
            </w:r>
          </w:p>
        </w:tc>
        <w:tc>
          <w:tcPr>
            <w:tcW w:w="1134" w:type="dxa"/>
            <w:vAlign w:val="center"/>
          </w:tcPr>
          <w:p>
            <w:pPr>
              <w:pStyle w:val="12"/>
            </w:pPr>
            <w:r>
              <w:t>30.30</w:t>
            </w:r>
          </w:p>
        </w:tc>
        <w:tc>
          <w:tcPr>
            <w:tcW w:w="1134" w:type="dxa"/>
            <w:vAlign w:val="center"/>
          </w:tcPr>
          <w:p>
            <w:pPr>
              <w:pStyle w:val="12"/>
            </w:pPr>
            <w:r>
              <w:t>30.30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27.70</w:t>
            </w:r>
          </w:p>
        </w:tc>
        <w:tc>
          <w:tcPr>
            <w:tcW w:w="1134" w:type="dxa"/>
            <w:vAlign w:val="center"/>
          </w:tcPr>
          <w:p>
            <w:pPr>
              <w:pStyle w:val="12"/>
            </w:pPr>
            <w:r>
              <w:t>27.70</w:t>
            </w:r>
          </w:p>
        </w:tc>
        <w:tc>
          <w:tcPr>
            <w:tcW w:w="1134" w:type="dxa"/>
            <w:vAlign w:val="center"/>
          </w:tcPr>
          <w:p>
            <w:pPr>
              <w:pStyle w:val="12"/>
            </w:pPr>
            <w:r>
              <w:t>27.70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2080802</w:t>
            </w:r>
          </w:p>
        </w:tc>
        <w:tc>
          <w:tcPr>
            <w:tcW w:w="1559" w:type="dxa"/>
            <w:vAlign w:val="center"/>
          </w:tcPr>
          <w:p>
            <w:pPr>
              <w:pStyle w:val="13"/>
            </w:pPr>
            <w:r>
              <w:t>伤残抚恤</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r>
              <w:t>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11.40</w:t>
            </w:r>
          </w:p>
        </w:tc>
        <w:tc>
          <w:tcPr>
            <w:tcW w:w="1134" w:type="dxa"/>
            <w:vAlign w:val="center"/>
          </w:tcPr>
          <w:p>
            <w:pPr>
              <w:pStyle w:val="12"/>
            </w:pPr>
            <w:r>
              <w:t>11.40</w:t>
            </w:r>
          </w:p>
        </w:tc>
        <w:tc>
          <w:tcPr>
            <w:tcW w:w="1134" w:type="dxa"/>
            <w:vAlign w:val="center"/>
          </w:tcPr>
          <w:p>
            <w:pPr>
              <w:pStyle w:val="12"/>
            </w:pPr>
            <w:r>
              <w:t>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11.40</w:t>
            </w:r>
          </w:p>
        </w:tc>
        <w:tc>
          <w:tcPr>
            <w:tcW w:w="1134" w:type="dxa"/>
            <w:vAlign w:val="center"/>
          </w:tcPr>
          <w:p>
            <w:pPr>
              <w:pStyle w:val="12"/>
            </w:pPr>
            <w:r>
              <w:t>11.40</w:t>
            </w:r>
          </w:p>
        </w:tc>
        <w:tc>
          <w:tcPr>
            <w:tcW w:w="1134" w:type="dxa"/>
            <w:vAlign w:val="center"/>
          </w:tcPr>
          <w:p>
            <w:pPr>
              <w:pStyle w:val="12"/>
            </w:pPr>
            <w:r>
              <w:t>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103.20</w:t>
            </w:r>
          </w:p>
        </w:tc>
        <w:tc>
          <w:tcPr>
            <w:tcW w:w="1134" w:type="dxa"/>
            <w:vAlign w:val="center"/>
          </w:tcPr>
          <w:p>
            <w:pPr>
              <w:pStyle w:val="12"/>
            </w:pPr>
            <w:r>
              <w:t>103.20</w:t>
            </w:r>
          </w:p>
        </w:tc>
        <w:tc>
          <w:tcPr>
            <w:tcW w:w="1134" w:type="dxa"/>
            <w:vAlign w:val="center"/>
          </w:tcPr>
          <w:p>
            <w:pPr>
              <w:pStyle w:val="12"/>
            </w:pPr>
            <w:r>
              <w:t>103.20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103.20</w:t>
            </w:r>
          </w:p>
        </w:tc>
        <w:tc>
          <w:tcPr>
            <w:tcW w:w="1134" w:type="dxa"/>
            <w:vAlign w:val="center"/>
          </w:tcPr>
          <w:p>
            <w:pPr>
              <w:pStyle w:val="12"/>
            </w:pPr>
            <w:r>
              <w:t>103.20</w:t>
            </w:r>
          </w:p>
        </w:tc>
        <w:tc>
          <w:tcPr>
            <w:tcW w:w="1134" w:type="dxa"/>
            <w:vAlign w:val="center"/>
          </w:tcPr>
          <w:p>
            <w:pPr>
              <w:pStyle w:val="12"/>
            </w:pPr>
            <w:r>
              <w:t>103.20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103.20</w:t>
            </w:r>
          </w:p>
        </w:tc>
        <w:tc>
          <w:tcPr>
            <w:tcW w:w="1134" w:type="dxa"/>
            <w:vAlign w:val="center"/>
          </w:tcPr>
          <w:p>
            <w:pPr>
              <w:pStyle w:val="12"/>
            </w:pPr>
            <w:r>
              <w:t>103.20</w:t>
            </w:r>
          </w:p>
        </w:tc>
        <w:tc>
          <w:tcPr>
            <w:tcW w:w="1134" w:type="dxa"/>
            <w:vAlign w:val="center"/>
          </w:tcPr>
          <w:p>
            <w:pPr>
              <w:pStyle w:val="12"/>
            </w:pPr>
            <w:r>
              <w:t>103.20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137.82</w:t>
            </w:r>
          </w:p>
        </w:tc>
        <w:tc>
          <w:tcPr>
            <w:tcW w:w="1134" w:type="dxa"/>
            <w:vAlign w:val="center"/>
          </w:tcPr>
          <w:p>
            <w:pPr>
              <w:pStyle w:val="12"/>
            </w:pPr>
            <w:r>
              <w:t>137.82</w:t>
            </w:r>
          </w:p>
        </w:tc>
        <w:tc>
          <w:tcPr>
            <w:tcW w:w="1134" w:type="dxa"/>
            <w:vAlign w:val="center"/>
          </w:tcPr>
          <w:p>
            <w:pPr>
              <w:pStyle w:val="12"/>
            </w:pPr>
            <w:r>
              <w:t>137.82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137.82</w:t>
            </w:r>
          </w:p>
        </w:tc>
        <w:tc>
          <w:tcPr>
            <w:tcW w:w="1134" w:type="dxa"/>
            <w:vAlign w:val="center"/>
          </w:tcPr>
          <w:p>
            <w:pPr>
              <w:pStyle w:val="12"/>
            </w:pPr>
            <w:r>
              <w:t>137.82</w:t>
            </w:r>
          </w:p>
        </w:tc>
        <w:tc>
          <w:tcPr>
            <w:tcW w:w="1134" w:type="dxa"/>
            <w:vAlign w:val="center"/>
          </w:tcPr>
          <w:p>
            <w:pPr>
              <w:pStyle w:val="12"/>
            </w:pPr>
            <w:r>
              <w:t>137.82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137.82</w:t>
            </w:r>
          </w:p>
        </w:tc>
        <w:tc>
          <w:tcPr>
            <w:tcW w:w="1134" w:type="dxa"/>
            <w:vAlign w:val="center"/>
          </w:tcPr>
          <w:p>
            <w:pPr>
              <w:pStyle w:val="12"/>
            </w:pPr>
            <w:r>
              <w:t>137.82</w:t>
            </w:r>
          </w:p>
        </w:tc>
        <w:tc>
          <w:tcPr>
            <w:tcW w:w="1134" w:type="dxa"/>
            <w:vAlign w:val="center"/>
          </w:tcPr>
          <w:p>
            <w:pPr>
              <w:pStyle w:val="12"/>
            </w:pPr>
            <w:r>
              <w:t>137.82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2703.27</w:t>
            </w:r>
          </w:p>
        </w:tc>
        <w:tc>
          <w:tcPr>
            <w:tcW w:w="1361" w:type="dxa"/>
            <w:vAlign w:val="center"/>
          </w:tcPr>
          <w:p>
            <w:pPr>
              <w:pStyle w:val="16"/>
            </w:pPr>
            <w:r>
              <w:t>2668.27</w:t>
            </w:r>
          </w:p>
        </w:tc>
        <w:tc>
          <w:tcPr>
            <w:tcW w:w="1361" w:type="dxa"/>
            <w:vAlign w:val="center"/>
          </w:tcPr>
          <w:p>
            <w:pPr>
              <w:pStyle w:val="16"/>
            </w:pPr>
            <w:r>
              <w:t>35.00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1761.66</w:t>
            </w:r>
          </w:p>
        </w:tc>
        <w:tc>
          <w:tcPr>
            <w:tcW w:w="1361" w:type="dxa"/>
            <w:vAlign w:val="center"/>
          </w:tcPr>
          <w:p>
            <w:pPr>
              <w:pStyle w:val="12"/>
            </w:pPr>
            <w:r>
              <w:t>1726.66</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1761.66</w:t>
            </w:r>
          </w:p>
        </w:tc>
        <w:tc>
          <w:tcPr>
            <w:tcW w:w="1361" w:type="dxa"/>
            <w:vAlign w:val="center"/>
          </w:tcPr>
          <w:p>
            <w:pPr>
              <w:pStyle w:val="12"/>
            </w:pPr>
            <w:r>
              <w:t>1726.66</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1726.66</w:t>
            </w:r>
          </w:p>
        </w:tc>
        <w:tc>
          <w:tcPr>
            <w:tcW w:w="1361" w:type="dxa"/>
            <w:vAlign w:val="center"/>
          </w:tcPr>
          <w:p>
            <w:pPr>
              <w:pStyle w:val="12"/>
            </w:pPr>
            <w:r>
              <w:t>1726.66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700.09</w:t>
            </w:r>
          </w:p>
        </w:tc>
        <w:tc>
          <w:tcPr>
            <w:tcW w:w="1361" w:type="dxa"/>
            <w:vAlign w:val="center"/>
          </w:tcPr>
          <w:p>
            <w:pPr>
              <w:pStyle w:val="12"/>
            </w:pPr>
            <w:r>
              <w:t>700.09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658.39</w:t>
            </w:r>
          </w:p>
        </w:tc>
        <w:tc>
          <w:tcPr>
            <w:tcW w:w="1361" w:type="dxa"/>
            <w:vAlign w:val="center"/>
          </w:tcPr>
          <w:p>
            <w:pPr>
              <w:pStyle w:val="12"/>
            </w:pPr>
            <w:r>
              <w:t>658.39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381.01</w:t>
            </w:r>
          </w:p>
        </w:tc>
        <w:tc>
          <w:tcPr>
            <w:tcW w:w="1361" w:type="dxa"/>
            <w:vAlign w:val="center"/>
          </w:tcPr>
          <w:p>
            <w:pPr>
              <w:pStyle w:val="12"/>
            </w:pPr>
            <w:r>
              <w:t>381.01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214.39</w:t>
            </w:r>
          </w:p>
        </w:tc>
        <w:tc>
          <w:tcPr>
            <w:tcW w:w="1361" w:type="dxa"/>
            <w:vAlign w:val="center"/>
          </w:tcPr>
          <w:p>
            <w:pPr>
              <w:pStyle w:val="12"/>
            </w:pPr>
            <w:r>
              <w:t>214.39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62.99</w:t>
            </w:r>
          </w:p>
        </w:tc>
        <w:tc>
          <w:tcPr>
            <w:tcW w:w="1361" w:type="dxa"/>
            <w:vAlign w:val="center"/>
          </w:tcPr>
          <w:p>
            <w:pPr>
              <w:pStyle w:val="12"/>
            </w:pPr>
            <w:r>
              <w:t>62.99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30.30</w:t>
            </w:r>
          </w:p>
        </w:tc>
        <w:tc>
          <w:tcPr>
            <w:tcW w:w="1361" w:type="dxa"/>
            <w:vAlign w:val="center"/>
          </w:tcPr>
          <w:p>
            <w:pPr>
              <w:pStyle w:val="12"/>
            </w:pPr>
            <w:r>
              <w:t>30.30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27.70</w:t>
            </w:r>
          </w:p>
        </w:tc>
        <w:tc>
          <w:tcPr>
            <w:tcW w:w="1361" w:type="dxa"/>
            <w:vAlign w:val="center"/>
          </w:tcPr>
          <w:p>
            <w:pPr>
              <w:pStyle w:val="12"/>
            </w:pPr>
            <w:r>
              <w:t>27.70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2080802</w:t>
            </w:r>
          </w:p>
        </w:tc>
        <w:tc>
          <w:tcPr>
            <w:tcW w:w="4535" w:type="dxa"/>
            <w:vAlign w:val="center"/>
          </w:tcPr>
          <w:p>
            <w:pPr>
              <w:pStyle w:val="13"/>
            </w:pPr>
            <w:r>
              <w:t>伤残抚恤</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11.40</w:t>
            </w:r>
          </w:p>
        </w:tc>
        <w:tc>
          <w:tcPr>
            <w:tcW w:w="1361" w:type="dxa"/>
            <w:vAlign w:val="center"/>
          </w:tcPr>
          <w:p>
            <w:pPr>
              <w:pStyle w:val="12"/>
            </w:pPr>
            <w:r>
              <w:t>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11.40</w:t>
            </w:r>
          </w:p>
        </w:tc>
        <w:tc>
          <w:tcPr>
            <w:tcW w:w="1361" w:type="dxa"/>
            <w:vAlign w:val="center"/>
          </w:tcPr>
          <w:p>
            <w:pPr>
              <w:pStyle w:val="12"/>
            </w:pPr>
            <w:r>
              <w:t>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103.20</w:t>
            </w:r>
          </w:p>
        </w:tc>
        <w:tc>
          <w:tcPr>
            <w:tcW w:w="1361" w:type="dxa"/>
            <w:vAlign w:val="center"/>
          </w:tcPr>
          <w:p>
            <w:pPr>
              <w:pStyle w:val="12"/>
            </w:pPr>
            <w:r>
              <w:t>103.20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103.20</w:t>
            </w:r>
          </w:p>
        </w:tc>
        <w:tc>
          <w:tcPr>
            <w:tcW w:w="1361" w:type="dxa"/>
            <w:vAlign w:val="center"/>
          </w:tcPr>
          <w:p>
            <w:pPr>
              <w:pStyle w:val="12"/>
            </w:pPr>
            <w:r>
              <w:t>103.20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103.20</w:t>
            </w:r>
          </w:p>
        </w:tc>
        <w:tc>
          <w:tcPr>
            <w:tcW w:w="1361" w:type="dxa"/>
            <w:vAlign w:val="center"/>
          </w:tcPr>
          <w:p>
            <w:pPr>
              <w:pStyle w:val="12"/>
            </w:pPr>
            <w:r>
              <w:t>103.20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137.82</w:t>
            </w:r>
          </w:p>
        </w:tc>
        <w:tc>
          <w:tcPr>
            <w:tcW w:w="1361" w:type="dxa"/>
            <w:vAlign w:val="center"/>
          </w:tcPr>
          <w:p>
            <w:pPr>
              <w:pStyle w:val="12"/>
            </w:pPr>
            <w:r>
              <w:t>137.82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137.82</w:t>
            </w:r>
          </w:p>
        </w:tc>
        <w:tc>
          <w:tcPr>
            <w:tcW w:w="1361" w:type="dxa"/>
            <w:vAlign w:val="center"/>
          </w:tcPr>
          <w:p>
            <w:pPr>
              <w:pStyle w:val="12"/>
            </w:pPr>
            <w:r>
              <w:t>137.82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137.82</w:t>
            </w:r>
          </w:p>
        </w:tc>
        <w:tc>
          <w:tcPr>
            <w:tcW w:w="1361" w:type="dxa"/>
            <w:vAlign w:val="center"/>
          </w:tcPr>
          <w:p>
            <w:pPr>
              <w:pStyle w:val="12"/>
            </w:pPr>
            <w:r>
              <w:t>137.82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2703.27</w:t>
            </w:r>
          </w:p>
        </w:tc>
        <w:tc>
          <w:tcPr>
            <w:tcW w:w="3402" w:type="dxa"/>
            <w:vAlign w:val="center"/>
          </w:tcPr>
          <w:p>
            <w:pPr>
              <w:pStyle w:val="13"/>
            </w:pPr>
            <w:r>
              <w:t>一、一般公共服务支出</w:t>
            </w:r>
          </w:p>
        </w:tc>
        <w:tc>
          <w:tcPr>
            <w:tcW w:w="1474" w:type="dxa"/>
            <w:vAlign w:val="center"/>
          </w:tcPr>
          <w:p>
            <w:pPr>
              <w:pStyle w:val="12"/>
            </w:pPr>
            <w:r>
              <w:t>1761.66</w:t>
            </w:r>
          </w:p>
        </w:tc>
        <w:tc>
          <w:tcPr>
            <w:tcW w:w="1474" w:type="dxa"/>
            <w:vAlign w:val="center"/>
          </w:tcPr>
          <w:p>
            <w:pPr>
              <w:pStyle w:val="12"/>
            </w:pPr>
            <w:r>
              <w:t>1761.66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0.50</w:t>
            </w:r>
          </w:p>
        </w:tc>
        <w:tc>
          <w:tcPr>
            <w:tcW w:w="1474" w:type="dxa"/>
            <w:vAlign w:val="center"/>
          </w:tcPr>
          <w:p>
            <w:pPr>
              <w:pStyle w:val="12"/>
            </w:pPr>
            <w:r>
              <w:t>0.50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700.09</w:t>
            </w:r>
          </w:p>
        </w:tc>
        <w:tc>
          <w:tcPr>
            <w:tcW w:w="1474" w:type="dxa"/>
            <w:vAlign w:val="center"/>
          </w:tcPr>
          <w:p>
            <w:pPr>
              <w:pStyle w:val="12"/>
            </w:pPr>
            <w:r>
              <w:t>700.09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103.20</w:t>
            </w:r>
          </w:p>
        </w:tc>
        <w:tc>
          <w:tcPr>
            <w:tcW w:w="1474" w:type="dxa"/>
            <w:vAlign w:val="center"/>
          </w:tcPr>
          <w:p>
            <w:pPr>
              <w:pStyle w:val="12"/>
            </w:pPr>
            <w:r>
              <w:t>103.20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137.82</w:t>
            </w:r>
          </w:p>
        </w:tc>
        <w:tc>
          <w:tcPr>
            <w:tcW w:w="1474" w:type="dxa"/>
            <w:vAlign w:val="center"/>
          </w:tcPr>
          <w:p>
            <w:pPr>
              <w:pStyle w:val="12"/>
            </w:pPr>
            <w:r>
              <w:t>137.82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2703.27</w:t>
            </w:r>
          </w:p>
        </w:tc>
        <w:tc>
          <w:tcPr>
            <w:tcW w:w="3402" w:type="dxa"/>
            <w:vAlign w:val="center"/>
          </w:tcPr>
          <w:p>
            <w:pPr>
              <w:pStyle w:val="15"/>
            </w:pPr>
            <w:r>
              <w:t>本年支出合计</w:t>
            </w:r>
          </w:p>
        </w:tc>
        <w:tc>
          <w:tcPr>
            <w:tcW w:w="1474" w:type="dxa"/>
            <w:vAlign w:val="center"/>
          </w:tcPr>
          <w:p>
            <w:pPr>
              <w:pStyle w:val="16"/>
            </w:pPr>
            <w:r>
              <w:t>2703.27</w:t>
            </w:r>
          </w:p>
        </w:tc>
        <w:tc>
          <w:tcPr>
            <w:tcW w:w="1474" w:type="dxa"/>
            <w:vAlign w:val="center"/>
          </w:tcPr>
          <w:p>
            <w:pPr>
              <w:pStyle w:val="16"/>
            </w:pPr>
            <w:r>
              <w:t>2703.27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2703.27</w:t>
            </w:r>
          </w:p>
        </w:tc>
        <w:tc>
          <w:tcPr>
            <w:tcW w:w="3402" w:type="dxa"/>
            <w:vAlign w:val="center"/>
          </w:tcPr>
          <w:p>
            <w:pPr>
              <w:pStyle w:val="15"/>
            </w:pPr>
            <w:r>
              <w:t>支出总计</w:t>
            </w:r>
          </w:p>
        </w:tc>
        <w:tc>
          <w:tcPr>
            <w:tcW w:w="1474" w:type="dxa"/>
            <w:vAlign w:val="center"/>
          </w:tcPr>
          <w:p>
            <w:pPr>
              <w:pStyle w:val="16"/>
            </w:pPr>
            <w:r>
              <w:t>2703.27</w:t>
            </w:r>
          </w:p>
        </w:tc>
        <w:tc>
          <w:tcPr>
            <w:tcW w:w="1474" w:type="dxa"/>
            <w:vAlign w:val="center"/>
          </w:tcPr>
          <w:p>
            <w:pPr>
              <w:pStyle w:val="16"/>
            </w:pPr>
            <w:r>
              <w:t>2703.27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2703.27</w:t>
            </w:r>
          </w:p>
        </w:tc>
        <w:tc>
          <w:tcPr>
            <w:tcW w:w="2551" w:type="dxa"/>
            <w:vAlign w:val="center"/>
          </w:tcPr>
          <w:p>
            <w:pPr>
              <w:pStyle w:val="16"/>
            </w:pPr>
            <w:r>
              <w:t>2668.27</w:t>
            </w:r>
          </w:p>
        </w:tc>
        <w:tc>
          <w:tcPr>
            <w:tcW w:w="2551" w:type="dxa"/>
            <w:vAlign w:val="center"/>
          </w:tcPr>
          <w:p>
            <w:pPr>
              <w:pStyle w:val="16"/>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1761.66</w:t>
            </w:r>
          </w:p>
        </w:tc>
        <w:tc>
          <w:tcPr>
            <w:tcW w:w="2551" w:type="dxa"/>
            <w:vAlign w:val="center"/>
          </w:tcPr>
          <w:p>
            <w:pPr>
              <w:pStyle w:val="12"/>
            </w:pPr>
            <w:r>
              <w:t>1726.66</w:t>
            </w: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1761.66</w:t>
            </w:r>
          </w:p>
        </w:tc>
        <w:tc>
          <w:tcPr>
            <w:tcW w:w="2551" w:type="dxa"/>
            <w:vAlign w:val="center"/>
          </w:tcPr>
          <w:p>
            <w:pPr>
              <w:pStyle w:val="12"/>
            </w:pPr>
            <w:r>
              <w:t>1726.66</w:t>
            </w: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1726.66</w:t>
            </w:r>
          </w:p>
        </w:tc>
        <w:tc>
          <w:tcPr>
            <w:tcW w:w="2551" w:type="dxa"/>
            <w:vAlign w:val="center"/>
          </w:tcPr>
          <w:p>
            <w:pPr>
              <w:pStyle w:val="12"/>
            </w:pPr>
            <w:r>
              <w:t>1726.66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700.09</w:t>
            </w:r>
          </w:p>
        </w:tc>
        <w:tc>
          <w:tcPr>
            <w:tcW w:w="2551" w:type="dxa"/>
            <w:vAlign w:val="center"/>
          </w:tcPr>
          <w:p>
            <w:pPr>
              <w:pStyle w:val="12"/>
            </w:pPr>
            <w:r>
              <w:t>700.09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658.39</w:t>
            </w:r>
          </w:p>
        </w:tc>
        <w:tc>
          <w:tcPr>
            <w:tcW w:w="2551" w:type="dxa"/>
            <w:vAlign w:val="center"/>
          </w:tcPr>
          <w:p>
            <w:pPr>
              <w:pStyle w:val="12"/>
            </w:pPr>
            <w:r>
              <w:t>658.39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381.01</w:t>
            </w:r>
          </w:p>
        </w:tc>
        <w:tc>
          <w:tcPr>
            <w:tcW w:w="2551" w:type="dxa"/>
            <w:vAlign w:val="center"/>
          </w:tcPr>
          <w:p>
            <w:pPr>
              <w:pStyle w:val="12"/>
            </w:pPr>
            <w:r>
              <w:t>381.01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214.39</w:t>
            </w:r>
          </w:p>
        </w:tc>
        <w:tc>
          <w:tcPr>
            <w:tcW w:w="2551" w:type="dxa"/>
            <w:vAlign w:val="center"/>
          </w:tcPr>
          <w:p>
            <w:pPr>
              <w:pStyle w:val="12"/>
            </w:pPr>
            <w:r>
              <w:t>214.39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62.99</w:t>
            </w:r>
          </w:p>
        </w:tc>
        <w:tc>
          <w:tcPr>
            <w:tcW w:w="2551" w:type="dxa"/>
            <w:vAlign w:val="center"/>
          </w:tcPr>
          <w:p>
            <w:pPr>
              <w:pStyle w:val="12"/>
            </w:pPr>
            <w:r>
              <w:t>62.99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30.30</w:t>
            </w:r>
          </w:p>
        </w:tc>
        <w:tc>
          <w:tcPr>
            <w:tcW w:w="2551" w:type="dxa"/>
            <w:vAlign w:val="center"/>
          </w:tcPr>
          <w:p>
            <w:pPr>
              <w:pStyle w:val="12"/>
            </w:pPr>
            <w:r>
              <w:t>30.30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27.70</w:t>
            </w:r>
          </w:p>
        </w:tc>
        <w:tc>
          <w:tcPr>
            <w:tcW w:w="2551" w:type="dxa"/>
            <w:vAlign w:val="center"/>
          </w:tcPr>
          <w:p>
            <w:pPr>
              <w:pStyle w:val="12"/>
            </w:pPr>
            <w:r>
              <w:t>27.70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2080802</w:t>
            </w:r>
          </w:p>
        </w:tc>
        <w:tc>
          <w:tcPr>
            <w:tcW w:w="4535" w:type="dxa"/>
            <w:vAlign w:val="center"/>
          </w:tcPr>
          <w:p>
            <w:pPr>
              <w:pStyle w:val="13"/>
            </w:pPr>
            <w:r>
              <w:t>伤残抚恤</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11.40</w:t>
            </w:r>
          </w:p>
        </w:tc>
        <w:tc>
          <w:tcPr>
            <w:tcW w:w="2551" w:type="dxa"/>
            <w:vAlign w:val="center"/>
          </w:tcPr>
          <w:p>
            <w:pPr>
              <w:pStyle w:val="12"/>
            </w:pPr>
            <w:r>
              <w:t>11.40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11.40</w:t>
            </w:r>
          </w:p>
        </w:tc>
        <w:tc>
          <w:tcPr>
            <w:tcW w:w="2551" w:type="dxa"/>
            <w:vAlign w:val="center"/>
          </w:tcPr>
          <w:p>
            <w:pPr>
              <w:pStyle w:val="12"/>
            </w:pPr>
            <w:r>
              <w:t>11.40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103.20</w:t>
            </w:r>
          </w:p>
        </w:tc>
        <w:tc>
          <w:tcPr>
            <w:tcW w:w="2551" w:type="dxa"/>
            <w:vAlign w:val="center"/>
          </w:tcPr>
          <w:p>
            <w:pPr>
              <w:pStyle w:val="12"/>
            </w:pPr>
            <w:r>
              <w:t>103.20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103.20</w:t>
            </w:r>
          </w:p>
        </w:tc>
        <w:tc>
          <w:tcPr>
            <w:tcW w:w="2551" w:type="dxa"/>
            <w:vAlign w:val="center"/>
          </w:tcPr>
          <w:p>
            <w:pPr>
              <w:pStyle w:val="12"/>
            </w:pPr>
            <w:r>
              <w:t>103.20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103.20</w:t>
            </w:r>
          </w:p>
        </w:tc>
        <w:tc>
          <w:tcPr>
            <w:tcW w:w="2551" w:type="dxa"/>
            <w:vAlign w:val="center"/>
          </w:tcPr>
          <w:p>
            <w:pPr>
              <w:pStyle w:val="12"/>
            </w:pPr>
            <w:r>
              <w:t>103.20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137.82</w:t>
            </w:r>
          </w:p>
        </w:tc>
        <w:tc>
          <w:tcPr>
            <w:tcW w:w="2551" w:type="dxa"/>
            <w:vAlign w:val="center"/>
          </w:tcPr>
          <w:p>
            <w:pPr>
              <w:pStyle w:val="12"/>
            </w:pPr>
            <w:r>
              <w:t>137.82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137.82</w:t>
            </w:r>
          </w:p>
        </w:tc>
        <w:tc>
          <w:tcPr>
            <w:tcW w:w="2551" w:type="dxa"/>
            <w:vAlign w:val="center"/>
          </w:tcPr>
          <w:p>
            <w:pPr>
              <w:pStyle w:val="12"/>
            </w:pPr>
            <w:r>
              <w:t>137.82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137.82</w:t>
            </w:r>
          </w:p>
        </w:tc>
        <w:tc>
          <w:tcPr>
            <w:tcW w:w="2551" w:type="dxa"/>
            <w:vAlign w:val="center"/>
          </w:tcPr>
          <w:p>
            <w:pPr>
              <w:pStyle w:val="12"/>
            </w:pPr>
            <w:r>
              <w:t>137.82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2668.27</w:t>
            </w:r>
          </w:p>
        </w:tc>
        <w:tc>
          <w:tcPr>
            <w:tcW w:w="2551" w:type="dxa"/>
            <w:vAlign w:val="center"/>
          </w:tcPr>
          <w:p>
            <w:pPr>
              <w:pStyle w:val="16"/>
            </w:pPr>
            <w:r>
              <w:t>2339.08</w:t>
            </w:r>
          </w:p>
        </w:tc>
        <w:tc>
          <w:tcPr>
            <w:tcW w:w="2551" w:type="dxa"/>
            <w:vAlign w:val="center"/>
          </w:tcPr>
          <w:p>
            <w:pPr>
              <w:pStyle w:val="16"/>
            </w:pPr>
            <w:r>
              <w:t>329.19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1927.77</w:t>
            </w:r>
          </w:p>
        </w:tc>
        <w:tc>
          <w:tcPr>
            <w:tcW w:w="2551" w:type="dxa"/>
            <w:vAlign w:val="center"/>
          </w:tcPr>
          <w:p>
            <w:pPr>
              <w:pStyle w:val="12"/>
            </w:pPr>
            <w:r>
              <w:t>1927.77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723.38</w:t>
            </w:r>
          </w:p>
        </w:tc>
        <w:tc>
          <w:tcPr>
            <w:tcW w:w="2551" w:type="dxa"/>
            <w:vAlign w:val="center"/>
          </w:tcPr>
          <w:p>
            <w:pPr>
              <w:pStyle w:val="12"/>
            </w:pPr>
            <w:r>
              <w:t>723.38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242.98</w:t>
            </w:r>
          </w:p>
        </w:tc>
        <w:tc>
          <w:tcPr>
            <w:tcW w:w="2551" w:type="dxa"/>
            <w:vAlign w:val="center"/>
          </w:tcPr>
          <w:p>
            <w:pPr>
              <w:pStyle w:val="12"/>
            </w:pPr>
            <w:r>
              <w:t>242.98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176.47</w:t>
            </w:r>
          </w:p>
        </w:tc>
        <w:tc>
          <w:tcPr>
            <w:tcW w:w="2551" w:type="dxa"/>
            <w:vAlign w:val="center"/>
          </w:tcPr>
          <w:p>
            <w:pPr>
              <w:pStyle w:val="12"/>
            </w:pPr>
            <w:r>
              <w:t>176.47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223.34</w:t>
            </w:r>
          </w:p>
        </w:tc>
        <w:tc>
          <w:tcPr>
            <w:tcW w:w="2551" w:type="dxa"/>
            <w:vAlign w:val="center"/>
          </w:tcPr>
          <w:p>
            <w:pPr>
              <w:pStyle w:val="12"/>
            </w:pPr>
            <w:r>
              <w:t>223.34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214.39</w:t>
            </w:r>
          </w:p>
        </w:tc>
        <w:tc>
          <w:tcPr>
            <w:tcW w:w="2551" w:type="dxa"/>
            <w:vAlign w:val="center"/>
          </w:tcPr>
          <w:p>
            <w:pPr>
              <w:pStyle w:val="12"/>
            </w:pPr>
            <w:r>
              <w:t>214.39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62.99</w:t>
            </w:r>
          </w:p>
        </w:tc>
        <w:tc>
          <w:tcPr>
            <w:tcW w:w="2551" w:type="dxa"/>
            <w:vAlign w:val="center"/>
          </w:tcPr>
          <w:p>
            <w:pPr>
              <w:pStyle w:val="12"/>
            </w:pPr>
            <w:r>
              <w:t>62.99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103.20</w:t>
            </w:r>
          </w:p>
        </w:tc>
        <w:tc>
          <w:tcPr>
            <w:tcW w:w="2551" w:type="dxa"/>
            <w:vAlign w:val="center"/>
          </w:tcPr>
          <w:p>
            <w:pPr>
              <w:pStyle w:val="12"/>
            </w:pPr>
            <w:r>
              <w:t>103.20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11.40</w:t>
            </w:r>
          </w:p>
        </w:tc>
        <w:tc>
          <w:tcPr>
            <w:tcW w:w="2551" w:type="dxa"/>
            <w:vAlign w:val="center"/>
          </w:tcPr>
          <w:p>
            <w:pPr>
              <w:pStyle w:val="12"/>
            </w:pPr>
            <w:r>
              <w:t>11.40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137.82</w:t>
            </w:r>
          </w:p>
        </w:tc>
        <w:tc>
          <w:tcPr>
            <w:tcW w:w="2551" w:type="dxa"/>
            <w:vAlign w:val="center"/>
          </w:tcPr>
          <w:p>
            <w:pPr>
              <w:pStyle w:val="12"/>
            </w:pPr>
            <w:r>
              <w:t>137.82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31.80</w:t>
            </w:r>
          </w:p>
        </w:tc>
        <w:tc>
          <w:tcPr>
            <w:tcW w:w="2551" w:type="dxa"/>
            <w:vAlign w:val="center"/>
          </w:tcPr>
          <w:p>
            <w:pPr>
              <w:pStyle w:val="12"/>
            </w:pPr>
            <w:r>
              <w:t>31.80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323.99</w:t>
            </w:r>
          </w:p>
        </w:tc>
        <w:tc>
          <w:tcPr>
            <w:tcW w:w="2551" w:type="dxa"/>
            <w:vAlign w:val="center"/>
          </w:tcPr>
          <w:p>
            <w:pPr>
              <w:pStyle w:val="12"/>
            </w:pPr>
          </w:p>
        </w:tc>
        <w:tc>
          <w:tcPr>
            <w:tcW w:w="2551" w:type="dxa"/>
            <w:vAlign w:val="center"/>
          </w:tcPr>
          <w:p>
            <w:pPr>
              <w:pStyle w:val="12"/>
            </w:pPr>
            <w:r>
              <w:t>323.99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12.72</w:t>
            </w:r>
          </w:p>
        </w:tc>
        <w:tc>
          <w:tcPr>
            <w:tcW w:w="2551" w:type="dxa"/>
            <w:vAlign w:val="center"/>
          </w:tcPr>
          <w:p>
            <w:pPr>
              <w:pStyle w:val="12"/>
            </w:pPr>
          </w:p>
        </w:tc>
        <w:tc>
          <w:tcPr>
            <w:tcW w:w="2551" w:type="dxa"/>
            <w:vAlign w:val="center"/>
          </w:tcPr>
          <w:p>
            <w:pPr>
              <w:pStyle w:val="12"/>
            </w:pPr>
            <w:r>
              <w:t>12.72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49.44</w:t>
            </w:r>
          </w:p>
        </w:tc>
        <w:tc>
          <w:tcPr>
            <w:tcW w:w="2551" w:type="dxa"/>
            <w:vAlign w:val="center"/>
          </w:tcPr>
          <w:p>
            <w:pPr>
              <w:pStyle w:val="12"/>
            </w:pPr>
          </w:p>
        </w:tc>
        <w:tc>
          <w:tcPr>
            <w:tcW w:w="2551" w:type="dxa"/>
            <w:vAlign w:val="center"/>
          </w:tcPr>
          <w:p>
            <w:pPr>
              <w:pStyle w:val="12"/>
            </w:pPr>
            <w:r>
              <w:t>49.44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14.46</w:t>
            </w:r>
          </w:p>
        </w:tc>
        <w:tc>
          <w:tcPr>
            <w:tcW w:w="2551" w:type="dxa"/>
            <w:vAlign w:val="center"/>
          </w:tcPr>
          <w:p>
            <w:pPr>
              <w:pStyle w:val="12"/>
            </w:pPr>
          </w:p>
        </w:tc>
        <w:tc>
          <w:tcPr>
            <w:tcW w:w="2551" w:type="dxa"/>
            <w:vAlign w:val="center"/>
          </w:tcPr>
          <w:p>
            <w:pPr>
              <w:pStyle w:val="12"/>
            </w:pPr>
            <w:r>
              <w:t>14.46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0.33</w:t>
            </w:r>
          </w:p>
        </w:tc>
        <w:tc>
          <w:tcPr>
            <w:tcW w:w="2551" w:type="dxa"/>
            <w:vAlign w:val="center"/>
          </w:tcPr>
          <w:p>
            <w:pPr>
              <w:pStyle w:val="12"/>
            </w:pPr>
          </w:p>
        </w:tc>
        <w:tc>
          <w:tcPr>
            <w:tcW w:w="2551" w:type="dxa"/>
            <w:vAlign w:val="center"/>
          </w:tcPr>
          <w:p>
            <w:pPr>
              <w:pStyle w:val="12"/>
            </w:pPr>
            <w:r>
              <w:t>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30218</w:t>
            </w:r>
          </w:p>
        </w:tc>
        <w:tc>
          <w:tcPr>
            <w:tcW w:w="4535" w:type="dxa"/>
            <w:vAlign w:val="center"/>
          </w:tcPr>
          <w:p>
            <w:pPr>
              <w:pStyle w:val="13"/>
            </w:pPr>
            <w:r>
              <w:t>专用材料费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11.12</w:t>
            </w:r>
          </w:p>
        </w:tc>
        <w:tc>
          <w:tcPr>
            <w:tcW w:w="2551" w:type="dxa"/>
            <w:vAlign w:val="center"/>
          </w:tcPr>
          <w:p>
            <w:pPr>
              <w:pStyle w:val="12"/>
            </w:pPr>
          </w:p>
        </w:tc>
        <w:tc>
          <w:tcPr>
            <w:tcW w:w="2551" w:type="dxa"/>
            <w:vAlign w:val="center"/>
          </w:tcPr>
          <w:p>
            <w:pPr>
              <w:pStyle w:val="12"/>
            </w:pPr>
            <w:r>
              <w:t>11.12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13.49</w:t>
            </w:r>
          </w:p>
        </w:tc>
        <w:tc>
          <w:tcPr>
            <w:tcW w:w="2551" w:type="dxa"/>
            <w:vAlign w:val="center"/>
          </w:tcPr>
          <w:p>
            <w:pPr>
              <w:pStyle w:val="12"/>
            </w:pPr>
          </w:p>
        </w:tc>
        <w:tc>
          <w:tcPr>
            <w:tcW w:w="2551" w:type="dxa"/>
            <w:vAlign w:val="center"/>
          </w:tcPr>
          <w:p>
            <w:pPr>
              <w:pStyle w:val="12"/>
            </w:pPr>
            <w:r>
              <w:t>13.49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55.90</w:t>
            </w:r>
          </w:p>
        </w:tc>
        <w:tc>
          <w:tcPr>
            <w:tcW w:w="2551" w:type="dxa"/>
            <w:vAlign w:val="center"/>
          </w:tcPr>
          <w:p>
            <w:pPr>
              <w:pStyle w:val="12"/>
            </w:pPr>
          </w:p>
        </w:tc>
        <w:tc>
          <w:tcPr>
            <w:tcW w:w="2551" w:type="dxa"/>
            <w:vAlign w:val="center"/>
          </w:tcPr>
          <w:p>
            <w:pPr>
              <w:pStyle w:val="12"/>
            </w:pPr>
            <w:r>
              <w:t>55.90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48.55</w:t>
            </w:r>
          </w:p>
        </w:tc>
        <w:tc>
          <w:tcPr>
            <w:tcW w:w="2551" w:type="dxa"/>
            <w:vAlign w:val="center"/>
          </w:tcPr>
          <w:p>
            <w:pPr>
              <w:pStyle w:val="12"/>
            </w:pPr>
          </w:p>
        </w:tc>
        <w:tc>
          <w:tcPr>
            <w:tcW w:w="2551" w:type="dxa"/>
            <w:vAlign w:val="center"/>
          </w:tcPr>
          <w:p>
            <w:pPr>
              <w:pStyle w:val="12"/>
            </w:pPr>
            <w:r>
              <w:t>48.55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9.48</w:t>
            </w:r>
          </w:p>
        </w:tc>
        <w:tc>
          <w:tcPr>
            <w:tcW w:w="2551" w:type="dxa"/>
            <w:vAlign w:val="center"/>
          </w:tcPr>
          <w:p>
            <w:pPr>
              <w:pStyle w:val="12"/>
            </w:pPr>
          </w:p>
        </w:tc>
        <w:tc>
          <w:tcPr>
            <w:tcW w:w="2551" w:type="dxa"/>
            <w:vAlign w:val="center"/>
          </w:tcPr>
          <w:p>
            <w:pPr>
              <w:pStyle w:val="12"/>
            </w:pPr>
            <w:r>
              <w:t>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412.51</w:t>
            </w:r>
          </w:p>
        </w:tc>
        <w:tc>
          <w:tcPr>
            <w:tcW w:w="2551" w:type="dxa"/>
            <w:vAlign w:val="center"/>
          </w:tcPr>
          <w:p>
            <w:pPr>
              <w:pStyle w:val="12"/>
            </w:pPr>
            <w:r>
              <w:t>411.31</w:t>
            </w:r>
          </w:p>
        </w:tc>
        <w:tc>
          <w:tcPr>
            <w:tcW w:w="2551"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381.01</w:t>
            </w:r>
          </w:p>
        </w:tc>
        <w:tc>
          <w:tcPr>
            <w:tcW w:w="2551" w:type="dxa"/>
            <w:vAlign w:val="center"/>
          </w:tcPr>
          <w:p>
            <w:pPr>
              <w:pStyle w:val="12"/>
            </w:pPr>
            <w:r>
              <w:t>381.01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27.70</w:t>
            </w:r>
          </w:p>
        </w:tc>
        <w:tc>
          <w:tcPr>
            <w:tcW w:w="2551" w:type="dxa"/>
            <w:vAlign w:val="center"/>
          </w:tcPr>
          <w:p>
            <w:pPr>
              <w:pStyle w:val="12"/>
            </w:pPr>
            <w:r>
              <w:t>27.70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424新乐市市场监督管理局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65.90</w:t>
            </w:r>
          </w:p>
        </w:tc>
        <w:tc>
          <w:tcPr>
            <w:tcW w:w="2381" w:type="dxa"/>
            <w:vAlign w:val="center"/>
          </w:tcPr>
          <w:p>
            <w:pPr>
              <w:pStyle w:val="16"/>
            </w:pPr>
            <w:r>
              <w:t>65.90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65.90</w:t>
            </w:r>
          </w:p>
        </w:tc>
        <w:tc>
          <w:tcPr>
            <w:tcW w:w="2381" w:type="dxa"/>
            <w:vAlign w:val="center"/>
          </w:tcPr>
          <w:p>
            <w:pPr>
              <w:pStyle w:val="12"/>
            </w:pPr>
            <w:r>
              <w:t>65.90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55.90</w:t>
            </w:r>
          </w:p>
        </w:tc>
        <w:tc>
          <w:tcPr>
            <w:tcW w:w="2381" w:type="dxa"/>
            <w:vAlign w:val="center"/>
          </w:tcPr>
          <w:p>
            <w:pPr>
              <w:pStyle w:val="12"/>
            </w:pPr>
            <w:r>
              <w:t>55.90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新乐市市场监督管理局2025年部门预算信息公开情况说明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新乐市市场监督管理局2025年部门预算信息公开情况说明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按照《中华人民共和国预算法》、《地方预决算公开操作规程》和《关于进一步推进预算公开工作的实施意见》规定，现将新乐市市场监督管理局2025年部门预算公开如下：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1．主要职能。</w:t>
      </w:r>
    </w:p>
    <w:p>
      <w:pPr>
        <w:pStyle w:val="18"/>
      </w:pPr>
      <w:r>
        <w:t>（一）贯彻落实市场监督管理法律法规、地方性法规、政府规章，组织实施质量强市战略、食品安全战略、标准化战略、知识产权战略，拟订市场监督管理规划并组织实施，规范和维护市场秩序，营造诚实守信、公平竞争的市场环境。</w:t>
      </w:r>
    </w:p>
    <w:p>
      <w:pPr>
        <w:pStyle w:val="18"/>
      </w:pPr>
      <w:r>
        <w:t>（二）负责市场主体信用建设；负责建立市场主体信息公示和共享机制，依法公示和共享有关信息，加强信用监管，推动市场主体信用体系建设。</w:t>
      </w:r>
    </w:p>
    <w:p>
      <w:pPr>
        <w:pStyle w:val="18"/>
      </w:pPr>
      <w:r>
        <w:t>（三）负责市场监管综合执法工作，负责市场监管综合执法队伍建设工作，推动实行统一的市场监管；组织查处市场违法案件；规范市场监管行政执法行为。集中行使粮食、商务方面法律法规规章规定的全部行政处罚权；民族宗教管理方面清真食品的行政处罚权。同时实施与上述范围内法律法规规定的行政处罚权有关的行政监督检查、行政强制措施。</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8"/>
      </w:pPr>
      <w:r>
        <w:t>（五）负责全市宏观质量管理工作，拟定全市质量发展制度和措施并组织实施。统筹全市质量基础设施建设与应用，会同有关部门组织实施重大工程设备质量监理制度，组织重大质量事故调查，组织实施缺陷产品召回制度，监督管理产品防伪工作。</w:t>
      </w:r>
    </w:p>
    <w:p>
      <w:pPr>
        <w:pStyle w:val="18"/>
      </w:pPr>
      <w:r>
        <w:t>（六）负责全市产品质量安全监督管理工作，承担产品质量安全风险监控、监督抽查工作；组织实施质量分级制度、质量安全追溯制度；负责纤维质量监督工作。</w:t>
      </w:r>
    </w:p>
    <w:p>
      <w:pPr>
        <w:pStyle w:val="18"/>
      </w:pPr>
      <w:r>
        <w:t>（七）负责全市特种设备安全监督管理工作，负责特种设备安全监察、监督管理工作，监督检查高耗能特种设备节能标准和锅炉环境保护标准的执行情况。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新乐市食品安全委员会日常工作。</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8"/>
      </w:pPr>
      <w:r>
        <w:t>（十）负责统一管理全市计量工作。推行法定计量单位和国家计量制度，管理计量器具及量值传递和比对工作。规范、监督商品量和市场计量行为。</w:t>
      </w:r>
    </w:p>
    <w:p>
      <w:pPr>
        <w:pStyle w:val="18"/>
      </w:pPr>
      <w:r>
        <w:t>（十一）负责统一管理全市标准化工作；宣传贯彻强制性、推荐性国家标准和行业标准、地方标准；依法协调指导和监督团体标准、企业标准制定工作。</w:t>
      </w:r>
    </w:p>
    <w:p>
      <w:pPr>
        <w:pStyle w:val="18"/>
      </w:pPr>
      <w:r>
        <w:t>（十二）负责统一管理全市检验检测工作，推进检验检测机构改革，规范检验检测市场，完善检验检测体系，指导协调检验检测行业发展。</w:t>
      </w:r>
    </w:p>
    <w:p>
      <w:pPr>
        <w:pStyle w:val="18"/>
      </w:pPr>
      <w:r>
        <w:t>（十三）负责统一管理、监督和协调全市认证认可工作，组织实施国家统一的认证认可和合格评定监督管理制度。</w:t>
      </w:r>
    </w:p>
    <w:p>
      <w:pPr>
        <w:pStyle w:val="18"/>
      </w:pPr>
      <w:r>
        <w:t>（十四）负责推进全市知识产权管理工作，拟订加强知识产权强市建设发展规划并组织实施，拟订强化知识产权创造、保护和运用制度并组织实施。</w:t>
      </w:r>
    </w:p>
    <w:p>
      <w:pPr>
        <w:pStyle w:val="18"/>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8"/>
      </w:pPr>
      <w:r>
        <w:t>（十六）负责促进知识产权运用工作，贯彻落实知识产权运用和规范交易管理办法，促进知识产权转移转化；规范知识产权无形资产评估工作；负责知识产权中介服务发展的监督管理工作。</w:t>
      </w:r>
    </w:p>
    <w:p>
      <w:pPr>
        <w:pStyle w:val="18"/>
      </w:pPr>
      <w:r>
        <w:t>（十七）负责建立知识产权公共服务体系，建设便企利民、互联互通的全市知识产权信息公共服务平台，推动商标、专利等知识产权信息的传播利用。</w:t>
      </w:r>
    </w:p>
    <w:p>
      <w:pPr>
        <w:pStyle w:val="18"/>
      </w:pPr>
      <w:r>
        <w:t>（十八）承担上级授权的知识产权代办工作任务，组织实施原产地地理标志统一认定制度。</w:t>
      </w:r>
    </w:p>
    <w:p>
      <w:pPr>
        <w:pStyle w:val="18"/>
      </w:pPr>
      <w:r>
        <w:t>（十九）负责市场监督管理科技和信息化建设、新闻宣传、对外交流与合作；负责协调涉外知识产权事宜。</w:t>
      </w:r>
    </w:p>
    <w:p>
      <w:pPr>
        <w:pStyle w:val="18"/>
      </w:pPr>
      <w:r>
        <w:t>（二十）负责药品（含中药、民族药，下同）、医疗器械和化妆品安全监督管理。贯彻执行国家、省、石家庄市药品、医疗器械和化妆品法律法规，以及鼓励药品、医疗器械和化妆品新技术新产品的管理与服务政策，拟订管理措施并组织实施。</w:t>
      </w:r>
    </w:p>
    <w:p>
      <w:pPr>
        <w:pStyle w:val="18"/>
      </w:pPr>
      <w:r>
        <w:t>（二十一）负责药品、医疗器械和化妆品质量管理工作，依职责监督实施药品、医疗器械经营质量管理规范。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（二十三）负责药品、医疗器械和化妆品监督检查工作，贯彻落实国家、省、石家庄市检查制度，依法查处药品、医疗器械和化妆品经营、使用环节的违法行为。</w:t>
      </w:r>
    </w:p>
    <w:p>
      <w:pPr>
        <w:pStyle w:val="18"/>
      </w:pPr>
      <w:r>
        <w:t>（二十四）组织开展药品、医疗器械和化妆品安全宣传、教育培训，推进诚信体系建设。</w:t>
      </w:r>
    </w:p>
    <w:p>
      <w:pPr>
        <w:pStyle w:val="18"/>
      </w:pPr>
      <w:r>
        <w:t>（二十五）负责全市药品监督管理工作。推动落实药品、医疗器械和化妆品安全企业主体责任，组织实施药品、医疗器械和化妆品安全考核。</w:t>
      </w:r>
    </w:p>
    <w:p>
      <w:pPr>
        <w:pStyle w:val="18"/>
      </w:pPr>
      <w:r>
        <w:t>（二十六）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（二十七）承接省、石家庄市市场监督管理局委托实施的管理事项。</w:t>
      </w:r>
    </w:p>
    <w:p>
      <w:pPr>
        <w:pStyle w:val="18"/>
      </w:pPr>
      <w:r>
        <w:t>（二十八）完成市委、市政府交办的其他任务。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按照预算管理有关规定，目前部门预算的编制实行综合预算管理，即全部收入和支出都反映在预算中。新乐市市场监督管理局机关及所属事业单位的收支包含在部门预算中。</w:t>
      </w:r>
    </w:p>
    <w:p>
      <w:pPr>
        <w:pStyle w:val="19"/>
      </w:pPr>
      <w:r>
        <w:t>1、收入说明</w:t>
      </w:r>
    </w:p>
    <w:p>
      <w:pPr>
        <w:pStyle w:val="19"/>
      </w:pPr>
      <w:r>
        <w:t>反映本部门当年全部收入。2025年预算收入2703.27万元，其中：一般公共预算收入2703.27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市场监督管理局年度部门预算中支出预算的总体情况。2025年支出预算2703.27万元，其中基本支出2668.27万元，包括人员经费2339.08万元和日常公用经费329.19万元；项目支出35.00万元，主要为上级提前下达市场监管专项经费35万元。</w:t>
      </w:r>
    </w:p>
    <w:p>
      <w:pPr>
        <w:pStyle w:val="19"/>
      </w:pPr>
      <w:r>
        <w:t>3、比上年增减情况</w:t>
      </w:r>
    </w:p>
    <w:p>
      <w:pPr>
        <w:pStyle w:val="19"/>
      </w:pPr>
      <w:r>
        <w:t>2025年预算收支安排2703.27万元，较2024年预算减少63.84万元，其中：基本支出减少82.84万元，主要为2024年人员退休人数较多，在职人员减少，相应工资福利费用和商品服务费用减少，所以基本支出减少。项目支出增加19.00万元，主要为2024年上级提前下达市场监管专项费用为16万，2025年未35万元，增加19万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6"/>
      </w:pPr>
      <w:r>
        <w:t>2025年，我</w:t>
      </w:r>
      <w:r>
        <w:rPr>
          <w:rFonts w:hint="eastAsia"/>
          <w:lang w:val="en-US" w:eastAsia="zh-CN"/>
        </w:rPr>
        <w:t>部门</w:t>
      </w:r>
      <w:r>
        <w:t>机关运行经费共计安排329.19万元，主要用于日常维修、办公用房水电费、办公用房取暖费、办公用房物业管理费等日常运行支出。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65.90万元，其中因公出国（境）费0.00万元；公务用车购置及运维费65.90万元（其中：公务用车购置费为10.00万元，公务用车运维费55.90万元)；公务接待费0.00万元。与2024年相比增加10.00万元，增减变化的主要原因是2024年没有车辆购买计划，2025年提前下达市场监管专项经费中新增车辆购置一辆，费用为10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r>
        <w:t>（一）总体绩效目标</w:t>
      </w:r>
    </w:p>
    <w:p>
      <w:pPr>
        <w:pStyle w:val="22"/>
      </w:pPr>
      <w:r>
        <w:t>以习近平新时代中国特色社会主义思想为统领，坚持以人民为中心，坚持围绕中心服务大局，坚持高质量发展，坚持“四个最严”要求，坚持风险防控，坚持市场化改革方向，提示市场监管治理体系和治理能力现代化水平，提示人民群众满意度。事中事后监管取得新进展，确保“双随机、一公开”监管全覆盖、常态化。质量强市和标准化战略稳步实施，深入开展制造业、农产品和食品药品、消费品、工程质量等十一个方面质量提升。认真落实“四个最严”要求，全面落实食品安全党政同责。加大对重特大违法案件的查处，净化市场环境。全力服务京津冀协同发展。检验检测认证监管、知识产权信息公共服务等区域合作计划，联合发布交通、环保、商贸物流、安全生产等领域协同。</w:t>
      </w:r>
    </w:p>
    <w:p>
      <w:pPr>
        <w:pStyle w:val="22"/>
      </w:pPr>
    </w:p>
    <w:p>
      <w:pPr>
        <w:pStyle w:val="23"/>
      </w:pPr>
      <w:r>
        <w:t>（二）分项绩效目标</w:t>
      </w:r>
    </w:p>
    <w:p>
      <w:pPr>
        <w:pStyle w:val="23"/>
      </w:pPr>
      <w:r>
        <w:t>1.市场监督管理能力和水平整体增强</w:t>
      </w:r>
    </w:p>
    <w:p>
      <w:pPr>
        <w:pStyle w:val="23"/>
      </w:pPr>
      <w:r>
        <w:t>绩效目标：市场监管治理体系进一步完善，市场主体数量稳定增长，市场活力进一步增强，市场发展环境进一步优化，市场秩序进一步好转，食品安全风险监测预警能力稳步提升，突发食品事件应急处置能力持续强化，监督检查特种设备能力整体增强，产品质量水平进一步提高。</w:t>
      </w:r>
    </w:p>
    <w:p>
      <w:pPr>
        <w:pStyle w:val="23"/>
      </w:pPr>
      <w:r>
        <w:t>绩效指标：对企业行政指导覆盖率大于90%，重点食品安全事故数为零。</w:t>
      </w:r>
    </w:p>
    <w:p>
      <w:pPr>
        <w:pStyle w:val="23"/>
      </w:pPr>
      <w:r>
        <w:t>2.质量发展水平进一步提升</w:t>
      </w:r>
    </w:p>
    <w:p>
      <w:pPr>
        <w:pStyle w:val="23"/>
      </w:pPr>
      <w:r>
        <w:t>绩效目标：推进质量强市战略、推进品牌建设，全市质量基础设施协同服务成熟高效，市级地方标准制修订水平进一步提高，全面实施国家标准、行业标准和地方标准，对标准的实施进行监督检查。</w:t>
      </w:r>
    </w:p>
    <w:p>
      <w:pPr>
        <w:pStyle w:val="23"/>
      </w:pPr>
      <w:r>
        <w:t>绩效指标：积极培育政府质量奖企业，获得政府质量奖单位数量不低于1个，制修订地方标准数量不低于20个。</w:t>
      </w:r>
    </w:p>
    <w:p>
      <w:pPr>
        <w:pStyle w:val="23"/>
      </w:pPr>
      <w:r>
        <w:t>3.知识产权与发展水平进一步提高</w:t>
      </w:r>
    </w:p>
    <w:p>
      <w:pPr>
        <w:pStyle w:val="23"/>
      </w:pPr>
      <w:r>
        <w:t>绩效目标：知识产权保护体系更加完善，对商标、专利、地理标志等执法工作稳定开展，维权援助工作有效执行，持续推动知识产权运营服务体系建设，知识产权信息公共服务体系建设更加成熟，知识产权信息传播利用不断增强。</w:t>
      </w:r>
    </w:p>
    <w:p>
      <w:pPr>
        <w:pStyle w:val="23"/>
      </w:pPr>
      <w:r>
        <w:t>绩效指标：年度内组织开展的知识产权宣传普及活动数量大于5次。</w:t>
      </w:r>
    </w:p>
    <w:p>
      <w:pPr>
        <w:pStyle w:val="23"/>
      </w:pPr>
      <w:r>
        <w:t>4.市场监督行政执法进一步增强</w:t>
      </w:r>
    </w:p>
    <w:p>
      <w:pPr>
        <w:pStyle w:val="23"/>
      </w:pPr>
      <w:r>
        <w:t>绩效目标：查处市场主体生产、经营、交易中的有关违法行为和案件进一步提升，组织查办、督查督办、行政复议和协调诉讼水平进一步提高，查处垄断案件、不正当竞争行为，组织指导公平竞争审查，有效监督管理直销企业直销活动，增强打击传销力度。</w:t>
      </w:r>
    </w:p>
    <w:p>
      <w:pPr>
        <w:pStyle w:val="23"/>
      </w:pPr>
      <w:r>
        <w:t>绩效指标：执法案件查处及时100%，对企业行政指导工作次数大于4次。</w:t>
      </w:r>
    </w:p>
    <w:p>
      <w:pPr>
        <w:pStyle w:val="23"/>
      </w:pPr>
      <w:r>
        <w:t>5.市场监督政务管理能力得到提示</w:t>
      </w:r>
    </w:p>
    <w:p>
      <w:pPr>
        <w:pStyle w:val="23"/>
      </w:pPr>
      <w:r>
        <w:t>绩效目标：利用局官网、微信等宣传平台，提示宣传效果，用新闻报道讲好市场监管故事。有效避免重大负面舆情危机。大立开展法制宣传教育，法律服务能力及法制宣传教育进一步提升；技术引进、成果应用工作稳步提高；教育、培训、市场监管文化建设进一步加强，综合保障能力进一步提高。</w:t>
      </w:r>
    </w:p>
    <w:p>
      <w:pPr>
        <w:pStyle w:val="23"/>
      </w:pPr>
      <w:r>
        <w:t>绩效指标：媒体稿件篇数大于15篇。门户网站维护好评率大于90%，设备检修维护次数大于10次。</w:t>
      </w:r>
    </w:p>
    <w:p>
      <w:pPr>
        <w:pStyle w:val="24"/>
      </w:pPr>
      <w:bookmarkStart w:id="20" w:name="_GoBack"/>
      <w:bookmarkEnd w:id="20"/>
      <w:r>
        <w:t>（三）工作保障措施</w:t>
      </w:r>
    </w:p>
    <w:p>
      <w:pPr>
        <w:pStyle w:val="24"/>
      </w:pPr>
      <w:r>
        <w:t>1.认真贯彻落实省、市关于深化“放管服”改革的有关举措。大力推开“四办”工作模式，全面实施“证照分离”改革，统筹推进“多证合一”，完善市场主体退出制度，促进市场主体快速健康发展。</w:t>
      </w:r>
    </w:p>
    <w:p>
      <w:pPr>
        <w:pStyle w:val="24"/>
      </w:pPr>
      <w:r>
        <w:t>2.强化事中事后监管。完善以“双随机、一公开”监管为基本手段、重点监管为补充、信用监管为基础的新型监管机制。加大重点领域监管力度，集中开展反垄断、反不正当竞争、打击侵权假冒、整治虚假违法广告、打击传销等专项行动，加大劣质散煤管控和成品油市场整治力度，深入开展扫黑除恶专项斗争，切实维护社会稳定和良好市场秩序。</w:t>
      </w:r>
    </w:p>
    <w:p>
      <w:pPr>
        <w:pStyle w:val="24"/>
      </w:pPr>
      <w:r>
        <w:t>3.深入实施质量强市战略。认真落实市委市政府《关于开展质量提升行动加快质量强市建设的实施方案》，强化工作考核，完善质量奖惩制度，压实工作责任。深化质量提升专项行动，大力推广先进质量管理方法，培育质量标杆、典型。加强先进制造业、战略性新兴产业、现代化农业、现代服务业、社会管理和公共服务业等标准，以及生态环保、安全生产类标准的制修订工作，建立和完善各领域标准体系。积极推动国家“百城千业万企”对标达标提升行动，抓好技术标准创新族工作。做好标准化资助有关工作。加强标准的实施与推广，充分发挥标椎化示范试点典型示范作用。加快完善适合我市区域经济和产业发展需要的计量科技服务体系，提示计量治理能力。深化质量管理体系认证，加强认证认可监管。</w:t>
      </w:r>
    </w:p>
    <w:p>
      <w:pPr>
        <w:pStyle w:val="24"/>
      </w:pPr>
      <w:r>
        <w:t>4.严格食品药品、特种设备和产品质量安全监管。深入开展食品药品、特种设备、工业产品排查整治。加大特种设备安全监管力度。加强食品、药品、公用产品等质量抽检，有针对性地开展专项整治，严防市场监管领域重大安全事故发生。</w:t>
      </w:r>
    </w:p>
    <w:p>
      <w:pPr>
        <w:pStyle w:val="24"/>
      </w:pPr>
      <w:r>
        <w:t>5.创新消费维权机制。多措并举、勇于创新，探索消费维权新途径12315热线建立“一号式”办理咨询、投诉、举报等服务事项，形成上下联动、横向联通、规范高效的运行机制，实现投诉举报线上线下一体化，及时处理消费者诉求，提高案件办理能力和办案效率，提升群众满意度；拓宽投诉举报渠道，引导消费者通过互联网、微信、支付宝小程序等渠道进行投诉举报；加大3.15消费者权益保护宣传力度，进一步提升12315社会知晓度；推行ODR在线消费纠纷解决机制，创新消费维权途径。加强消费者权益保护法律法规和3.15根据消费者日宣传，持续开展“放心消费”创建活动，推进消费环境社会共治。加强缺陷产品召回行政监管体系建设，抓好缺陷汽车、消费品召回工作。</w:t>
      </w:r>
    </w:p>
    <w:p>
      <w:pPr>
        <w:pStyle w:val="24"/>
      </w:pPr>
      <w:r>
        <w:t>6.提升科技支撑能力。加强信息化建设，整合网络、数据和应用系统，构建市场监管“一体化信息平台”，提升“智慧监管”能力。加强技术能力建设，完善与我市产业发展和区域定位相适应的标准、计量、认可、检验检测保障体系，培训认证监管人员50人，提升基层业务素质水平。</w:t>
      </w:r>
    </w:p>
    <w:p>
      <w:pPr>
        <w:pStyle w:val="24"/>
      </w:pPr>
      <w:r>
        <w:t>7.加强支出管理。通过优化支出结构、编细编实预算、加快履行政府采购手续、尽快启动项目、及时支付资金、按规定及时拨付上级转移资金等多种措施，确保支出进度达标。</w:t>
      </w:r>
    </w:p>
    <w:p>
      <w:pPr>
        <w:pStyle w:val="24"/>
      </w:pPr>
      <w:r>
        <w:t>8.加强绩效运行监控。按要求开展绩效运行监控，发现问题及时采取措施，确保绩效目标如期保质实现。</w:t>
      </w:r>
    </w:p>
    <w:p>
      <w:pPr>
        <w:pStyle w:val="24"/>
      </w:pPr>
      <w:r>
        <w:t>9.做好绩效自评。按要求开展上年度部门预算绩效自评和重点评价工作，对评价中发现的问题及时整改，调整优化支出结构，提高财政资金使用效益。</w:t>
      </w:r>
    </w:p>
    <w:p>
      <w:pPr>
        <w:pStyle w:val="24"/>
      </w:pPr>
      <w:r>
        <w:t>10.规范财务资产管理。完善财务管理制度，严格审批程序，加强固定资产登记、使用和报废处置管理，做到支出合理，物尽其用。</w:t>
      </w:r>
    </w:p>
    <w:p>
      <w:pPr>
        <w:pStyle w:val="24"/>
      </w:pPr>
      <w:r>
        <w:t>11.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12.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1、冀财行【2024】89号-提前下达2025年市场监管补助经费绩效目标表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13018424P00005110001W</w:t>
            </w:r>
          </w:p>
        </w:tc>
        <w:tc>
          <w:tcPr>
            <w:tcW w:w="2835" w:type="dxa"/>
            <w:vAlign w:val="center"/>
          </w:tcPr>
          <w:p>
            <w:pPr>
              <w:pStyle w:val="11"/>
            </w:pPr>
            <w:r>
              <w:t>项目名称</w:t>
            </w:r>
          </w:p>
        </w:tc>
        <w:tc>
          <w:tcPr>
            <w:tcW w:w="6095" w:type="dxa"/>
            <w:gridSpan w:val="3"/>
            <w:vAlign w:val="center"/>
          </w:tcPr>
          <w:p>
            <w:pPr>
              <w:pStyle w:val="13"/>
            </w:pPr>
            <w:r>
              <w:t>冀财行【2024】89号-提前下达2025年市场监管补助经费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用于市场监管相关业务费用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8.75</w:t>
            </w:r>
          </w:p>
        </w:tc>
        <w:tc>
          <w:tcPr>
            <w:tcW w:w="2835" w:type="dxa"/>
            <w:vAlign w:val="center"/>
          </w:tcPr>
          <w:p>
            <w:pPr>
              <w:pStyle w:val="14"/>
            </w:pPr>
            <w:r>
              <w:t>17.50</w:t>
            </w:r>
          </w:p>
        </w:tc>
        <w:tc>
          <w:tcPr>
            <w:tcW w:w="2551" w:type="dxa"/>
            <w:vAlign w:val="center"/>
          </w:tcPr>
          <w:p>
            <w:pPr>
              <w:pStyle w:val="14"/>
            </w:pPr>
            <w:r>
              <w:t>26.25</w:t>
            </w:r>
          </w:p>
        </w:tc>
        <w:tc>
          <w:tcPr>
            <w:tcW w:w="3544" w:type="dxa"/>
            <w:gridSpan w:val="2"/>
            <w:vAlign w:val="center"/>
          </w:tcPr>
          <w:p>
            <w:pPr>
              <w:pStyle w:val="14"/>
            </w:pPr>
            <w:r>
              <w:t>35.00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1.加强基层所标准化建设，提升正规化建设；2、开展特种设备检验检测，确保特种设备安全；3、改善执法装备，提升基层市场监督部门执法能力。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购置执法装备数量</w:t>
            </w:r>
          </w:p>
        </w:tc>
        <w:tc>
          <w:tcPr>
            <w:tcW w:w="5386" w:type="dxa"/>
            <w:vAlign w:val="center"/>
          </w:tcPr>
          <w:p>
            <w:pPr>
              <w:pStyle w:val="13"/>
            </w:pPr>
            <w:r>
              <w:t>购置执法装备数量</w:t>
            </w:r>
          </w:p>
        </w:tc>
        <w:tc>
          <w:tcPr>
            <w:tcW w:w="2268" w:type="dxa"/>
            <w:vAlign w:val="center"/>
          </w:tcPr>
          <w:p>
            <w:pPr>
              <w:pStyle w:val="13"/>
            </w:pPr>
            <w:r>
              <w:t>≥1台</w:t>
            </w:r>
          </w:p>
        </w:tc>
        <w:tc>
          <w:tcPr>
            <w:tcW w:w="1276" w:type="dxa"/>
            <w:vAlign w:val="center"/>
          </w:tcPr>
          <w:p>
            <w:pPr>
              <w:pStyle w:val="13"/>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监管执法计划完成率</w:t>
            </w:r>
          </w:p>
        </w:tc>
        <w:tc>
          <w:tcPr>
            <w:tcW w:w="5386" w:type="dxa"/>
            <w:vAlign w:val="center"/>
          </w:tcPr>
          <w:p>
            <w:pPr>
              <w:pStyle w:val="13"/>
            </w:pPr>
            <w:r>
              <w:t>开展执法行动占总布置行动数比率</w:t>
            </w:r>
          </w:p>
        </w:tc>
        <w:tc>
          <w:tcPr>
            <w:tcW w:w="2268" w:type="dxa"/>
            <w:vAlign w:val="center"/>
          </w:tcPr>
          <w:p>
            <w:pPr>
              <w:pStyle w:val="13"/>
            </w:pPr>
            <w:r>
              <w:t>≥95%</w:t>
            </w:r>
          </w:p>
        </w:tc>
        <w:tc>
          <w:tcPr>
            <w:tcW w:w="1276" w:type="dxa"/>
            <w:vAlign w:val="center"/>
          </w:tcPr>
          <w:p>
            <w:pPr>
              <w:pStyle w:val="13"/>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购置执法装备完成时限、监督执法完成时限</w:t>
            </w:r>
          </w:p>
        </w:tc>
        <w:tc>
          <w:tcPr>
            <w:tcW w:w="5386" w:type="dxa"/>
            <w:vAlign w:val="center"/>
          </w:tcPr>
          <w:p>
            <w:pPr>
              <w:pStyle w:val="13"/>
            </w:pPr>
            <w:r>
              <w:t>购置执法装备完成时限、监督执法完成时限</w:t>
            </w:r>
          </w:p>
        </w:tc>
        <w:tc>
          <w:tcPr>
            <w:tcW w:w="2268" w:type="dxa"/>
            <w:vAlign w:val="center"/>
          </w:tcPr>
          <w:p>
            <w:pPr>
              <w:pStyle w:val="13"/>
            </w:pPr>
            <w:r>
              <w:t>2025年12月31日前</w:t>
            </w:r>
          </w:p>
        </w:tc>
        <w:tc>
          <w:tcPr>
            <w:tcW w:w="1276" w:type="dxa"/>
            <w:vAlign w:val="center"/>
          </w:tcPr>
          <w:p>
            <w:pPr>
              <w:pStyle w:val="13"/>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购置执法装备单价成本</w:t>
            </w:r>
          </w:p>
        </w:tc>
        <w:tc>
          <w:tcPr>
            <w:tcW w:w="5386" w:type="dxa"/>
            <w:vAlign w:val="center"/>
          </w:tcPr>
          <w:p>
            <w:pPr>
              <w:pStyle w:val="13"/>
            </w:pPr>
            <w:r>
              <w:t>购置执法装备单价成本</w:t>
            </w:r>
          </w:p>
        </w:tc>
        <w:tc>
          <w:tcPr>
            <w:tcW w:w="2268" w:type="dxa"/>
            <w:vAlign w:val="center"/>
          </w:tcPr>
          <w:p>
            <w:pPr>
              <w:pStyle w:val="13"/>
            </w:pPr>
            <w:r>
              <w:t>≤10万</w:t>
            </w:r>
          </w:p>
        </w:tc>
        <w:tc>
          <w:tcPr>
            <w:tcW w:w="1276" w:type="dxa"/>
            <w:vAlign w:val="center"/>
          </w:tcPr>
          <w:p>
            <w:pPr>
              <w:pStyle w:val="13"/>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社会反馈意见对市场监管工作满意度</w:t>
            </w:r>
          </w:p>
        </w:tc>
        <w:tc>
          <w:tcPr>
            <w:tcW w:w="5386" w:type="dxa"/>
            <w:vAlign w:val="center"/>
          </w:tcPr>
          <w:p>
            <w:pPr>
              <w:pStyle w:val="13"/>
            </w:pPr>
            <w:r>
              <w:t>社会反馈意见对市场监管工作满意度</w:t>
            </w:r>
          </w:p>
        </w:tc>
        <w:tc>
          <w:tcPr>
            <w:tcW w:w="2268" w:type="dxa"/>
            <w:vAlign w:val="center"/>
          </w:tcPr>
          <w:p>
            <w:pPr>
              <w:pStyle w:val="13"/>
            </w:pPr>
            <w:r>
              <w:t>≥90%</w:t>
            </w:r>
          </w:p>
        </w:tc>
        <w:tc>
          <w:tcPr>
            <w:tcW w:w="1276" w:type="dxa"/>
            <w:vAlign w:val="center"/>
          </w:tcPr>
          <w:p>
            <w:pPr>
              <w:pStyle w:val="13"/>
            </w:pPr>
            <w:r>
              <w:t>相关国家标准及规定</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424新乐市市场监督管理局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20.50</w:t>
            </w:r>
          </w:p>
        </w:tc>
        <w:tc>
          <w:tcPr>
            <w:tcW w:w="964" w:type="dxa"/>
            <w:vAlign w:val="center"/>
          </w:tcPr>
          <w:p>
            <w:pPr>
              <w:pStyle w:val="16"/>
            </w:pPr>
            <w:r>
              <w:t>20.50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新乐市市场监督管理局本级小计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20.50</w:t>
            </w:r>
          </w:p>
        </w:tc>
        <w:tc>
          <w:tcPr>
            <w:tcW w:w="964" w:type="dxa"/>
            <w:vAlign w:val="center"/>
          </w:tcPr>
          <w:p>
            <w:pPr>
              <w:pStyle w:val="16"/>
            </w:pPr>
            <w:r>
              <w:t>20.50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冀财行【2024】89号-提前下达2025年市场监管补助经费</w:t>
            </w:r>
          </w:p>
        </w:tc>
        <w:tc>
          <w:tcPr>
            <w:tcW w:w="964" w:type="dxa"/>
            <w:vAlign w:val="center"/>
          </w:tcPr>
          <w:p>
            <w:pPr>
              <w:pStyle w:val="12"/>
            </w:pPr>
            <w:r>
              <w:t>35.00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13</w:t>
            </w:r>
          </w:p>
        </w:tc>
        <w:tc>
          <w:tcPr>
            <w:tcW w:w="850" w:type="dxa"/>
            <w:vAlign w:val="center"/>
          </w:tcPr>
          <w:p>
            <w:pPr>
              <w:pStyle w:val="12"/>
            </w:pPr>
            <w:r>
              <w:t>0.50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冀财行【2024】89号-提前下达2025年市场监管补助经费</w:t>
            </w:r>
          </w:p>
        </w:tc>
        <w:tc>
          <w:tcPr>
            <w:tcW w:w="964" w:type="dxa"/>
            <w:vAlign w:val="center"/>
          </w:tcPr>
          <w:p>
            <w:pPr>
              <w:pStyle w:val="12"/>
            </w:pPr>
            <w:r>
              <w:t>35.00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9</w:t>
            </w:r>
          </w:p>
        </w:tc>
        <w:tc>
          <w:tcPr>
            <w:tcW w:w="850" w:type="dxa"/>
            <w:vAlign w:val="center"/>
          </w:tcPr>
          <w:p>
            <w:pPr>
              <w:pStyle w:val="12"/>
            </w:pPr>
            <w:r>
              <w:t>0.15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冀财行【2024】89号-提前下达2025年市场监管补助经费</w:t>
            </w:r>
          </w:p>
        </w:tc>
        <w:tc>
          <w:tcPr>
            <w:tcW w:w="964" w:type="dxa"/>
            <w:vAlign w:val="center"/>
          </w:tcPr>
          <w:p>
            <w:pPr>
              <w:pStyle w:val="12"/>
            </w:pPr>
            <w:r>
              <w:t>35.00</w:t>
            </w:r>
          </w:p>
        </w:tc>
        <w:tc>
          <w:tcPr>
            <w:tcW w:w="1134" w:type="dxa"/>
            <w:vAlign w:val="center"/>
          </w:tcPr>
          <w:p>
            <w:pPr>
              <w:pStyle w:val="13"/>
            </w:pPr>
            <w:r>
              <w:t>轿车</w:t>
            </w:r>
          </w:p>
        </w:tc>
        <w:tc>
          <w:tcPr>
            <w:tcW w:w="1134" w:type="dxa"/>
            <w:vAlign w:val="center"/>
          </w:tcPr>
          <w:p>
            <w:pPr>
              <w:pStyle w:val="13"/>
            </w:pPr>
            <w:r>
              <w:t>A02030501</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冀财行【2024】89号-提前下达2025年市场监管补助经费</w:t>
            </w:r>
          </w:p>
        </w:tc>
        <w:tc>
          <w:tcPr>
            <w:tcW w:w="964" w:type="dxa"/>
            <w:vAlign w:val="center"/>
          </w:tcPr>
          <w:p>
            <w:pPr>
              <w:pStyle w:val="12"/>
            </w:pPr>
            <w:r>
              <w:t>35.00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0.27</w:t>
            </w:r>
          </w:p>
        </w:tc>
        <w:tc>
          <w:tcPr>
            <w:tcW w:w="964" w:type="dxa"/>
            <w:vAlign w:val="center"/>
          </w:tcPr>
          <w:p>
            <w:pPr>
              <w:pStyle w:val="12"/>
            </w:pPr>
            <w:r>
              <w:t>2.65</w:t>
            </w:r>
          </w:p>
        </w:tc>
        <w:tc>
          <w:tcPr>
            <w:tcW w:w="964" w:type="dxa"/>
            <w:vAlign w:val="center"/>
          </w:tcPr>
          <w:p>
            <w:pPr>
              <w:pStyle w:val="12"/>
            </w:pPr>
            <w:r>
              <w:t>2.65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新乐市市场监督管理局（含所属单位）上年末固定资产金额为1625.29万元（详见下表）。本年度拟购置固定资产总额为24.50万元，已按要求列入政府采购预算，详见政府采购预算表。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424新乐市市场监督管理局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1625.29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11697.78</w:t>
            </w:r>
          </w:p>
        </w:tc>
        <w:tc>
          <w:tcPr>
            <w:tcW w:w="2835" w:type="dxa"/>
            <w:vAlign w:val="center"/>
          </w:tcPr>
          <w:p>
            <w:pPr>
              <w:pStyle w:val="12"/>
            </w:pPr>
            <w:r>
              <w:t>713.78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10305.77</w:t>
            </w:r>
          </w:p>
        </w:tc>
        <w:tc>
          <w:tcPr>
            <w:tcW w:w="2835" w:type="dxa"/>
            <w:vAlign w:val="center"/>
          </w:tcPr>
          <w:p>
            <w:pPr>
              <w:pStyle w:val="12"/>
            </w:pPr>
            <w:r>
              <w:t>634.99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23</w:t>
            </w:r>
          </w:p>
        </w:tc>
        <w:tc>
          <w:tcPr>
            <w:tcW w:w="2835" w:type="dxa"/>
            <w:vAlign w:val="center"/>
          </w:tcPr>
          <w:p>
            <w:pPr>
              <w:pStyle w:val="12"/>
            </w:pPr>
            <w:r>
              <w:t>237.84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673.67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AD968B"/>
    <w:multiLevelType w:val="singleLevel"/>
    <w:tmpl w:val="F4AD968B"/>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1868C3"/>
    <w:rsid w:val="0DB51C8D"/>
    <w:rsid w:val="50DC10E3"/>
    <w:rsid w:val="5C923D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11092</Words>
  <Characters>13523</Characters>
  <Lines>0</Lines>
  <Paragraphs>0</Paragraphs>
  <TotalTime>1</TotalTime>
  <ScaleCrop>false</ScaleCrop>
  <LinksUpToDate>false</LinksUpToDate>
  <CharactersWithSpaces>13726</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2025-09-10T15:03:00Z</dcterms:created>
  <dc:creator>Administrator</dc:creator>
  <cp:lastModifiedBy>.卜.</cp:lastModifiedBy>
  <dcterms:modified xsi:type="dcterms:W3CDTF">2025-09-10T07:52:41Z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DE4B7BE4016F4089A879913CA85B31B5</vt:lpwstr>
  </property>
</Properties>
</file>