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801新乐市数据和政务服务局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688.56</w:t>
            </w:r>
          </w:p>
        </w:tc>
        <w:tc>
          <w:tcPr>
            <w:tcW w:w="4535" w:type="dxa"/>
            <w:vAlign w:val="center"/>
          </w:tcPr>
          <w:p>
            <w:pPr>
              <w:pStyle w:val="13"/>
            </w:pPr>
            <w:r>
              <w:t>一、一般公共服务支出</w:t>
            </w:r>
          </w:p>
        </w:tc>
        <w:tc>
          <w:tcPr>
            <w:tcW w:w="2126" w:type="dxa"/>
            <w:vAlign w:val="center"/>
          </w:tcPr>
          <w:p>
            <w:pPr>
              <w:pStyle w:val="12"/>
            </w:pPr>
            <w:r>
              <w:t>505.40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688.56</w:t>
            </w:r>
          </w:p>
        </w:tc>
        <w:tc>
          <w:tcPr>
            <w:tcW w:w="4535" w:type="dxa"/>
            <w:vAlign w:val="center"/>
          </w:tcPr>
          <w:p>
            <w:pPr>
              <w:pStyle w:val="15"/>
            </w:pPr>
            <w:r>
              <w:t>本年支出合计</w:t>
            </w:r>
          </w:p>
        </w:tc>
        <w:tc>
          <w:tcPr>
            <w:tcW w:w="2126" w:type="dxa"/>
            <w:vAlign w:val="center"/>
          </w:tcPr>
          <w:p>
            <w:pPr>
              <w:pStyle w:val="16"/>
            </w:pPr>
            <w:r>
              <w:t>688.56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688.56</w:t>
            </w:r>
          </w:p>
        </w:tc>
        <w:tc>
          <w:tcPr>
            <w:tcW w:w="4535" w:type="dxa"/>
            <w:vAlign w:val="center"/>
          </w:tcPr>
          <w:p>
            <w:pPr>
              <w:pStyle w:val="15"/>
            </w:pPr>
            <w:r>
              <w:t>支出总计</w:t>
            </w:r>
          </w:p>
        </w:tc>
        <w:tc>
          <w:tcPr>
            <w:tcW w:w="2126" w:type="dxa"/>
            <w:vAlign w:val="center"/>
          </w:tcPr>
          <w:p>
            <w:pPr>
              <w:pStyle w:val="16"/>
            </w:pPr>
            <w:r>
              <w:t>688.56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801新乐市数据和政务服务局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688.56</w:t>
            </w:r>
          </w:p>
        </w:tc>
        <w:tc>
          <w:tcPr>
            <w:tcW w:w="1134" w:type="dxa"/>
            <w:vAlign w:val="center"/>
          </w:tcPr>
          <w:p>
            <w:pPr>
              <w:pStyle w:val="16"/>
            </w:pPr>
            <w:r>
              <w:t>688.56</w:t>
            </w:r>
          </w:p>
        </w:tc>
        <w:tc>
          <w:tcPr>
            <w:tcW w:w="1134" w:type="dxa"/>
            <w:vAlign w:val="center"/>
          </w:tcPr>
          <w:p>
            <w:pPr>
              <w:pStyle w:val="16"/>
            </w:pPr>
            <w:r>
              <w:t>688.56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505.40</w:t>
            </w:r>
          </w:p>
        </w:tc>
        <w:tc>
          <w:tcPr>
            <w:tcW w:w="1134" w:type="dxa"/>
            <w:vAlign w:val="center"/>
          </w:tcPr>
          <w:p>
            <w:pPr>
              <w:pStyle w:val="12"/>
            </w:pPr>
            <w:r>
              <w:t>505.40</w:t>
            </w:r>
          </w:p>
        </w:tc>
        <w:tc>
          <w:tcPr>
            <w:tcW w:w="1134" w:type="dxa"/>
            <w:vAlign w:val="center"/>
          </w:tcPr>
          <w:p>
            <w:pPr>
              <w:pStyle w:val="12"/>
            </w:pPr>
            <w:r>
              <w:t>505.40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505.40</w:t>
            </w:r>
          </w:p>
        </w:tc>
        <w:tc>
          <w:tcPr>
            <w:tcW w:w="1134" w:type="dxa"/>
            <w:vAlign w:val="center"/>
          </w:tcPr>
          <w:p>
            <w:pPr>
              <w:pStyle w:val="12"/>
            </w:pPr>
            <w:r>
              <w:t>505.40</w:t>
            </w:r>
          </w:p>
        </w:tc>
        <w:tc>
          <w:tcPr>
            <w:tcW w:w="1134" w:type="dxa"/>
            <w:vAlign w:val="center"/>
          </w:tcPr>
          <w:p>
            <w:pPr>
              <w:pStyle w:val="12"/>
            </w:pPr>
            <w:r>
              <w:t>505.40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505.40</w:t>
            </w:r>
          </w:p>
        </w:tc>
        <w:tc>
          <w:tcPr>
            <w:tcW w:w="1134" w:type="dxa"/>
            <w:vAlign w:val="center"/>
          </w:tcPr>
          <w:p>
            <w:pPr>
              <w:pStyle w:val="12"/>
            </w:pPr>
            <w:r>
              <w:t>505.40</w:t>
            </w:r>
          </w:p>
        </w:tc>
        <w:tc>
          <w:tcPr>
            <w:tcW w:w="1134" w:type="dxa"/>
            <w:vAlign w:val="center"/>
          </w:tcPr>
          <w:p>
            <w:pPr>
              <w:pStyle w:val="12"/>
            </w:pPr>
            <w:r>
              <w:t>505.40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94.96</w:t>
            </w:r>
          </w:p>
        </w:tc>
        <w:tc>
          <w:tcPr>
            <w:tcW w:w="1134" w:type="dxa"/>
            <w:vAlign w:val="center"/>
          </w:tcPr>
          <w:p>
            <w:pPr>
              <w:pStyle w:val="12"/>
            </w:pPr>
            <w:r>
              <w:t>94.96</w:t>
            </w:r>
          </w:p>
        </w:tc>
        <w:tc>
          <w:tcPr>
            <w:tcW w:w="1134" w:type="dxa"/>
            <w:vAlign w:val="center"/>
          </w:tcPr>
          <w:p>
            <w:pPr>
              <w:pStyle w:val="12"/>
            </w:pPr>
            <w:r>
              <w:t>94.96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86.55</w:t>
            </w:r>
          </w:p>
        </w:tc>
        <w:tc>
          <w:tcPr>
            <w:tcW w:w="1134" w:type="dxa"/>
            <w:vAlign w:val="center"/>
          </w:tcPr>
          <w:p>
            <w:pPr>
              <w:pStyle w:val="12"/>
            </w:pPr>
            <w:r>
              <w:t>86.55</w:t>
            </w:r>
          </w:p>
        </w:tc>
        <w:tc>
          <w:tcPr>
            <w:tcW w:w="1134" w:type="dxa"/>
            <w:vAlign w:val="center"/>
          </w:tcPr>
          <w:p>
            <w:pPr>
              <w:pStyle w:val="12"/>
            </w:pPr>
            <w:r>
              <w:t>86.55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1.81</w:t>
            </w:r>
          </w:p>
        </w:tc>
        <w:tc>
          <w:tcPr>
            <w:tcW w:w="1134" w:type="dxa"/>
            <w:vAlign w:val="center"/>
          </w:tcPr>
          <w:p>
            <w:pPr>
              <w:pStyle w:val="12"/>
            </w:pPr>
            <w:r>
              <w:t>1.81</w:t>
            </w:r>
          </w:p>
        </w:tc>
        <w:tc>
          <w:tcPr>
            <w:tcW w:w="1134" w:type="dxa"/>
            <w:vAlign w:val="center"/>
          </w:tcPr>
          <w:p>
            <w:pPr>
              <w:pStyle w:val="12"/>
            </w:pPr>
            <w:r>
              <w:t>1.81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77.94</w:t>
            </w:r>
          </w:p>
        </w:tc>
        <w:tc>
          <w:tcPr>
            <w:tcW w:w="1134" w:type="dxa"/>
            <w:vAlign w:val="center"/>
          </w:tcPr>
          <w:p>
            <w:pPr>
              <w:pStyle w:val="12"/>
            </w:pPr>
            <w:r>
              <w:t>77.94</w:t>
            </w:r>
          </w:p>
        </w:tc>
        <w:tc>
          <w:tcPr>
            <w:tcW w:w="1134" w:type="dxa"/>
            <w:vAlign w:val="center"/>
          </w:tcPr>
          <w:p>
            <w:pPr>
              <w:pStyle w:val="12"/>
            </w:pPr>
            <w:r>
              <w:t>77.94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6.80</w:t>
            </w:r>
          </w:p>
        </w:tc>
        <w:tc>
          <w:tcPr>
            <w:tcW w:w="1134" w:type="dxa"/>
            <w:vAlign w:val="center"/>
          </w:tcPr>
          <w:p>
            <w:pPr>
              <w:pStyle w:val="12"/>
            </w:pPr>
            <w:r>
              <w:t>6.80</w:t>
            </w:r>
          </w:p>
        </w:tc>
        <w:tc>
          <w:tcPr>
            <w:tcW w:w="1134" w:type="dxa"/>
            <w:vAlign w:val="center"/>
          </w:tcPr>
          <w:p>
            <w:pPr>
              <w:pStyle w:val="12"/>
            </w:pPr>
            <w:r>
              <w:t>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1.53</w:t>
            </w:r>
          </w:p>
        </w:tc>
        <w:tc>
          <w:tcPr>
            <w:tcW w:w="1134" w:type="dxa"/>
            <w:vAlign w:val="center"/>
          </w:tcPr>
          <w:p>
            <w:pPr>
              <w:pStyle w:val="12"/>
            </w:pPr>
            <w:r>
              <w:t>1.53</w:t>
            </w:r>
          </w:p>
        </w:tc>
        <w:tc>
          <w:tcPr>
            <w:tcW w:w="1134" w:type="dxa"/>
            <w:vAlign w:val="center"/>
          </w:tcPr>
          <w:p>
            <w:pPr>
              <w:pStyle w:val="12"/>
            </w:pPr>
            <w:r>
              <w:t>1.53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1.53</w:t>
            </w:r>
          </w:p>
        </w:tc>
        <w:tc>
          <w:tcPr>
            <w:tcW w:w="1134" w:type="dxa"/>
            <w:vAlign w:val="center"/>
          </w:tcPr>
          <w:p>
            <w:pPr>
              <w:pStyle w:val="12"/>
            </w:pPr>
            <w:r>
              <w:t>1.53</w:t>
            </w:r>
          </w:p>
        </w:tc>
        <w:tc>
          <w:tcPr>
            <w:tcW w:w="1134" w:type="dxa"/>
            <w:vAlign w:val="center"/>
          </w:tcPr>
          <w:p>
            <w:pPr>
              <w:pStyle w:val="12"/>
            </w:pPr>
            <w:r>
              <w:t>1.53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6.88</w:t>
            </w:r>
          </w:p>
        </w:tc>
        <w:tc>
          <w:tcPr>
            <w:tcW w:w="1134" w:type="dxa"/>
            <w:vAlign w:val="center"/>
          </w:tcPr>
          <w:p>
            <w:pPr>
              <w:pStyle w:val="12"/>
            </w:pPr>
            <w:r>
              <w:t>6.88</w:t>
            </w:r>
          </w:p>
        </w:tc>
        <w:tc>
          <w:tcPr>
            <w:tcW w:w="1134" w:type="dxa"/>
            <w:vAlign w:val="center"/>
          </w:tcPr>
          <w:p>
            <w:pPr>
              <w:pStyle w:val="12"/>
            </w:pPr>
            <w:r>
              <w:t>6.88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6.88</w:t>
            </w:r>
          </w:p>
        </w:tc>
        <w:tc>
          <w:tcPr>
            <w:tcW w:w="1134" w:type="dxa"/>
            <w:vAlign w:val="center"/>
          </w:tcPr>
          <w:p>
            <w:pPr>
              <w:pStyle w:val="12"/>
            </w:pPr>
            <w:r>
              <w:t>6.88</w:t>
            </w:r>
          </w:p>
        </w:tc>
        <w:tc>
          <w:tcPr>
            <w:tcW w:w="1134" w:type="dxa"/>
            <w:vAlign w:val="center"/>
          </w:tcPr>
          <w:p>
            <w:pPr>
              <w:pStyle w:val="12"/>
            </w:pPr>
            <w:r>
              <w:t>6.88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43.20</w:t>
            </w:r>
          </w:p>
        </w:tc>
        <w:tc>
          <w:tcPr>
            <w:tcW w:w="1134" w:type="dxa"/>
            <w:vAlign w:val="center"/>
          </w:tcPr>
          <w:p>
            <w:pPr>
              <w:pStyle w:val="12"/>
            </w:pPr>
            <w:r>
              <w:t>43.20</w:t>
            </w:r>
          </w:p>
        </w:tc>
        <w:tc>
          <w:tcPr>
            <w:tcW w:w="1134" w:type="dxa"/>
            <w:vAlign w:val="center"/>
          </w:tcPr>
          <w:p>
            <w:pPr>
              <w:pStyle w:val="12"/>
            </w:pPr>
            <w:r>
              <w:t>43.20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43.20</w:t>
            </w:r>
          </w:p>
        </w:tc>
        <w:tc>
          <w:tcPr>
            <w:tcW w:w="1134" w:type="dxa"/>
            <w:vAlign w:val="center"/>
          </w:tcPr>
          <w:p>
            <w:pPr>
              <w:pStyle w:val="12"/>
            </w:pPr>
            <w:r>
              <w:t>43.20</w:t>
            </w:r>
          </w:p>
        </w:tc>
        <w:tc>
          <w:tcPr>
            <w:tcW w:w="1134" w:type="dxa"/>
            <w:vAlign w:val="center"/>
          </w:tcPr>
          <w:p>
            <w:pPr>
              <w:pStyle w:val="12"/>
            </w:pPr>
            <w:r>
              <w:t>43.20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43.20</w:t>
            </w:r>
          </w:p>
        </w:tc>
        <w:tc>
          <w:tcPr>
            <w:tcW w:w="1134" w:type="dxa"/>
            <w:vAlign w:val="center"/>
          </w:tcPr>
          <w:p>
            <w:pPr>
              <w:pStyle w:val="12"/>
            </w:pPr>
            <w:r>
              <w:t>43.20</w:t>
            </w:r>
          </w:p>
        </w:tc>
        <w:tc>
          <w:tcPr>
            <w:tcW w:w="1134" w:type="dxa"/>
            <w:vAlign w:val="center"/>
          </w:tcPr>
          <w:p>
            <w:pPr>
              <w:pStyle w:val="12"/>
            </w:pPr>
            <w:r>
              <w:t>43.20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688.56</w:t>
            </w:r>
          </w:p>
        </w:tc>
        <w:tc>
          <w:tcPr>
            <w:tcW w:w="1361" w:type="dxa"/>
            <w:vAlign w:val="center"/>
          </w:tcPr>
          <w:p>
            <w:pPr>
              <w:pStyle w:val="16"/>
            </w:pPr>
            <w:r>
              <w:t>688.56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505.40</w:t>
            </w:r>
          </w:p>
        </w:tc>
        <w:tc>
          <w:tcPr>
            <w:tcW w:w="1361" w:type="dxa"/>
            <w:vAlign w:val="center"/>
          </w:tcPr>
          <w:p>
            <w:pPr>
              <w:pStyle w:val="12"/>
            </w:pPr>
            <w:r>
              <w:t>505.40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505.40</w:t>
            </w:r>
          </w:p>
        </w:tc>
        <w:tc>
          <w:tcPr>
            <w:tcW w:w="1361" w:type="dxa"/>
            <w:vAlign w:val="center"/>
          </w:tcPr>
          <w:p>
            <w:pPr>
              <w:pStyle w:val="12"/>
            </w:pPr>
            <w:r>
              <w:t>505.40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505.40</w:t>
            </w:r>
          </w:p>
        </w:tc>
        <w:tc>
          <w:tcPr>
            <w:tcW w:w="1361" w:type="dxa"/>
            <w:vAlign w:val="center"/>
          </w:tcPr>
          <w:p>
            <w:pPr>
              <w:pStyle w:val="12"/>
            </w:pPr>
            <w:r>
              <w:t>505.40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94.96</w:t>
            </w:r>
          </w:p>
        </w:tc>
        <w:tc>
          <w:tcPr>
            <w:tcW w:w="1361" w:type="dxa"/>
            <w:vAlign w:val="center"/>
          </w:tcPr>
          <w:p>
            <w:pPr>
              <w:pStyle w:val="12"/>
            </w:pPr>
            <w:r>
              <w:t>94.96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86.55</w:t>
            </w:r>
          </w:p>
        </w:tc>
        <w:tc>
          <w:tcPr>
            <w:tcW w:w="1361" w:type="dxa"/>
            <w:vAlign w:val="center"/>
          </w:tcPr>
          <w:p>
            <w:pPr>
              <w:pStyle w:val="12"/>
            </w:pPr>
            <w:r>
              <w:t>86.55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1.81</w:t>
            </w:r>
          </w:p>
        </w:tc>
        <w:tc>
          <w:tcPr>
            <w:tcW w:w="1361" w:type="dxa"/>
            <w:vAlign w:val="center"/>
          </w:tcPr>
          <w:p>
            <w:pPr>
              <w:pStyle w:val="12"/>
            </w:pPr>
            <w:r>
              <w:t>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77.94</w:t>
            </w:r>
          </w:p>
        </w:tc>
        <w:tc>
          <w:tcPr>
            <w:tcW w:w="1361" w:type="dxa"/>
            <w:vAlign w:val="center"/>
          </w:tcPr>
          <w:p>
            <w:pPr>
              <w:pStyle w:val="12"/>
            </w:pPr>
            <w:r>
              <w:t>77.94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6.80</w:t>
            </w:r>
          </w:p>
        </w:tc>
        <w:tc>
          <w:tcPr>
            <w:tcW w:w="1361" w:type="dxa"/>
            <w:vAlign w:val="center"/>
          </w:tcPr>
          <w:p>
            <w:pPr>
              <w:pStyle w:val="12"/>
            </w:pPr>
            <w:r>
              <w:t>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1.53</w:t>
            </w:r>
          </w:p>
        </w:tc>
        <w:tc>
          <w:tcPr>
            <w:tcW w:w="1361" w:type="dxa"/>
            <w:vAlign w:val="center"/>
          </w:tcPr>
          <w:p>
            <w:pPr>
              <w:pStyle w:val="12"/>
            </w:pPr>
            <w:r>
              <w:t>1.53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1.53</w:t>
            </w:r>
          </w:p>
        </w:tc>
        <w:tc>
          <w:tcPr>
            <w:tcW w:w="1361" w:type="dxa"/>
            <w:vAlign w:val="center"/>
          </w:tcPr>
          <w:p>
            <w:pPr>
              <w:pStyle w:val="12"/>
            </w:pPr>
            <w:r>
              <w:t>1.53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6.88</w:t>
            </w:r>
          </w:p>
        </w:tc>
        <w:tc>
          <w:tcPr>
            <w:tcW w:w="1361" w:type="dxa"/>
            <w:vAlign w:val="center"/>
          </w:tcPr>
          <w:p>
            <w:pPr>
              <w:pStyle w:val="12"/>
            </w:pPr>
            <w:r>
              <w:t>6.88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6.88</w:t>
            </w:r>
          </w:p>
        </w:tc>
        <w:tc>
          <w:tcPr>
            <w:tcW w:w="1361" w:type="dxa"/>
            <w:vAlign w:val="center"/>
          </w:tcPr>
          <w:p>
            <w:pPr>
              <w:pStyle w:val="12"/>
            </w:pPr>
            <w:r>
              <w:t>6.88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43.20</w:t>
            </w:r>
          </w:p>
        </w:tc>
        <w:tc>
          <w:tcPr>
            <w:tcW w:w="1361" w:type="dxa"/>
            <w:vAlign w:val="center"/>
          </w:tcPr>
          <w:p>
            <w:pPr>
              <w:pStyle w:val="12"/>
            </w:pPr>
            <w:r>
              <w:t>43.20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43.20</w:t>
            </w:r>
          </w:p>
        </w:tc>
        <w:tc>
          <w:tcPr>
            <w:tcW w:w="1361" w:type="dxa"/>
            <w:vAlign w:val="center"/>
          </w:tcPr>
          <w:p>
            <w:pPr>
              <w:pStyle w:val="12"/>
            </w:pPr>
            <w:r>
              <w:t>43.20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43.20</w:t>
            </w:r>
          </w:p>
        </w:tc>
        <w:tc>
          <w:tcPr>
            <w:tcW w:w="1361" w:type="dxa"/>
            <w:vAlign w:val="center"/>
          </w:tcPr>
          <w:p>
            <w:pPr>
              <w:pStyle w:val="12"/>
            </w:pPr>
            <w:r>
              <w:t>43.20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688.56</w:t>
            </w:r>
          </w:p>
        </w:tc>
        <w:tc>
          <w:tcPr>
            <w:tcW w:w="3402" w:type="dxa"/>
            <w:vAlign w:val="center"/>
          </w:tcPr>
          <w:p>
            <w:pPr>
              <w:pStyle w:val="13"/>
            </w:pPr>
            <w:r>
              <w:t>一、一般公共服务支出</w:t>
            </w:r>
          </w:p>
        </w:tc>
        <w:tc>
          <w:tcPr>
            <w:tcW w:w="1474" w:type="dxa"/>
            <w:vAlign w:val="center"/>
          </w:tcPr>
          <w:p>
            <w:pPr>
              <w:pStyle w:val="12"/>
            </w:pPr>
            <w:r>
              <w:t>505.40</w:t>
            </w:r>
          </w:p>
        </w:tc>
        <w:tc>
          <w:tcPr>
            <w:tcW w:w="1474" w:type="dxa"/>
            <w:vAlign w:val="center"/>
          </w:tcPr>
          <w:p>
            <w:pPr>
              <w:pStyle w:val="12"/>
            </w:pPr>
            <w:r>
              <w:t>505.40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94.96</w:t>
            </w:r>
          </w:p>
        </w:tc>
        <w:tc>
          <w:tcPr>
            <w:tcW w:w="1474" w:type="dxa"/>
            <w:vAlign w:val="center"/>
          </w:tcPr>
          <w:p>
            <w:pPr>
              <w:pStyle w:val="12"/>
            </w:pPr>
            <w:r>
              <w:t>94.96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43.20</w:t>
            </w:r>
          </w:p>
        </w:tc>
        <w:tc>
          <w:tcPr>
            <w:tcW w:w="1474" w:type="dxa"/>
            <w:vAlign w:val="center"/>
          </w:tcPr>
          <w:p>
            <w:pPr>
              <w:pStyle w:val="12"/>
            </w:pPr>
            <w:r>
              <w:t>43.20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45.00</w:t>
            </w:r>
          </w:p>
        </w:tc>
        <w:tc>
          <w:tcPr>
            <w:tcW w:w="1474" w:type="dxa"/>
            <w:vAlign w:val="center"/>
          </w:tcPr>
          <w:p>
            <w:pPr>
              <w:pStyle w:val="12"/>
            </w:pPr>
            <w:r>
              <w:t>45.00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688.56</w:t>
            </w:r>
          </w:p>
        </w:tc>
        <w:tc>
          <w:tcPr>
            <w:tcW w:w="3402" w:type="dxa"/>
            <w:vAlign w:val="center"/>
          </w:tcPr>
          <w:p>
            <w:pPr>
              <w:pStyle w:val="15"/>
            </w:pPr>
            <w:r>
              <w:t>本年支出合计</w:t>
            </w:r>
          </w:p>
        </w:tc>
        <w:tc>
          <w:tcPr>
            <w:tcW w:w="1474" w:type="dxa"/>
            <w:vAlign w:val="center"/>
          </w:tcPr>
          <w:p>
            <w:pPr>
              <w:pStyle w:val="16"/>
            </w:pPr>
            <w:r>
              <w:t>688.56</w:t>
            </w:r>
          </w:p>
        </w:tc>
        <w:tc>
          <w:tcPr>
            <w:tcW w:w="1474" w:type="dxa"/>
            <w:vAlign w:val="center"/>
          </w:tcPr>
          <w:p>
            <w:pPr>
              <w:pStyle w:val="16"/>
            </w:pPr>
            <w:r>
              <w:t>688.56</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688.56</w:t>
            </w:r>
          </w:p>
        </w:tc>
        <w:tc>
          <w:tcPr>
            <w:tcW w:w="3402" w:type="dxa"/>
            <w:vAlign w:val="center"/>
          </w:tcPr>
          <w:p>
            <w:pPr>
              <w:pStyle w:val="15"/>
            </w:pPr>
            <w:r>
              <w:t>支出总计</w:t>
            </w:r>
          </w:p>
        </w:tc>
        <w:tc>
          <w:tcPr>
            <w:tcW w:w="1474" w:type="dxa"/>
            <w:vAlign w:val="center"/>
          </w:tcPr>
          <w:p>
            <w:pPr>
              <w:pStyle w:val="16"/>
            </w:pPr>
            <w:r>
              <w:t>688.56</w:t>
            </w:r>
          </w:p>
        </w:tc>
        <w:tc>
          <w:tcPr>
            <w:tcW w:w="1474" w:type="dxa"/>
            <w:vAlign w:val="center"/>
          </w:tcPr>
          <w:p>
            <w:pPr>
              <w:pStyle w:val="16"/>
            </w:pPr>
            <w:r>
              <w:t>688.56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688.56</w:t>
            </w:r>
          </w:p>
        </w:tc>
        <w:tc>
          <w:tcPr>
            <w:tcW w:w="2551" w:type="dxa"/>
            <w:vAlign w:val="center"/>
          </w:tcPr>
          <w:p>
            <w:pPr>
              <w:pStyle w:val="16"/>
            </w:pPr>
            <w:r>
              <w:t>688.56</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505.40</w:t>
            </w:r>
          </w:p>
        </w:tc>
        <w:tc>
          <w:tcPr>
            <w:tcW w:w="2551" w:type="dxa"/>
            <w:vAlign w:val="center"/>
          </w:tcPr>
          <w:p>
            <w:pPr>
              <w:pStyle w:val="12"/>
            </w:pPr>
            <w:r>
              <w:t>505.40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505.40</w:t>
            </w:r>
          </w:p>
        </w:tc>
        <w:tc>
          <w:tcPr>
            <w:tcW w:w="2551" w:type="dxa"/>
            <w:vAlign w:val="center"/>
          </w:tcPr>
          <w:p>
            <w:pPr>
              <w:pStyle w:val="12"/>
            </w:pPr>
            <w:r>
              <w:t>505.40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505.40</w:t>
            </w:r>
          </w:p>
        </w:tc>
        <w:tc>
          <w:tcPr>
            <w:tcW w:w="2551" w:type="dxa"/>
            <w:vAlign w:val="center"/>
          </w:tcPr>
          <w:p>
            <w:pPr>
              <w:pStyle w:val="12"/>
            </w:pPr>
            <w:r>
              <w:t>505.40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94.96</w:t>
            </w:r>
          </w:p>
        </w:tc>
        <w:tc>
          <w:tcPr>
            <w:tcW w:w="2551" w:type="dxa"/>
            <w:vAlign w:val="center"/>
          </w:tcPr>
          <w:p>
            <w:pPr>
              <w:pStyle w:val="12"/>
            </w:pPr>
            <w:r>
              <w:t>94.96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86.55</w:t>
            </w:r>
          </w:p>
        </w:tc>
        <w:tc>
          <w:tcPr>
            <w:tcW w:w="2551" w:type="dxa"/>
            <w:vAlign w:val="center"/>
          </w:tcPr>
          <w:p>
            <w:pPr>
              <w:pStyle w:val="12"/>
            </w:pPr>
            <w:r>
              <w:t>86.55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1.81</w:t>
            </w:r>
          </w:p>
        </w:tc>
        <w:tc>
          <w:tcPr>
            <w:tcW w:w="2551" w:type="dxa"/>
            <w:vAlign w:val="center"/>
          </w:tcPr>
          <w:p>
            <w:pPr>
              <w:pStyle w:val="12"/>
            </w:pPr>
            <w:r>
              <w:t>1.81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77.94</w:t>
            </w:r>
          </w:p>
        </w:tc>
        <w:tc>
          <w:tcPr>
            <w:tcW w:w="2551" w:type="dxa"/>
            <w:vAlign w:val="center"/>
          </w:tcPr>
          <w:p>
            <w:pPr>
              <w:pStyle w:val="12"/>
            </w:pPr>
            <w:r>
              <w:t>77.94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6.80</w:t>
            </w:r>
          </w:p>
        </w:tc>
        <w:tc>
          <w:tcPr>
            <w:tcW w:w="2551" w:type="dxa"/>
            <w:vAlign w:val="center"/>
          </w:tcPr>
          <w:p>
            <w:pPr>
              <w:pStyle w:val="12"/>
            </w:pPr>
            <w:r>
              <w:t>6.80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1.53</w:t>
            </w:r>
          </w:p>
        </w:tc>
        <w:tc>
          <w:tcPr>
            <w:tcW w:w="2551" w:type="dxa"/>
            <w:vAlign w:val="center"/>
          </w:tcPr>
          <w:p>
            <w:pPr>
              <w:pStyle w:val="12"/>
            </w:pPr>
            <w:r>
              <w:t>1.53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1.53</w:t>
            </w:r>
          </w:p>
        </w:tc>
        <w:tc>
          <w:tcPr>
            <w:tcW w:w="2551" w:type="dxa"/>
            <w:vAlign w:val="center"/>
          </w:tcPr>
          <w:p>
            <w:pPr>
              <w:pStyle w:val="12"/>
            </w:pPr>
            <w:r>
              <w:t>1.53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6.88</w:t>
            </w:r>
          </w:p>
        </w:tc>
        <w:tc>
          <w:tcPr>
            <w:tcW w:w="2551" w:type="dxa"/>
            <w:vAlign w:val="center"/>
          </w:tcPr>
          <w:p>
            <w:pPr>
              <w:pStyle w:val="12"/>
            </w:pPr>
            <w:r>
              <w:t>6.88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6.88</w:t>
            </w:r>
          </w:p>
        </w:tc>
        <w:tc>
          <w:tcPr>
            <w:tcW w:w="2551" w:type="dxa"/>
            <w:vAlign w:val="center"/>
          </w:tcPr>
          <w:p>
            <w:pPr>
              <w:pStyle w:val="12"/>
            </w:pPr>
            <w:r>
              <w:t>6.88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43.20</w:t>
            </w:r>
          </w:p>
        </w:tc>
        <w:tc>
          <w:tcPr>
            <w:tcW w:w="2551" w:type="dxa"/>
            <w:vAlign w:val="center"/>
          </w:tcPr>
          <w:p>
            <w:pPr>
              <w:pStyle w:val="12"/>
            </w:pPr>
            <w:r>
              <w:t>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43.20</w:t>
            </w:r>
          </w:p>
        </w:tc>
        <w:tc>
          <w:tcPr>
            <w:tcW w:w="2551" w:type="dxa"/>
            <w:vAlign w:val="center"/>
          </w:tcPr>
          <w:p>
            <w:pPr>
              <w:pStyle w:val="12"/>
            </w:pPr>
            <w:r>
              <w:t>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43.20</w:t>
            </w:r>
          </w:p>
        </w:tc>
        <w:tc>
          <w:tcPr>
            <w:tcW w:w="2551" w:type="dxa"/>
            <w:vAlign w:val="center"/>
          </w:tcPr>
          <w:p>
            <w:pPr>
              <w:pStyle w:val="12"/>
            </w:pPr>
            <w:r>
              <w:t>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688.56</w:t>
            </w:r>
          </w:p>
        </w:tc>
        <w:tc>
          <w:tcPr>
            <w:tcW w:w="2551" w:type="dxa"/>
            <w:vAlign w:val="center"/>
          </w:tcPr>
          <w:p>
            <w:pPr>
              <w:pStyle w:val="16"/>
            </w:pPr>
            <w:r>
              <w:t>633.62</w:t>
            </w:r>
          </w:p>
        </w:tc>
        <w:tc>
          <w:tcPr>
            <w:tcW w:w="2551" w:type="dxa"/>
            <w:vAlign w:val="center"/>
          </w:tcPr>
          <w:p>
            <w:pPr>
              <w:pStyle w:val="16"/>
            </w:pPr>
            <w:r>
              <w:t>54.94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630.28</w:t>
            </w:r>
          </w:p>
        </w:tc>
        <w:tc>
          <w:tcPr>
            <w:tcW w:w="2551" w:type="dxa"/>
            <w:vAlign w:val="center"/>
          </w:tcPr>
          <w:p>
            <w:pPr>
              <w:pStyle w:val="12"/>
            </w:pPr>
            <w:r>
              <w:t>630.28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267.71</w:t>
            </w:r>
          </w:p>
        </w:tc>
        <w:tc>
          <w:tcPr>
            <w:tcW w:w="2551" w:type="dxa"/>
            <w:vAlign w:val="center"/>
          </w:tcPr>
          <w:p>
            <w:pPr>
              <w:pStyle w:val="12"/>
            </w:pPr>
            <w:r>
              <w:t>267.71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67.50</w:t>
            </w:r>
          </w:p>
        </w:tc>
        <w:tc>
          <w:tcPr>
            <w:tcW w:w="2551" w:type="dxa"/>
            <w:vAlign w:val="center"/>
          </w:tcPr>
          <w:p>
            <w:pPr>
              <w:pStyle w:val="12"/>
            </w:pPr>
            <w:r>
              <w:t>67.50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54.25</w:t>
            </w:r>
          </w:p>
        </w:tc>
        <w:tc>
          <w:tcPr>
            <w:tcW w:w="2551" w:type="dxa"/>
            <w:vAlign w:val="center"/>
          </w:tcPr>
          <w:p>
            <w:pPr>
              <w:pStyle w:val="12"/>
            </w:pPr>
            <w:r>
              <w:t>54.25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57.40</w:t>
            </w:r>
          </w:p>
        </w:tc>
        <w:tc>
          <w:tcPr>
            <w:tcW w:w="2551" w:type="dxa"/>
            <w:vAlign w:val="center"/>
          </w:tcPr>
          <w:p>
            <w:pPr>
              <w:pStyle w:val="12"/>
            </w:pPr>
            <w:r>
              <w:t>57.40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77.94</w:t>
            </w:r>
          </w:p>
        </w:tc>
        <w:tc>
          <w:tcPr>
            <w:tcW w:w="2551" w:type="dxa"/>
            <w:vAlign w:val="center"/>
          </w:tcPr>
          <w:p>
            <w:pPr>
              <w:pStyle w:val="12"/>
            </w:pPr>
            <w:r>
              <w:t>77.94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6.80</w:t>
            </w:r>
          </w:p>
        </w:tc>
        <w:tc>
          <w:tcPr>
            <w:tcW w:w="2551" w:type="dxa"/>
            <w:vAlign w:val="center"/>
          </w:tcPr>
          <w:p>
            <w:pPr>
              <w:pStyle w:val="12"/>
            </w:pPr>
            <w:r>
              <w:t>6.80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43.20</w:t>
            </w:r>
          </w:p>
        </w:tc>
        <w:tc>
          <w:tcPr>
            <w:tcW w:w="2551" w:type="dxa"/>
            <w:vAlign w:val="center"/>
          </w:tcPr>
          <w:p>
            <w:pPr>
              <w:pStyle w:val="12"/>
            </w:pPr>
            <w:r>
              <w:t>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6.88</w:t>
            </w:r>
          </w:p>
        </w:tc>
        <w:tc>
          <w:tcPr>
            <w:tcW w:w="2551" w:type="dxa"/>
            <w:vAlign w:val="center"/>
          </w:tcPr>
          <w:p>
            <w:pPr>
              <w:pStyle w:val="12"/>
            </w:pPr>
            <w:r>
              <w:t>6.88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54.94</w:t>
            </w:r>
          </w:p>
        </w:tc>
        <w:tc>
          <w:tcPr>
            <w:tcW w:w="2551" w:type="dxa"/>
            <w:vAlign w:val="center"/>
          </w:tcPr>
          <w:p>
            <w:pPr>
              <w:pStyle w:val="12"/>
            </w:pPr>
          </w:p>
        </w:tc>
        <w:tc>
          <w:tcPr>
            <w:tcW w:w="2551" w:type="dxa"/>
            <w:vAlign w:val="center"/>
          </w:tcPr>
          <w:p>
            <w:pPr>
              <w:pStyle w:val="12"/>
            </w:pPr>
            <w:r>
              <w:t>54.94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2.06</w:t>
            </w:r>
          </w:p>
        </w:tc>
        <w:tc>
          <w:tcPr>
            <w:tcW w:w="2551" w:type="dxa"/>
            <w:vAlign w:val="center"/>
          </w:tcPr>
          <w:p>
            <w:pPr>
              <w:pStyle w:val="12"/>
            </w:pPr>
          </w:p>
        </w:tc>
        <w:tc>
          <w:tcPr>
            <w:tcW w:w="2551" w:type="dxa"/>
            <w:vAlign w:val="center"/>
          </w:tcPr>
          <w:p>
            <w:pPr>
              <w:pStyle w:val="12"/>
            </w:pPr>
            <w:r>
              <w:t>2.06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12.88</w:t>
            </w:r>
          </w:p>
        </w:tc>
        <w:tc>
          <w:tcPr>
            <w:tcW w:w="2551" w:type="dxa"/>
            <w:vAlign w:val="center"/>
          </w:tcPr>
          <w:p>
            <w:pPr>
              <w:pStyle w:val="12"/>
            </w:pPr>
          </w:p>
        </w:tc>
        <w:tc>
          <w:tcPr>
            <w:tcW w:w="2551" w:type="dxa"/>
            <w:vAlign w:val="center"/>
          </w:tcPr>
          <w:p>
            <w:pPr>
              <w:pStyle w:val="12"/>
            </w:pPr>
            <w:r>
              <w:t>12.88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12.15</w:t>
            </w:r>
          </w:p>
        </w:tc>
        <w:tc>
          <w:tcPr>
            <w:tcW w:w="2551" w:type="dxa"/>
            <w:vAlign w:val="center"/>
          </w:tcPr>
          <w:p>
            <w:pPr>
              <w:pStyle w:val="12"/>
            </w:pPr>
          </w:p>
        </w:tc>
        <w:tc>
          <w:tcPr>
            <w:tcW w:w="2551" w:type="dxa"/>
            <w:vAlign w:val="center"/>
          </w:tcPr>
          <w:p>
            <w:pPr>
              <w:pStyle w:val="12"/>
            </w:pPr>
            <w:r>
              <w:t>12.15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30214</w:t>
            </w:r>
          </w:p>
        </w:tc>
        <w:tc>
          <w:tcPr>
            <w:tcW w:w="4535" w:type="dxa"/>
            <w:vAlign w:val="center"/>
          </w:tcPr>
          <w:p>
            <w:pPr>
              <w:pStyle w:val="13"/>
            </w:pPr>
            <w:r>
              <w:t>租赁费</w:t>
            </w:r>
          </w:p>
        </w:tc>
        <w:tc>
          <w:tcPr>
            <w:tcW w:w="2551" w:type="dxa"/>
            <w:vAlign w:val="center"/>
          </w:tcPr>
          <w:p>
            <w:pPr>
              <w:pStyle w:val="12"/>
            </w:pPr>
            <w:r>
              <w:t>0.18</w:t>
            </w:r>
          </w:p>
        </w:tc>
        <w:tc>
          <w:tcPr>
            <w:tcW w:w="2551" w:type="dxa"/>
            <w:vAlign w:val="center"/>
          </w:tcPr>
          <w:p>
            <w:pPr>
              <w:pStyle w:val="12"/>
            </w:pPr>
          </w:p>
        </w:tc>
        <w:tc>
          <w:tcPr>
            <w:tcW w:w="2551" w:type="dxa"/>
            <w:vAlign w:val="center"/>
          </w:tcPr>
          <w:p>
            <w:pPr>
              <w:pStyle w:val="12"/>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3.61</w:t>
            </w:r>
          </w:p>
        </w:tc>
        <w:tc>
          <w:tcPr>
            <w:tcW w:w="2551" w:type="dxa"/>
            <w:vAlign w:val="center"/>
          </w:tcPr>
          <w:p>
            <w:pPr>
              <w:pStyle w:val="12"/>
            </w:pPr>
          </w:p>
        </w:tc>
        <w:tc>
          <w:tcPr>
            <w:tcW w:w="2551" w:type="dxa"/>
            <w:vAlign w:val="center"/>
          </w:tcPr>
          <w:p>
            <w:pPr>
              <w:pStyle w:val="12"/>
            </w:pPr>
            <w:r>
              <w:t>3.61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4.38</w:t>
            </w:r>
          </w:p>
        </w:tc>
        <w:tc>
          <w:tcPr>
            <w:tcW w:w="2551" w:type="dxa"/>
            <w:vAlign w:val="center"/>
          </w:tcPr>
          <w:p>
            <w:pPr>
              <w:pStyle w:val="12"/>
            </w:pPr>
          </w:p>
        </w:tc>
        <w:tc>
          <w:tcPr>
            <w:tcW w:w="2551" w:type="dxa"/>
            <w:vAlign w:val="center"/>
          </w:tcPr>
          <w:p>
            <w:pPr>
              <w:pStyle w:val="12"/>
            </w:pPr>
            <w:r>
              <w:t>4.38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15.30</w:t>
            </w:r>
          </w:p>
        </w:tc>
        <w:tc>
          <w:tcPr>
            <w:tcW w:w="2551" w:type="dxa"/>
            <w:vAlign w:val="center"/>
          </w:tcPr>
          <w:p>
            <w:pPr>
              <w:pStyle w:val="12"/>
            </w:pPr>
          </w:p>
        </w:tc>
        <w:tc>
          <w:tcPr>
            <w:tcW w:w="2551" w:type="dxa"/>
            <w:vAlign w:val="center"/>
          </w:tcPr>
          <w:p>
            <w:pPr>
              <w:pStyle w:val="12"/>
            </w:pPr>
            <w:r>
              <w:t>15.30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0.18</w:t>
            </w:r>
          </w:p>
        </w:tc>
        <w:tc>
          <w:tcPr>
            <w:tcW w:w="2551" w:type="dxa"/>
            <w:vAlign w:val="center"/>
          </w:tcPr>
          <w:p>
            <w:pPr>
              <w:pStyle w:val="12"/>
            </w:pPr>
          </w:p>
        </w:tc>
        <w:tc>
          <w:tcPr>
            <w:tcW w:w="2551" w:type="dxa"/>
            <w:vAlign w:val="center"/>
          </w:tcPr>
          <w:p>
            <w:pPr>
              <w:pStyle w:val="12"/>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3.34</w:t>
            </w:r>
          </w:p>
        </w:tc>
        <w:tc>
          <w:tcPr>
            <w:tcW w:w="2551" w:type="dxa"/>
            <w:vAlign w:val="center"/>
          </w:tcPr>
          <w:p>
            <w:pPr>
              <w:pStyle w:val="12"/>
            </w:pPr>
            <w:r>
              <w:t>3.34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1.81</w:t>
            </w:r>
          </w:p>
        </w:tc>
        <w:tc>
          <w:tcPr>
            <w:tcW w:w="2551" w:type="dxa"/>
            <w:vAlign w:val="center"/>
          </w:tcPr>
          <w:p>
            <w:pPr>
              <w:pStyle w:val="12"/>
            </w:pPr>
            <w:r>
              <w:t>1.81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1.53</w:t>
            </w:r>
          </w:p>
        </w:tc>
        <w:tc>
          <w:tcPr>
            <w:tcW w:w="2551" w:type="dxa"/>
            <w:vAlign w:val="center"/>
          </w:tcPr>
          <w:p>
            <w:pPr>
              <w:pStyle w:val="12"/>
            </w:pPr>
            <w:r>
              <w:t>1.53</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2.40</w:t>
            </w:r>
          </w:p>
        </w:tc>
        <w:tc>
          <w:tcPr>
            <w:tcW w:w="2381" w:type="dxa"/>
            <w:vAlign w:val="center"/>
          </w:tcPr>
          <w:p>
            <w:pPr>
              <w:pStyle w:val="16"/>
            </w:pPr>
            <w:r>
              <w:t>2.40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新乐市数据和政务服务局2025年部门预算信息公开情况说明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新乐市数据和政务服务局2025年部门预算信息公开情况说明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按照《中华人民共和国预算法》、《地方预决算公开操作规程》和《关于进一步推进预算公开工作的实施意见》规定，现将新乐市数据和政务服务局2025年部门预算公开如下：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1、贯彻执行国家、省和石家庄市有关行政审批制度改革方面的方针政策和法律法规；制定行政审批局各项规章制度和管理办法，并组织实施。</w:t>
      </w:r>
    </w:p>
    <w:p>
      <w:pPr>
        <w:pStyle w:val="18"/>
      </w:pPr>
      <w:r>
        <w:t>2、负责项目投资、市场主体登记设立、建设交通、涉农事务、社会事务等方面的行政审批相关事项，以及相关工作体系、体制机制创新和完善工作，并承担相应的法律责任。</w:t>
      </w:r>
    </w:p>
    <w:p>
      <w:pPr>
        <w:pStyle w:val="18"/>
      </w:pPr>
      <w:r>
        <w:t>3、负责按照规定程序对行政审批事项进行形式要件审核、技术认证、社会听证、现场踏勘工作，对符合规定条件的行政审批事项进行批准、签章、发文或发件，并将办理结果在规定时限内告知申请人。</w:t>
      </w:r>
    </w:p>
    <w:p>
      <w:pPr>
        <w:pStyle w:val="18"/>
      </w:pPr>
      <w:r>
        <w:t>4、负责规范行政审批行为，对行政审批事项进行流程再造，优化环节，压缩时限，提高效率，并依法全面公开行政审批信息。</w:t>
      </w:r>
    </w:p>
    <w:p>
      <w:pPr>
        <w:pStyle w:val="18"/>
      </w:pPr>
      <w:r>
        <w:t>5、负责及时向各职能部门推送行政审批事项办理情况，协调解决审批事项办理中的各类问题。</w:t>
      </w:r>
    </w:p>
    <w:p>
      <w:pPr>
        <w:pStyle w:val="18"/>
      </w:pPr>
      <w:r>
        <w:t>6、负责行政审批平台、信息化、各级便民服务体系的建设、指导和推动工作</w:t>
      </w:r>
    </w:p>
    <w:p>
      <w:pPr>
        <w:pStyle w:val="18"/>
      </w:pPr>
      <w:r>
        <w:t>7、负责本部门工作人员的教育、培训、管理和绩效考核。</w:t>
      </w:r>
    </w:p>
    <w:p>
      <w:pPr>
        <w:pStyle w:val="18"/>
      </w:pPr>
      <w:r>
        <w:t>8、负责垂直、双重管理及其他部门派驻政务服务中心的窗口人员及其行政审批事项的规范、管理和监督。</w:t>
      </w:r>
    </w:p>
    <w:p>
      <w:pPr>
        <w:pStyle w:val="18"/>
      </w:pPr>
      <w:r>
        <w:t>9、负责对行政审批事项实行目录管理、动态调整。</w:t>
      </w:r>
    </w:p>
    <w:p>
      <w:pPr>
        <w:pStyle w:val="18"/>
      </w:pPr>
      <w:r>
        <w:t>10、承办市政府交办的其他工作事项。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新乐市数据和政务服务局本级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按照预算管理有关规定，目前部门预算的编制实行综合预算管理，即全部收入和支出都反映在预算中。新乐市行政审批局机关及所属事业单位的收支包含在部门预算中。</w:t>
      </w:r>
    </w:p>
    <w:p>
      <w:pPr>
        <w:pStyle w:val="19"/>
      </w:pPr>
      <w:r>
        <w:t>1、收入说明</w:t>
      </w:r>
    </w:p>
    <w:p>
      <w:pPr>
        <w:pStyle w:val="19"/>
      </w:pPr>
      <w:r>
        <w:t>反映本部门当年全部收入。2025年预算收入688.56万元，其中：一般公共预算收入688.56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行政审批局年度部门预算中支出预算的总体情况。2025年支出预算688.56万元，其中基本支出688.56万元，包括人员经费633.62万元和日常公用经费54.94万元；项目支出0.00万元，主要为人员经费633.62万元：在职人员基本工资、津贴补贴、女职工卫生费、奖金、绩效工资、保险公积金、遗属补助；其他劳务派遣人员、其他临时工工资及保险。</w:t>
      </w:r>
    </w:p>
    <w:p>
      <w:pPr>
        <w:pStyle w:val="19"/>
      </w:pPr>
      <w:r>
        <w:t>日常公用经费54.94万元：办公费、邮电费、办公取暖费、公务用车运行维护费、差旅费、维修（护）费、租赁费、工会经费、福利费、党组织活动经费、其它项目。</w:t>
      </w:r>
    </w:p>
    <w:p>
      <w:pPr>
        <w:pStyle w:val="19"/>
      </w:pPr>
    </w:p>
    <w:p>
      <w:pPr>
        <w:pStyle w:val="19"/>
      </w:pPr>
      <w:r>
        <w:t>3、比上年增减情况</w:t>
      </w:r>
    </w:p>
    <w:p>
      <w:pPr>
        <w:pStyle w:val="19"/>
      </w:pPr>
      <w:r>
        <w:t>2025年预算收支安排688.56万元，较2024年预算减少222.45万元，其中：基本支出减少222.45万元，主要为特殊因素项目未列入公用经费预算项目支出增加0.00万元，主要为财政紧张，我单位厉行节约。</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2025年，我部门机关运行经费共计安排54.94万元，主要用于日常维修、办公用房水电费、办公用房取暖费、办公用房物业管理费等日常运行支出。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2.40万元，其中因公出国（境）费0.00万元；公务用车购置及运维费2.40万元（其中：公务用车购置费为0.00万元，公务用车运维费2.40万元)；公务接待费0.00万元。与2024年相比增加0.00万元，增减变化的主要原因是无增减变化，其中国内燃料费1万，维修费1.4万元，与去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年度发展规划目标</w:t>
      </w:r>
    </w:p>
    <w:p>
      <w:pPr>
        <w:pStyle w:val="22"/>
      </w:pPr>
      <w:r>
        <w:t xml:space="preserve">行政审批事项受理、审批审核、技术认证、社会听证；负责办理市政府各部门、各单位的非税收入收缴事宜；行政审批平台、信息化、各级便民服务体系的建设、指导和推动网上审批自动化。审批网络系统的维护管理和技术指导，操作系统、安全系统的日常检测、维护及数据更新和网络建设，设备和人员正常运转的保障和办理市政府交办的其他事宜。及时向各职能部门推送行政审批事项办理情况，协调解决并联审批事项办理中的各类问题，依法行政，保障各项审批工作合法合规。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1.对本部门审批事项和进驻审批事项的管理、协调</w:t>
      </w:r>
    </w:p>
    <w:p>
      <w:pPr>
        <w:pStyle w:val="23"/>
      </w:pPr>
      <w:r>
        <w:t>绩效目标：社会向市政府各部门、各单位申请办理的各类批准、核准、备案等事项的受理。</w:t>
      </w:r>
    </w:p>
    <w:p>
      <w:pPr>
        <w:pStyle w:val="23"/>
      </w:pPr>
      <w:r>
        <w:t>绩效指标：受理数量、工作完成率等。</w:t>
      </w:r>
    </w:p>
    <w:p>
      <w:pPr>
        <w:pStyle w:val="23"/>
      </w:pPr>
      <w:r>
        <w:t>2.审批要件审核、技术认证、社会听证、现场踏勘工作</w:t>
      </w:r>
    </w:p>
    <w:p>
      <w:pPr>
        <w:pStyle w:val="23"/>
      </w:pPr>
      <w:r>
        <w:t>绩效目标：行政审批事项进行形式要件审核、技术认证、社会听证、现场踏勘工作。</w:t>
      </w:r>
    </w:p>
    <w:p>
      <w:pPr>
        <w:pStyle w:val="23"/>
      </w:pPr>
      <w:r>
        <w:t>绩效指标：勘探工作完成率</w:t>
      </w:r>
    </w:p>
    <w:p>
      <w:pPr>
        <w:pStyle w:val="23"/>
      </w:pPr>
      <w:r>
        <w:t>3.各项非税收入交纳</w:t>
      </w:r>
    </w:p>
    <w:p>
      <w:pPr>
        <w:pStyle w:val="23"/>
      </w:pPr>
      <w:r>
        <w:t>绩效目标：方便群众办事，规范各项非税收入标准。</w:t>
      </w:r>
    </w:p>
    <w:p>
      <w:pPr>
        <w:pStyle w:val="23"/>
      </w:pPr>
      <w:r>
        <w:t>绩效指标：任务实现率。</w:t>
      </w:r>
    </w:p>
    <w:p>
      <w:pPr>
        <w:pStyle w:val="23"/>
      </w:pPr>
      <w:r>
        <w:t>4.网络技术保障与服务</w:t>
      </w:r>
    </w:p>
    <w:p>
      <w:pPr>
        <w:pStyle w:val="23"/>
      </w:pPr>
      <w:r>
        <w:t>绩效目标：审批系统稳定、使用经常，网络建设推进有力。</w:t>
      </w:r>
    </w:p>
    <w:p>
      <w:pPr>
        <w:pStyle w:val="23"/>
      </w:pPr>
      <w:r>
        <w:t>绩效指标：稳定性水平、工作完成率。</w:t>
      </w:r>
    </w:p>
    <w:p>
      <w:pPr>
        <w:pStyle w:val="23"/>
      </w:pPr>
      <w:r>
        <w:t>5.行政审批平台、信息化、各级便民服务体系的建设、指导和推动工作</w:t>
      </w:r>
    </w:p>
    <w:p>
      <w:pPr>
        <w:pStyle w:val="23"/>
      </w:pPr>
      <w:r>
        <w:t>绩效目标：负责行政审批平台、信息化、各级便民服务体系的建设、指导和推动工作</w:t>
      </w:r>
    </w:p>
    <w:p>
      <w:pPr>
        <w:pStyle w:val="23"/>
      </w:pPr>
      <w:r>
        <w:t>绩效指标：工作推进覆盖率、任务完成率等。</w:t>
      </w:r>
    </w:p>
    <w:p>
      <w:pPr>
        <w:pStyle w:val="23"/>
      </w:pPr>
      <w:r>
        <w:t>6.对工作人员管理和考核</w:t>
      </w:r>
    </w:p>
    <w:p>
      <w:pPr>
        <w:pStyle w:val="23"/>
      </w:pPr>
      <w:r>
        <w:t>绩效目标：有制度规定、并按照规定推进落实，管理严格、服务周到</w:t>
      </w:r>
    </w:p>
    <w:p>
      <w:pPr>
        <w:pStyle w:val="23"/>
      </w:pPr>
      <w:r>
        <w:t>绩效指标：管理和考核工作完成率。</w:t>
      </w:r>
    </w:p>
    <w:p>
      <w:pPr>
        <w:pStyle w:val="23"/>
      </w:pPr>
      <w:r>
        <w:t>7.设备及人员正常运转的费用保障和办理市政府交办的其他事宜</w:t>
      </w:r>
    </w:p>
    <w:p>
      <w:pPr>
        <w:pStyle w:val="23"/>
      </w:pPr>
      <w:r>
        <w:t>绩效目标：设备及人员正常运转的费用保障和办理市政府交办的其他事宜。</w:t>
      </w:r>
    </w:p>
    <w:p>
      <w:pPr>
        <w:pStyle w:val="23"/>
      </w:pPr>
      <w:r>
        <w:t>绩效指标:任务完成率。</w:t>
      </w:r>
    </w:p>
    <w:p>
      <w:pPr>
        <w:pStyle w:val="23"/>
      </w:pPr>
      <w:r>
        <w:t>8.推送、协调、解决审批的各类问题</w:t>
      </w:r>
    </w:p>
    <w:p>
      <w:pPr>
        <w:pStyle w:val="23"/>
      </w:pPr>
      <w:r>
        <w:t>绩效目标：及时向各职能部门推送行政审批事项办理情况，协调解决并联审批事项办理中的各类问题</w:t>
      </w:r>
    </w:p>
    <w:p>
      <w:pPr>
        <w:pStyle w:val="23"/>
      </w:pPr>
      <w:r>
        <w:t>绩效指标：问题解决及时性、工作完成率、服务群众满意度等。</w:t>
      </w:r>
    </w:p>
    <w:p>
      <w:pPr>
        <w:pStyle w:val="23"/>
      </w:pPr>
      <w:r>
        <w:t>9.依法行政，保障各项审批工作合法合规</w:t>
      </w:r>
    </w:p>
    <w:p>
      <w:pPr>
        <w:pStyle w:val="23"/>
      </w:pPr>
      <w:r>
        <w:t>绩效目标：依法行政，保障各项审批工作合法合规</w:t>
      </w:r>
    </w:p>
    <w:p>
      <w:pPr>
        <w:pStyle w:val="23"/>
      </w:pPr>
      <w:r>
        <w:t>绩效指标：执行工作完成率。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sectPr>
      </w:pPr>
      <w:r>
        <w:t>规范完善行政审批工作，打造高效、公正的服务平台，提高行政效能。对各类批准、核准、备案等服务事项及时办结。非税收入及时收缴。审批系统稳定、使用经常。信息平台实用性好，按制度规定推进落实考核情况，及时推送行政审批事项办理情况，依法行政，保障各项审批工作合法合规。</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801新乐市数据和政务服务局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新乐市数据和政务服务局（含所属单位）上年末固定资产金额为2</w:t>
      </w:r>
      <w:r>
        <w:rPr>
          <w:rFonts w:hint="eastAsia" w:eastAsia="方正仿宋_GBK" w:cs="Times New Roman"/>
          <w:b w:val="0"/>
          <w:color w:val="000000"/>
          <w:sz w:val="28"/>
          <w:lang w:val="en-US" w:eastAsia="zh-CN"/>
        </w:rPr>
        <w:t>77.86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801新乐市数据和政务服务局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eastAsia" w:eastAsia="方正书宋_GBK"/>
                <w:lang w:val="en-US" w:eastAsia="zh-CN"/>
              </w:rPr>
            </w:pPr>
            <w:r>
              <w:t>2</w:t>
            </w:r>
            <w:r>
              <w:rPr>
                <w:rFonts w:hint="eastAsia"/>
                <w:lang w:val="en-US" w:eastAsia="zh-CN"/>
              </w:rPr>
              <w:t>77.86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89.79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rPr>
                <w:rFonts w:hint="eastAsia" w:eastAsia="方正书宋_GBK"/>
                <w:lang w:val="en-US" w:eastAsia="zh-CN"/>
              </w:rPr>
            </w:pPr>
            <w:r>
              <w:rPr>
                <w:rFonts w:hint="eastAsia"/>
                <w:lang w:val="en-US" w:eastAsia="zh-CN"/>
              </w:rPr>
              <w:t>2384</w:t>
            </w:r>
            <w:bookmarkStart w:id="20" w:name="_GoBack"/>
            <w:bookmarkEnd w:id="20"/>
          </w:p>
        </w:tc>
        <w:tc>
          <w:tcPr>
            <w:tcW w:w="2835" w:type="dxa"/>
            <w:vAlign w:val="center"/>
          </w:tcPr>
          <w:p>
            <w:pPr>
              <w:pStyle w:val="12"/>
              <w:rPr>
                <w:rFonts w:hint="eastAsia" w:eastAsia="方正书宋_GBK"/>
                <w:lang w:val="en-US" w:eastAsia="zh-CN"/>
              </w:rPr>
            </w:pPr>
            <w:r>
              <w:t>1</w:t>
            </w:r>
            <w:r>
              <w:rPr>
                <w:rFonts w:hint="eastAsia"/>
                <w:lang w:val="en-US" w:eastAsia="zh-CN"/>
              </w:rPr>
              <w:t>77.28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9BE753A"/>
    <w:rsid w:val="4FB559D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TotalTime>36</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2025-09-11T10:49:00Z</dcterms:created>
  <dc:creator>Administrator</dc:creator>
  <cp:lastModifiedBy>Administrator</cp:lastModifiedBy>
  <dcterms:modified xsi:type="dcterms:W3CDTF">2025-09-11T07:29:16Z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