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4</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5</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7</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8</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10</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11</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12</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13</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13</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14</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14</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15</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17</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18</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19</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19</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20</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21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818.74</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818.74</w:t>
            </w: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818.74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818.74</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818.74</w:t>
            </w:r>
          </w:p>
        </w:tc>
        <w:tc>
          <w:tcPr>
            <w:tcW w:w="4535" w:type="dxa"/>
            <w:vAlign w:val="center"/>
          </w:tcPr>
          <w:p>
            <w:pPr>
              <w:pStyle w:val="单元格样式6"/>
            </w:pPr>
            <w:r>
              <w:t xml:space="preserve">支出总计</w:t>
            </w:r>
          </w:p>
        </w:tc>
        <w:tc>
          <w:tcPr>
            <w:tcW w:w="2126" w:type="dxa"/>
            <w:vAlign w:val="center"/>
          </w:tcPr>
          <w:p>
            <w:pPr>
              <w:pStyle w:val="单元格样式7"/>
            </w:pPr>
            <w:r>
              <w:t xml:space="preserve">818.74</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818.74</w:t>
            </w:r>
          </w:p>
        </w:tc>
        <w:tc>
          <w:tcPr>
            <w:tcW w:w="1134" w:type="dxa"/>
            <w:vAlign w:val="center"/>
          </w:tcPr>
          <w:p>
            <w:pPr>
              <w:pStyle w:val="单元格样式7"/>
            </w:pPr>
            <w:r>
              <w:t xml:space="preserve">818.74</w:t>
            </w:r>
          </w:p>
        </w:tc>
        <w:tc>
          <w:tcPr>
            <w:tcW w:w="1134" w:type="dxa"/>
            <w:vAlign w:val="center"/>
          </w:tcPr>
          <w:p>
            <w:pPr>
              <w:pStyle w:val="单元格样式7"/>
            </w:pPr>
            <w:r>
              <w:t xml:space="preserve">818.74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20708</w:t>
            </w:r>
          </w:p>
        </w:tc>
        <w:tc>
          <w:tcPr>
            <w:tcW w:w="1559" w:type="dxa"/>
            <w:vAlign w:val="center"/>
          </w:tcPr>
          <w:p>
            <w:pPr>
              <w:pStyle w:val="单元格样式2"/>
            </w:pPr>
            <w:r>
              <w:t xml:space="preserve">广播电视</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2070808</w:t>
            </w:r>
          </w:p>
        </w:tc>
        <w:tc>
          <w:tcPr>
            <w:tcW w:w="1559" w:type="dxa"/>
            <w:vAlign w:val="center"/>
          </w:tcPr>
          <w:p>
            <w:pPr>
              <w:pStyle w:val="单元格样式2"/>
            </w:pPr>
            <w:r>
              <w:t xml:space="preserve">广播电视事务</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r>
              <w:t xml:space="preserve">818.74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818.74</w:t>
            </w:r>
          </w:p>
        </w:tc>
        <w:tc>
          <w:tcPr>
            <w:tcW w:w="1361" w:type="dxa"/>
            <w:vAlign w:val="center"/>
          </w:tcPr>
          <w:p>
            <w:pPr>
              <w:pStyle w:val="单元格样式7"/>
            </w:pPr>
            <w:r>
              <w:t xml:space="preserve">818.74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818.74</w:t>
            </w:r>
          </w:p>
        </w:tc>
        <w:tc>
          <w:tcPr>
            <w:tcW w:w="1361" w:type="dxa"/>
            <w:vAlign w:val="center"/>
          </w:tcPr>
          <w:p>
            <w:pPr>
              <w:pStyle w:val="单元格样式4"/>
            </w:pPr>
            <w:r>
              <w:t xml:space="preserve">818.74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20708</w:t>
            </w:r>
          </w:p>
        </w:tc>
        <w:tc>
          <w:tcPr>
            <w:tcW w:w="4535" w:type="dxa"/>
            <w:vAlign w:val="center"/>
          </w:tcPr>
          <w:p>
            <w:pPr>
              <w:pStyle w:val="单元格样式2"/>
            </w:pPr>
            <w:r>
              <w:t xml:space="preserve">广播电视</w:t>
            </w:r>
          </w:p>
        </w:tc>
        <w:tc>
          <w:tcPr>
            <w:tcW w:w="1361" w:type="dxa"/>
            <w:vAlign w:val="center"/>
          </w:tcPr>
          <w:p>
            <w:pPr>
              <w:pStyle w:val="单元格样式4"/>
            </w:pPr>
            <w:r>
              <w:t xml:space="preserve">818.74</w:t>
            </w:r>
          </w:p>
        </w:tc>
        <w:tc>
          <w:tcPr>
            <w:tcW w:w="1361" w:type="dxa"/>
            <w:vAlign w:val="center"/>
          </w:tcPr>
          <w:p>
            <w:pPr>
              <w:pStyle w:val="单元格样式4"/>
            </w:pPr>
            <w:r>
              <w:t xml:space="preserve">818.74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2070808</w:t>
            </w:r>
          </w:p>
        </w:tc>
        <w:tc>
          <w:tcPr>
            <w:tcW w:w="4535" w:type="dxa"/>
            <w:vAlign w:val="center"/>
          </w:tcPr>
          <w:p>
            <w:pPr>
              <w:pStyle w:val="单元格样式2"/>
            </w:pPr>
            <w:r>
              <w:t xml:space="preserve">广播电视事务</w:t>
            </w:r>
          </w:p>
        </w:tc>
        <w:tc>
          <w:tcPr>
            <w:tcW w:w="1361" w:type="dxa"/>
            <w:vAlign w:val="center"/>
          </w:tcPr>
          <w:p>
            <w:pPr>
              <w:pStyle w:val="单元格样式4"/>
            </w:pPr>
            <w:r>
              <w:t xml:space="preserve">818.74</w:t>
            </w:r>
          </w:p>
        </w:tc>
        <w:tc>
          <w:tcPr>
            <w:tcW w:w="1361" w:type="dxa"/>
            <w:vAlign w:val="center"/>
          </w:tcPr>
          <w:p>
            <w:pPr>
              <w:pStyle w:val="单元格样式4"/>
            </w:pPr>
            <w:r>
              <w:t xml:space="preserve">818.74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818.74</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818.74</w:t>
            </w:r>
          </w:p>
        </w:tc>
        <w:tc>
          <w:tcPr>
            <w:tcW w:w="1474" w:type="dxa"/>
            <w:vAlign w:val="center"/>
          </w:tcPr>
          <w:p>
            <w:pPr>
              <w:pStyle w:val="单元格样式4"/>
            </w:pPr>
            <w:r>
              <w:t xml:space="preserve">818.74</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818.74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818.74</w:t>
            </w:r>
          </w:p>
        </w:tc>
        <w:tc>
          <w:tcPr>
            <w:tcW w:w="1474" w:type="dxa"/>
            <w:vAlign w:val="center"/>
          </w:tcPr>
          <w:p>
            <w:pPr>
              <w:pStyle w:val="单元格样式7"/>
            </w:pPr>
            <w:r>
              <w:t xml:space="preserve">818.74</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818.74</w:t>
            </w:r>
          </w:p>
        </w:tc>
        <w:tc>
          <w:tcPr>
            <w:tcW w:w="3402" w:type="dxa"/>
            <w:vAlign w:val="center"/>
          </w:tcPr>
          <w:p>
            <w:pPr>
              <w:pStyle w:val="单元格样式6"/>
            </w:pPr>
            <w:r>
              <w:t xml:space="preserve">支出总计</w:t>
            </w:r>
          </w:p>
        </w:tc>
        <w:tc>
          <w:tcPr>
            <w:tcW w:w="1474" w:type="dxa"/>
            <w:vAlign w:val="center"/>
          </w:tcPr>
          <w:p>
            <w:pPr>
              <w:pStyle w:val="单元格样式7"/>
            </w:pPr>
            <w:r>
              <w:t xml:space="preserve">818.74</w:t>
            </w:r>
          </w:p>
        </w:tc>
        <w:tc>
          <w:tcPr>
            <w:tcW w:w="1474" w:type="dxa"/>
            <w:vAlign w:val="center"/>
          </w:tcPr>
          <w:p>
            <w:pPr>
              <w:pStyle w:val="单元格样式7"/>
            </w:pPr>
            <w:r>
              <w:t xml:space="preserve">818.74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818.74</w:t>
            </w:r>
          </w:p>
        </w:tc>
        <w:tc>
          <w:tcPr>
            <w:tcW w:w="2551" w:type="dxa"/>
            <w:vAlign w:val="center"/>
          </w:tcPr>
          <w:p>
            <w:pPr>
              <w:pStyle w:val="单元格样式7"/>
            </w:pPr>
            <w:r>
              <w:t xml:space="preserve">818.74</w:t>
            </w:r>
          </w:p>
        </w:tc>
        <w:tc>
          <w:tcPr>
            <w:tcW w:w="255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818.74</w:t>
            </w:r>
          </w:p>
        </w:tc>
        <w:tc>
          <w:tcPr>
            <w:tcW w:w="2551" w:type="dxa"/>
            <w:vAlign w:val="center"/>
          </w:tcPr>
          <w:p>
            <w:pPr>
              <w:pStyle w:val="单元格样式4"/>
            </w:pPr>
            <w:r>
              <w:t xml:space="preserve">818.74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20708</w:t>
            </w:r>
          </w:p>
        </w:tc>
        <w:tc>
          <w:tcPr>
            <w:tcW w:w="4535" w:type="dxa"/>
            <w:vAlign w:val="center"/>
          </w:tcPr>
          <w:p>
            <w:pPr>
              <w:pStyle w:val="单元格样式2"/>
            </w:pPr>
            <w:r>
              <w:t xml:space="preserve">广播电视</w:t>
            </w:r>
          </w:p>
        </w:tc>
        <w:tc>
          <w:tcPr>
            <w:tcW w:w="2551" w:type="dxa"/>
            <w:vAlign w:val="center"/>
          </w:tcPr>
          <w:p>
            <w:pPr>
              <w:pStyle w:val="单元格样式4"/>
            </w:pPr>
            <w:r>
              <w:t xml:space="preserve">818.74</w:t>
            </w:r>
          </w:p>
        </w:tc>
        <w:tc>
          <w:tcPr>
            <w:tcW w:w="2551" w:type="dxa"/>
            <w:vAlign w:val="center"/>
          </w:tcPr>
          <w:p>
            <w:pPr>
              <w:pStyle w:val="单元格样式4"/>
            </w:pPr>
            <w:r>
              <w:t xml:space="preserve">818.74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2070808</w:t>
            </w:r>
          </w:p>
        </w:tc>
        <w:tc>
          <w:tcPr>
            <w:tcW w:w="4535" w:type="dxa"/>
            <w:vAlign w:val="center"/>
          </w:tcPr>
          <w:p>
            <w:pPr>
              <w:pStyle w:val="单元格样式2"/>
            </w:pPr>
            <w:r>
              <w:t xml:space="preserve">广播电视事务</w:t>
            </w:r>
          </w:p>
        </w:tc>
        <w:tc>
          <w:tcPr>
            <w:tcW w:w="2551" w:type="dxa"/>
            <w:vAlign w:val="center"/>
          </w:tcPr>
          <w:p>
            <w:pPr>
              <w:pStyle w:val="单元格样式4"/>
            </w:pPr>
            <w:r>
              <w:t xml:space="preserve">818.74</w:t>
            </w:r>
          </w:p>
        </w:tc>
        <w:tc>
          <w:tcPr>
            <w:tcW w:w="2551" w:type="dxa"/>
            <w:vAlign w:val="center"/>
          </w:tcPr>
          <w:p>
            <w:pPr>
              <w:pStyle w:val="单元格样式4"/>
            </w:pPr>
            <w:r>
              <w:t xml:space="preserve">818.74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818.74</w:t>
            </w:r>
          </w:p>
        </w:tc>
        <w:tc>
          <w:tcPr>
            <w:tcW w:w="2551" w:type="dxa"/>
            <w:vAlign w:val="center"/>
          </w:tcPr>
          <w:p>
            <w:pPr>
              <w:pStyle w:val="单元格样式7"/>
            </w:pPr>
            <w:r>
              <w:t xml:space="preserve">792.70</w:t>
            </w:r>
          </w:p>
        </w:tc>
        <w:tc>
          <w:tcPr>
            <w:tcW w:w="2551" w:type="dxa"/>
            <w:vAlign w:val="center"/>
          </w:tcPr>
          <w:p>
            <w:pPr>
              <w:pStyle w:val="单元格样式7"/>
            </w:pPr>
            <w:r>
              <w:t xml:space="preserve">26.04</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727.55</w:t>
            </w:r>
          </w:p>
        </w:tc>
        <w:tc>
          <w:tcPr>
            <w:tcW w:w="2551" w:type="dxa"/>
            <w:vAlign w:val="center"/>
          </w:tcPr>
          <w:p>
            <w:pPr>
              <w:pStyle w:val="单元格样式4"/>
            </w:pPr>
            <w:r>
              <w:t xml:space="preserve">727.55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255.93</w:t>
            </w:r>
          </w:p>
        </w:tc>
        <w:tc>
          <w:tcPr>
            <w:tcW w:w="2551" w:type="dxa"/>
            <w:vAlign w:val="center"/>
          </w:tcPr>
          <w:p>
            <w:pPr>
              <w:pStyle w:val="单元格样式4"/>
            </w:pPr>
            <w:r>
              <w:t xml:space="preserve">255.93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44.25</w:t>
            </w:r>
          </w:p>
        </w:tc>
        <w:tc>
          <w:tcPr>
            <w:tcW w:w="2551" w:type="dxa"/>
            <w:vAlign w:val="center"/>
          </w:tcPr>
          <w:p>
            <w:pPr>
              <w:pStyle w:val="单元格样式4"/>
            </w:pPr>
            <w:r>
              <w:t xml:space="preserve">44.25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221.89</w:t>
            </w:r>
          </w:p>
        </w:tc>
        <w:tc>
          <w:tcPr>
            <w:tcW w:w="2551" w:type="dxa"/>
            <w:vAlign w:val="center"/>
          </w:tcPr>
          <w:p>
            <w:pPr>
              <w:pStyle w:val="单元格样式4"/>
            </w:pPr>
            <w:r>
              <w:t xml:space="preserve">221.89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70.48</w:t>
            </w:r>
          </w:p>
        </w:tc>
        <w:tc>
          <w:tcPr>
            <w:tcW w:w="2551" w:type="dxa"/>
            <w:vAlign w:val="center"/>
          </w:tcPr>
          <w:p>
            <w:pPr>
              <w:pStyle w:val="单元格样式4"/>
            </w:pPr>
            <w:r>
              <w:t xml:space="preserve">70.48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40.12</w:t>
            </w:r>
          </w:p>
        </w:tc>
        <w:tc>
          <w:tcPr>
            <w:tcW w:w="2551" w:type="dxa"/>
            <w:vAlign w:val="center"/>
          </w:tcPr>
          <w:p>
            <w:pPr>
              <w:pStyle w:val="单元格样式4"/>
            </w:pPr>
            <w:r>
              <w:t xml:space="preserve">40.12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31.53</w:t>
            </w:r>
          </w:p>
        </w:tc>
        <w:tc>
          <w:tcPr>
            <w:tcW w:w="2551" w:type="dxa"/>
            <w:vAlign w:val="center"/>
          </w:tcPr>
          <w:p>
            <w:pPr>
              <w:pStyle w:val="单元格样式4"/>
            </w:pPr>
            <w:r>
              <w:t xml:space="preserve">31.53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4.40</w:t>
            </w:r>
          </w:p>
        </w:tc>
        <w:tc>
          <w:tcPr>
            <w:tcW w:w="2551" w:type="dxa"/>
            <w:vAlign w:val="center"/>
          </w:tcPr>
          <w:p>
            <w:pPr>
              <w:pStyle w:val="单元格样式4"/>
            </w:pPr>
            <w:r>
              <w:t xml:space="preserve">4.40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58.95</w:t>
            </w:r>
          </w:p>
        </w:tc>
        <w:tc>
          <w:tcPr>
            <w:tcW w:w="2551" w:type="dxa"/>
            <w:vAlign w:val="center"/>
          </w:tcPr>
          <w:p>
            <w:pPr>
              <w:pStyle w:val="单元格样式4"/>
            </w:pPr>
            <w:r>
              <w:t xml:space="preserve">58.95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25.34</w:t>
            </w:r>
          </w:p>
        </w:tc>
        <w:tc>
          <w:tcPr>
            <w:tcW w:w="2551" w:type="dxa"/>
            <w:vAlign w:val="center"/>
          </w:tcPr>
          <w:p>
            <w:pPr>
              <w:pStyle w:val="单元格样式4"/>
            </w:pPr>
          </w:p>
        </w:tc>
        <w:tc>
          <w:tcPr>
            <w:tcW w:w="2551" w:type="dxa"/>
            <w:vAlign w:val="center"/>
          </w:tcPr>
          <w:p>
            <w:pPr>
              <w:pStyle w:val="单元格样式4"/>
            </w:pPr>
            <w:r>
              <w:t xml:space="preserve">25.34</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6.14</w:t>
            </w:r>
          </w:p>
        </w:tc>
        <w:tc>
          <w:tcPr>
            <w:tcW w:w="2551" w:type="dxa"/>
            <w:vAlign w:val="center"/>
          </w:tcPr>
          <w:p>
            <w:pPr>
              <w:pStyle w:val="单元格样式4"/>
            </w:pPr>
          </w:p>
        </w:tc>
        <w:tc>
          <w:tcPr>
            <w:tcW w:w="2551" w:type="dxa"/>
            <w:vAlign w:val="center"/>
          </w:tcPr>
          <w:p>
            <w:pPr>
              <w:pStyle w:val="单元格样式4"/>
            </w:pPr>
            <w:r>
              <w:t xml:space="preserve">6.14</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6.62</w:t>
            </w:r>
          </w:p>
        </w:tc>
        <w:tc>
          <w:tcPr>
            <w:tcW w:w="2551" w:type="dxa"/>
            <w:vAlign w:val="center"/>
          </w:tcPr>
          <w:p>
            <w:pPr>
              <w:pStyle w:val="单元格样式4"/>
            </w:pPr>
          </w:p>
        </w:tc>
        <w:tc>
          <w:tcPr>
            <w:tcW w:w="2551" w:type="dxa"/>
            <w:vAlign w:val="center"/>
          </w:tcPr>
          <w:p>
            <w:pPr>
              <w:pStyle w:val="单元格样式4"/>
            </w:pPr>
            <w:r>
              <w:t xml:space="preserve">6.62</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5.30</w:t>
            </w:r>
          </w:p>
        </w:tc>
        <w:tc>
          <w:tcPr>
            <w:tcW w:w="2551" w:type="dxa"/>
            <w:vAlign w:val="center"/>
          </w:tcPr>
          <w:p>
            <w:pPr>
              <w:pStyle w:val="单元格样式4"/>
            </w:pPr>
          </w:p>
        </w:tc>
        <w:tc>
          <w:tcPr>
            <w:tcW w:w="2551" w:type="dxa"/>
            <w:vAlign w:val="center"/>
          </w:tcPr>
          <w:p>
            <w:pPr>
              <w:pStyle w:val="单元格样式4"/>
            </w:pPr>
            <w:r>
              <w:t xml:space="preserve">5.30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6.40</w:t>
            </w:r>
          </w:p>
        </w:tc>
        <w:tc>
          <w:tcPr>
            <w:tcW w:w="2551" w:type="dxa"/>
            <w:vAlign w:val="center"/>
          </w:tcPr>
          <w:p>
            <w:pPr>
              <w:pStyle w:val="单元格样式4"/>
            </w:pPr>
          </w:p>
        </w:tc>
        <w:tc>
          <w:tcPr>
            <w:tcW w:w="2551" w:type="dxa"/>
            <w:vAlign w:val="center"/>
          </w:tcPr>
          <w:p>
            <w:pPr>
              <w:pStyle w:val="单元格样式4"/>
            </w:pPr>
            <w:r>
              <w:t xml:space="preserve">6.40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0.16</w:t>
            </w:r>
          </w:p>
        </w:tc>
        <w:tc>
          <w:tcPr>
            <w:tcW w:w="2551" w:type="dxa"/>
            <w:vAlign w:val="center"/>
          </w:tcPr>
          <w:p>
            <w:pPr>
              <w:pStyle w:val="单元格样式4"/>
            </w:pPr>
          </w:p>
        </w:tc>
        <w:tc>
          <w:tcPr>
            <w:tcW w:w="2551" w:type="dxa"/>
            <w:vAlign w:val="center"/>
          </w:tcPr>
          <w:p>
            <w:pPr>
              <w:pStyle w:val="单元格样式4"/>
            </w:pPr>
            <w:r>
              <w:t xml:space="preserve">0.16</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65.15</w:t>
            </w:r>
          </w:p>
        </w:tc>
        <w:tc>
          <w:tcPr>
            <w:tcW w:w="2551" w:type="dxa"/>
            <w:vAlign w:val="center"/>
          </w:tcPr>
          <w:p>
            <w:pPr>
              <w:pStyle w:val="单元格样式4"/>
            </w:pPr>
            <w:r>
              <w:t xml:space="preserve">65.15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64.09</w:t>
            </w:r>
          </w:p>
        </w:tc>
        <w:tc>
          <w:tcPr>
            <w:tcW w:w="2551" w:type="dxa"/>
            <w:vAlign w:val="center"/>
          </w:tcPr>
          <w:p>
            <w:pPr>
              <w:pStyle w:val="单元格样式4"/>
            </w:pPr>
            <w:r>
              <w:t xml:space="preserve">64.09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0.70</w:t>
            </w:r>
          </w:p>
        </w:tc>
        <w:tc>
          <w:tcPr>
            <w:tcW w:w="2551" w:type="dxa"/>
            <w:vAlign w:val="center"/>
          </w:tcPr>
          <w:p>
            <w:pPr>
              <w:pStyle w:val="单元格样式4"/>
            </w:pPr>
          </w:p>
        </w:tc>
        <w:tc>
          <w:tcPr>
            <w:tcW w:w="2551" w:type="dxa"/>
            <w:vAlign w:val="center"/>
          </w:tcPr>
          <w:p>
            <w:pPr>
              <w:pStyle w:val="单元格样式4"/>
            </w:pPr>
            <w:r>
              <w:t xml:space="preserve">0.70</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0.70</w:t>
            </w:r>
          </w:p>
        </w:tc>
        <w:tc>
          <w:tcPr>
            <w:tcW w:w="2551" w:type="dxa"/>
            <w:vAlign w:val="center"/>
          </w:tcPr>
          <w:p>
            <w:pPr>
              <w:pStyle w:val="单元格样式4"/>
            </w:pPr>
          </w:p>
        </w:tc>
        <w:tc>
          <w:tcPr>
            <w:tcW w:w="2551" w:type="dxa"/>
            <w:vAlign w:val="center"/>
          </w:tcPr>
          <w:p>
            <w:pPr>
              <w:pStyle w:val="单元格样式4"/>
            </w:pPr>
            <w:r>
              <w:t xml:space="preserve">0.70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新乐市融媒体中心2025年部门预算信息公开情况说明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新乐市融媒体中心2025年部门预算信息公开情况说明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按照《中华人民共和国预算法》、《地方预决算公开操作规程》和《关于进一步推进预算公开工作的实施意见》规定，现将新乐市融媒体中心2025年部门预算公开如下：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负责宣传贯彻执行党和国家的路线、方针、政策、把握正确的舆论导向，充分发挥党和政府的喉舌作用，围绕市委、市政府的中心工作开展新闻宣传；严格执行广播电视行业法规；负责完成传输中央、省、市广播电视节目；负责广播电视节目的采、编、播及广播、电视节目交流；负责自办节目的策划、采制、审查、包装以及播出编排和管理工作；负责广播电视对外宣传工作；负责广告和相关创收项目的策划、制作、经营及优质安全播出；负责完成市委、市政府和上级主管部门交办的其他工作任务。</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新乐市融媒体中心本级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财政性资金定额或定项补助</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按照预算管理有关规定，目前部门预算的编制实行综合预算管理，即全部收入和支出都反映在预算中。新乐市融媒体中心机关及所属事业单位的收支包含在部门预算中。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818.74万元，其中：一般公共预算收入818.74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融媒体中心年度部门预算中支出预算的总体情况。2025年支出预算818.74万元，其中基本支出818.74万元，包括人员经费792.70万元和日常公用经费26.04万元；项目支出0.00万元，主要为无项目</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2025年预算收支安排818.74万元，较2024年预算减少18.10万元，其中：基本支出增加13.10万元，主要为单位新聘人员4人，增加了工资、各项保险等各项。项目支出减少31.20万元，主要为减少了项目支出</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2025年，我部门机关运行经费共计安排26.04万元，主要用于日常维修、办公用房水电费、办公用房取暖费、办公用房物业管理费等日常运行支出。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预算</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一、总体绩效目标：  广播电影电视事业建设。宣传党的路线、方针、政策和市委市政府的工作部署，坚持正确舆论导向，发挥主流媒体作用；办好各类广播电视目；开展各类宣传工作；配合上级台完成我市的采访报道工作。负责全市广播电视微波电路正常运行和维护，负责相关设备的正常运行和维护，在在全市建立广播电视安全播出保障体系，负责全市广播电视、互联网安全优质播出。</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二、分项绩效目标：</w:t>
      </w:r>
    </w:p>
    <w:p>
      <w:pPr>
        <w:pStyle w:val="插入文本样式-插入职责分类绩效目标文件"/>
      </w:pPr>
      <w:r>
        <w:t xml:space="preserve">（一）广播电视节目制作播出</w:t>
      </w:r>
    </w:p>
    <w:p>
      <w:pPr>
        <w:pStyle w:val="插入文本样式-插入职责分类绩效目标文件"/>
      </w:pPr>
      <w:r>
        <w:t xml:space="preserve">绩效目标：研发新节目，打造品牌活动，媒体识别度和影响力进一步提升收听收看群体扩大。</w:t>
      </w:r>
    </w:p>
    <w:p>
      <w:pPr>
        <w:pStyle w:val="插入文本样式-插入职责分类绩效目标文件"/>
      </w:pPr>
      <w:r>
        <w:t xml:space="preserve">绩效指标：开办新数量栏目</w:t>
      </w:r>
    </w:p>
    <w:p>
      <w:pPr>
        <w:pStyle w:val="插入文本样式-插入职责分类绩效目标文件"/>
      </w:pPr>
      <w:r>
        <w:t xml:space="preserve">（二）广播电视节目制作能力建设</w:t>
      </w:r>
    </w:p>
    <w:p>
      <w:pPr>
        <w:pStyle w:val="插入文本样式-插入职责分类绩效目标文件"/>
      </w:pPr>
      <w:r>
        <w:t xml:space="preserve">绩效目标：通过技术升级，实现县级台内容资源互通互享，提高节目制作能力和传播能力；拓展新媒体传播途径，开拓新型业务。</w:t>
      </w:r>
    </w:p>
    <w:p>
      <w:pPr>
        <w:pStyle w:val="插入文本样式-插入职责分类绩效目标文件"/>
      </w:pPr>
      <w:r>
        <w:t xml:space="preserve">绩效指标:新媒体设备利用率</w:t>
      </w:r>
    </w:p>
    <w:p>
      <w:pPr>
        <w:pStyle w:val="插入文本样式-插入职责分类绩效目标文件"/>
      </w:pPr>
      <w:r>
        <w:t xml:space="preserve">（三）综合事务管理</w:t>
      </w:r>
    </w:p>
    <w:p>
      <w:pPr>
        <w:pStyle w:val="插入文本样式-插入职责分类绩效目标文件"/>
      </w:pPr>
      <w:r>
        <w:t xml:space="preserve">绩效目标：保障机关工作正常高效运转</w:t>
      </w:r>
    </w:p>
    <w:p>
      <w:pPr>
        <w:pStyle w:val="插入文本样式-插入职责分类绩效目标文件"/>
      </w:pPr>
      <w:r>
        <w:t xml:space="preserve">绩效指标：综合事务管理工作完成率</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三、工作保障措施：</w:t>
      </w:r>
    </w:p>
    <w:p>
      <w:pPr>
        <w:pStyle w:val="插入文本样式-插入实现年度发展规划目标的保障措施文件"/>
      </w:pPr>
      <w:r>
        <w:t xml:space="preserve">1、广播电视节目制作播出。     坚持正确舆论导向，发挥主流媒体作用，加强内容形式以及方法手段创新，提高广播电视覆盖人口规和数量，提升影响力。2023年新乐市融媒体中心将整合众多公共媒介资源，推动传统媒体和新兴媒体深度融合，大大提高电视节目的制作和播出。</w:t>
      </w:r>
    </w:p>
    <w:p>
      <w:pPr>
        <w:pStyle w:val="插入文本样式-插入实现年度发展规划目标的保障措施文件"/>
      </w:pPr>
      <w:r>
        <w:t xml:space="preserve">2、广播电视节目制作能力建设。</w:t>
      </w:r>
    </w:p>
    <w:p>
      <w:pPr>
        <w:pStyle w:val="插入文本样式-插入实现年度发展规划目标的保障措施文件"/>
      </w:pPr>
      <w:r>
        <w:t xml:space="preserve">加强技术管理、技术升级改造及设备设施维护，开展新技术应用。2023年新乐市融媒体中心的建设将对专业设备升级改造，以适应新技术需要和有效保障安全优质播出；进一步提升了广播电视节目采、编、播能力。</w:t>
      </w:r>
    </w:p>
    <w:p>
      <w:pPr>
        <w:pStyle w:val="插入文本样式-插入实现年度发展规划目标的保障措施文件"/>
      </w:pPr>
      <w:r>
        <w:t xml:space="preserve">3、安全播出管理。       对于节目的安全播出，专业人员定期对技术系统、基础设施和辅助安全播出设施进行巡检、维修保养及软件升级等，保证节目的安全播出。</w:t>
      </w:r>
    </w:p>
    <w:p>
      <w:pPr>
        <w:pStyle w:val="插入文本样式-插入实现年度发展规划目标的保障措施文件"/>
      </w:pPr>
      <w:r>
        <w:t xml:space="preserve">4、提高节目覆盖率</w:t>
      </w:r>
    </w:p>
    <w:p>
      <w:pPr>
        <w:pStyle w:val="插入文本样式-插入实现年度发展规划目标的保障措施文件"/>
      </w:pPr>
      <w:r>
        <w:t xml:space="preserve">融媒体中心建设整合网站、广播、电视、微信等公共媒介资源，推动传统媒体和新兴媒体多方位、多渠道、多平台深度融合，打造技术先进、传输快捷、覆盖广泛的现代化传播体系，该媒体中心的建成是县级媒体转型升级的重大战略工程，技术系统、基础设施和辅助设施的运行维护工作是融媒体中心的重中之重，关系着融媒体中心的技术能力，传播速度和传播范围。</w:t>
      </w:r>
    </w:p>
    <w:p>
      <w:pPr>
        <w:pStyle w:val="插入文本样式-插入实现年度发展规划目标的保障措施文件"/>
      </w:pPr>
      <w:r>
        <w:t xml:space="preserve">5、综合事务管理</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开展专业人员的研究、培训、后勤保障以及其他各项基础性保障工作。</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0.70</w:t>
            </w:r>
          </w:p>
        </w:tc>
        <w:tc>
          <w:tcPr>
            <w:tcW w:w="964" w:type="dxa"/>
            <w:vAlign w:val="center"/>
          </w:tcPr>
          <w:p>
            <w:pPr>
              <w:pStyle w:val="单元格样式7"/>
            </w:pPr>
            <w:r>
              <w:t xml:space="preserve">0.70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0.70</w:t>
            </w:r>
          </w:p>
        </w:tc>
      </w:tr>
      <w:tr>
        <w:trPr>
          <w:cantSplit/>
          <w:trHeight w:hRule="auto" w:val="0"/>
          <w:jc w:val="center"/>
        </w:trPr>
        <w:tc>
          <w:tcPr>
            <w:tcW w:w="1701" w:type="dxa"/>
            <w:vAlign w:val="center"/>
          </w:tcPr>
          <w:p>
            <w:pPr>
              <w:pStyle w:val="单元格样式6"/>
            </w:pPr>
            <w:r>
              <w:t xml:space="preserve">新乐市融媒体中心本级小计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0.70</w:t>
            </w:r>
          </w:p>
        </w:tc>
        <w:tc>
          <w:tcPr>
            <w:tcW w:w="964" w:type="dxa"/>
            <w:vAlign w:val="center"/>
          </w:tcPr>
          <w:p>
            <w:pPr>
              <w:pStyle w:val="单元格样式7"/>
            </w:pPr>
            <w:r>
              <w:t xml:space="preserve">0.70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0.70</w:t>
            </w:r>
          </w:p>
        </w:tc>
      </w:tr>
      <w:tr>
        <w:trPr>
          <w:cantSplit/>
          <w:trHeight w:hRule="auto" w:val="0"/>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26.04</w:t>
            </w:r>
          </w:p>
        </w:tc>
        <w:tc>
          <w:tcPr>
            <w:tcW w:w="1134" w:type="dxa"/>
            <w:vAlign w:val="center"/>
          </w:tcPr>
          <w:p>
            <w:pPr>
              <w:pStyle w:val="单元格样式2"/>
            </w:pPr>
            <w:r>
              <w:t xml:space="preserve">其他计算机</w:t>
            </w:r>
          </w:p>
        </w:tc>
        <w:tc>
          <w:tcPr>
            <w:tcW w:w="1134" w:type="dxa"/>
            <w:vAlign w:val="center"/>
          </w:tcPr>
          <w:p>
            <w:pPr>
              <w:pStyle w:val="单元格样式2"/>
            </w:pPr>
            <w:r>
              <w:t xml:space="preserve">A02010199</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0.51</w:t>
            </w:r>
          </w:p>
        </w:tc>
        <w:tc>
          <w:tcPr>
            <w:tcW w:w="964" w:type="dxa"/>
            <w:vAlign w:val="center"/>
          </w:tcPr>
          <w:p>
            <w:pPr>
              <w:pStyle w:val="单元格样式4"/>
            </w:pPr>
            <w:r>
              <w:t xml:space="preserve">0.51</w:t>
            </w:r>
          </w:p>
        </w:tc>
        <w:tc>
          <w:tcPr>
            <w:tcW w:w="964" w:type="dxa"/>
            <w:vAlign w:val="center"/>
          </w:tcPr>
          <w:p>
            <w:pPr>
              <w:pStyle w:val="单元格样式4"/>
            </w:pPr>
            <w:r>
              <w:t xml:space="preserve">0.51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0.51</w:t>
            </w:r>
          </w:p>
        </w:tc>
      </w:tr>
      <w:tr>
        <w:trPr>
          <w:cantSplit/>
          <w:trHeight w:hRule="auto" w:val="0"/>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26.04</w:t>
            </w:r>
          </w:p>
        </w:tc>
        <w:tc>
          <w:tcPr>
            <w:tcW w:w="1134" w:type="dxa"/>
            <w:vAlign w:val="center"/>
          </w:tcPr>
          <w:p>
            <w:pPr>
              <w:pStyle w:val="单元格样式2"/>
            </w:pPr>
            <w:r>
              <w:t xml:space="preserve">其他打印机</w:t>
            </w:r>
          </w:p>
        </w:tc>
        <w:tc>
          <w:tcPr>
            <w:tcW w:w="1134" w:type="dxa"/>
            <w:vAlign w:val="center"/>
          </w:tcPr>
          <w:p>
            <w:pPr>
              <w:pStyle w:val="单元格样式2"/>
            </w:pPr>
            <w:r>
              <w:t xml:space="preserve">A02021099</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0.19</w:t>
            </w:r>
          </w:p>
        </w:tc>
        <w:tc>
          <w:tcPr>
            <w:tcW w:w="964" w:type="dxa"/>
            <w:vAlign w:val="center"/>
          </w:tcPr>
          <w:p>
            <w:pPr>
              <w:pStyle w:val="单元格样式4"/>
            </w:pPr>
            <w:r>
              <w:t xml:space="preserve">0.19</w:t>
            </w:r>
          </w:p>
        </w:tc>
        <w:tc>
          <w:tcPr>
            <w:tcW w:w="964" w:type="dxa"/>
            <w:vAlign w:val="center"/>
          </w:tcPr>
          <w:p>
            <w:pPr>
              <w:pStyle w:val="单元格样式4"/>
            </w:pPr>
            <w:r>
              <w:t xml:space="preserve">0.19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0.19</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新乐市融媒体中心（含所属单位）上年末固定资产金额为2113.52万元（详见下表）。本年度拟购置固定资产总额为0.00万元，已按要求列入政府采购预算，详见政府采购预算表。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359新乐市融媒体中心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2113.52</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2769</w:t>
            </w:r>
          </w:p>
        </w:tc>
        <w:tc>
          <w:tcPr>
            <w:tcW w:w="2835" w:type="dxa"/>
            <w:vAlign w:val="center"/>
          </w:tcPr>
          <w:p>
            <w:pPr>
              <w:pStyle w:val="单元格样式4"/>
            </w:pPr>
            <w:r>
              <w:t xml:space="preserve">436.82</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621</w:t>
            </w:r>
          </w:p>
        </w:tc>
        <w:tc>
          <w:tcPr>
            <w:tcW w:w="2835" w:type="dxa"/>
            <w:vAlign w:val="center"/>
          </w:tcPr>
          <w:p>
            <w:pPr>
              <w:pStyle w:val="单元格样式4"/>
            </w:pPr>
            <w:r>
              <w:t xml:space="preserve">389.52</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6</w:t>
            </w:r>
          </w:p>
        </w:tc>
        <w:tc>
          <w:tcPr>
            <w:tcW w:w="2835" w:type="dxa"/>
            <w:vAlign w:val="center"/>
          </w:tcPr>
          <w:p>
            <w:pPr>
              <w:pStyle w:val="单元格样式4"/>
            </w:pPr>
            <w:r>
              <w:t xml:space="preserve">205.89</w:t>
            </w: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908</w:t>
            </w:r>
          </w:p>
        </w:tc>
        <w:tc>
          <w:tcPr>
            <w:tcW w:w="2835" w:type="dxa"/>
            <w:vAlign w:val="center"/>
          </w:tcPr>
          <w:p>
            <w:pPr>
              <w:pStyle w:val="单元格样式4"/>
            </w:pPr>
            <w:r>
              <w:t xml:space="preserve">1470.81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23</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2025-09-11T16:31:50Z</dcterms:created>
  <dcterms:modified xsi:type="dcterms:W3CDTF">2025-09-11T16:31:50Z</dcterms:modified>
</cp:coreProperties>
</file>