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bidi w:val="0"/>
        <w:spacing w:line="592" w:lineRule="exact"/>
        <w:jc w:val="both"/>
        <w:textAlignment w:val="auto"/>
        <w:rPr>
          <w:rFonts w:hint="eastAsia" w:ascii="黑体" w:hAnsi="黑体" w:eastAsia="黑体"/>
          <w:sz w:val="44"/>
          <w:szCs w:val="44"/>
          <w:lang w:eastAsia="zh-CN"/>
        </w:rPr>
      </w:pPr>
    </w:p>
    <w:p>
      <w:pPr>
        <w:keepNext w:val="0"/>
        <w:keepLines w:val="0"/>
        <w:pageBreakBefore w:val="0"/>
        <w:kinsoku/>
        <w:wordWrap/>
        <w:overflowPunct/>
        <w:topLinePunct w:val="0"/>
        <w:autoSpaceDE/>
        <w:bidi w:val="0"/>
        <w:spacing w:line="592" w:lineRule="exact"/>
        <w:jc w:val="both"/>
        <w:textAlignment w:val="auto"/>
        <w:rPr>
          <w:rFonts w:hint="eastAsia" w:ascii="黑体" w:hAnsi="黑体" w:eastAsia="黑体"/>
          <w:sz w:val="44"/>
          <w:szCs w:val="44"/>
          <w:lang w:eastAsia="zh-CN"/>
        </w:rPr>
      </w:pPr>
    </w:p>
    <w:p>
      <w:pPr>
        <w:keepNext w:val="0"/>
        <w:keepLines w:val="0"/>
        <w:pageBreakBefore w:val="0"/>
        <w:kinsoku/>
        <w:wordWrap/>
        <w:overflowPunct/>
        <w:topLinePunct w:val="0"/>
        <w:autoSpaceDE/>
        <w:bidi w:val="0"/>
        <w:spacing w:line="592" w:lineRule="exact"/>
        <w:jc w:val="center"/>
        <w:textAlignment w:val="auto"/>
        <w:rPr>
          <w:rFonts w:ascii="黑体" w:hAnsi="黑体" w:eastAsia="黑体"/>
          <w:sz w:val="44"/>
          <w:szCs w:val="44"/>
        </w:rPr>
      </w:pPr>
    </w:p>
    <w:p>
      <w:pPr>
        <w:jc w:val="center"/>
        <w:rPr>
          <w:rFonts w:hint="eastAsia"/>
          <w:b/>
          <w:bCs/>
          <w:w w:val="80"/>
          <w:sz w:val="96"/>
          <w:szCs w:val="96"/>
        </w:rPr>
      </w:pPr>
      <w:bookmarkStart w:id="0" w:name="OLE_LINK1"/>
      <w:r>
        <w:rPr>
          <w:rFonts w:hint="eastAsia" w:ascii="方正大标宋_GBK" w:hAnsi="方正大标宋_GBK" w:eastAsia="方正大标宋_GBK" w:cs="方正大标宋_GBK"/>
          <w:b/>
          <w:bCs/>
          <w:color w:val="FF0000"/>
          <w:w w:val="80"/>
          <w:sz w:val="96"/>
          <w:szCs w:val="96"/>
        </w:rPr>
        <w:t>新乐市</w:t>
      </w:r>
      <w:r>
        <w:rPr>
          <w:rFonts w:hint="eastAsia" w:ascii="方正大标宋_GBK" w:hAnsi="方正大标宋_GBK" w:eastAsia="方正大标宋_GBK" w:cs="方正大标宋_GBK"/>
          <w:b/>
          <w:bCs/>
          <w:color w:val="FF0000"/>
          <w:w w:val="80"/>
          <w:sz w:val="96"/>
          <w:szCs w:val="96"/>
          <w:lang w:eastAsia="zh-CN"/>
        </w:rPr>
        <w:t>应急管理局</w:t>
      </w:r>
      <w:r>
        <w:rPr>
          <w:rFonts w:hint="eastAsia" w:ascii="方正大标宋_GBK" w:hAnsi="方正大标宋_GBK" w:eastAsia="方正大标宋_GBK" w:cs="方正大标宋_GBK"/>
          <w:b/>
          <w:bCs/>
          <w:color w:val="FF0000"/>
          <w:w w:val="80"/>
          <w:sz w:val="96"/>
          <w:szCs w:val="96"/>
        </w:rPr>
        <w:t>文件</w:t>
      </w:r>
    </w:p>
    <w:p>
      <w:pPr>
        <w:jc w:val="center"/>
        <w:rPr>
          <w:rFonts w:hint="eastAsia" w:ascii="方正仿宋_GBK" w:hAnsi="方正仿宋_GBK" w:eastAsia="方正仿宋_GBK" w:cs="方正仿宋_GBK"/>
          <w:b/>
          <w:bCs/>
          <w:sz w:val="16"/>
          <w:szCs w:val="16"/>
        </w:rPr>
      </w:pPr>
    </w:p>
    <w:p>
      <w:pPr>
        <w:jc w:val="center"/>
        <w:rPr>
          <w:rFonts w:hint="eastAsia" w:ascii="仿宋_GB2312" w:hAnsi="方正仿宋_GBK" w:eastAsia="仿宋_GB2312" w:cs="方正仿宋_GBK"/>
          <w:sz w:val="32"/>
          <w:szCs w:val="32"/>
        </w:rPr>
      </w:pPr>
      <w:r>
        <w:rPr>
          <w:rFonts w:hint="eastAsia" w:ascii="仿宋_GB2312" w:hAnsi="方正仿宋_GBK" w:eastAsia="仿宋_GB2312" w:cs="方正仿宋_GBK"/>
          <w:sz w:val="32"/>
          <w:szCs w:val="32"/>
        </w:rPr>
        <w:t>新</w:t>
      </w:r>
      <w:r>
        <w:rPr>
          <w:rFonts w:hint="eastAsia" w:ascii="仿宋_GB2312" w:hAnsi="方正仿宋_GBK" w:eastAsia="仿宋_GB2312" w:cs="方正仿宋_GBK"/>
          <w:sz w:val="32"/>
          <w:szCs w:val="32"/>
          <w:lang w:eastAsia="zh-CN"/>
        </w:rPr>
        <w:t>应急</w:t>
      </w:r>
      <w:r>
        <w:rPr>
          <w:rFonts w:hint="eastAsia" w:ascii="仿宋_GB2312" w:hAnsi="方正仿宋_GBK" w:eastAsia="仿宋_GB2312" w:cs="方正仿宋_GBK"/>
          <w:sz w:val="32"/>
          <w:szCs w:val="32"/>
        </w:rPr>
        <w:t>〔20</w:t>
      </w:r>
      <w:r>
        <w:rPr>
          <w:rFonts w:hint="eastAsia" w:ascii="仿宋_GB2312" w:hAnsi="方正仿宋_GBK" w:eastAsia="仿宋_GB2312" w:cs="方正仿宋_GBK"/>
          <w:sz w:val="32"/>
          <w:szCs w:val="32"/>
          <w:lang w:val="en-US" w:eastAsia="zh-CN"/>
        </w:rPr>
        <w:t>26</w:t>
      </w:r>
      <w:r>
        <w:rPr>
          <w:rFonts w:hint="eastAsia" w:ascii="仿宋_GB2312" w:hAnsi="方正仿宋_GBK" w:eastAsia="仿宋_GB2312" w:cs="方正仿宋_GBK"/>
          <w:sz w:val="32"/>
          <w:szCs w:val="32"/>
        </w:rPr>
        <w:t>〕</w:t>
      </w:r>
      <w:r>
        <w:rPr>
          <w:rFonts w:hint="eastAsia" w:ascii="仿宋_GB2312" w:hAnsi="方正仿宋_GBK" w:eastAsia="仿宋_GB2312" w:cs="方正仿宋_GBK"/>
          <w:sz w:val="32"/>
          <w:szCs w:val="32"/>
          <w:lang w:val="en-US" w:eastAsia="zh-CN"/>
        </w:rPr>
        <w:t>1</w:t>
      </w:r>
      <w:r>
        <w:rPr>
          <w:rFonts w:hint="eastAsia" w:ascii="仿宋_GB2312" w:hAnsi="方正仿宋_GBK" w:eastAsia="仿宋_GB2312" w:cs="方正仿宋_GBK"/>
          <w:sz w:val="32"/>
          <w:szCs w:val="32"/>
        </w:rPr>
        <w:t>号</w:t>
      </w:r>
    </w:p>
    <w:p>
      <w:pPr>
        <w:ind w:left="13" w:hanging="12" w:hangingChars="6"/>
      </w:pPr>
      <w:r>
        <mc:AlternateContent>
          <mc:Choice Requires="wpg">
            <w:drawing>
              <wp:inline distT="0" distB="0" distL="114300" distR="114300">
                <wp:extent cx="5819140" cy="396240"/>
                <wp:effectExtent l="0" t="15875" r="0" b="0"/>
                <wp:docPr id="10" name="组合 10"/>
                <wp:cNvGraphicFramePr/>
                <a:graphic xmlns:a="http://schemas.openxmlformats.org/drawingml/2006/main">
                  <a:graphicData uri="http://schemas.microsoft.com/office/word/2010/wordprocessingGroup">
                    <wpg:wgp>
                      <wpg:cNvGrpSpPr>
                        <a:grpSpLocks noRot="1"/>
                      </wpg:cNvGrpSpPr>
                      <wpg:grpSpPr>
                        <a:xfrm>
                          <a:off x="0" y="0"/>
                          <a:ext cx="5819140" cy="396240"/>
                          <a:chOff x="0" y="0"/>
                          <a:chExt cx="9000" cy="624"/>
                        </a:xfrm>
                      </wpg:grpSpPr>
                      <wps:wsp>
                        <wps:cNvPr id="2" name="矩形 2"/>
                        <wps:cNvSpPr>
                          <a:spLocks noChangeAspect="1"/>
                        </wps:cNvSpPr>
                        <wps:spPr>
                          <a:xfrm>
                            <a:off x="0" y="0"/>
                            <a:ext cx="9000" cy="624"/>
                          </a:xfrm>
                          <a:prstGeom prst="rect">
                            <a:avLst/>
                          </a:prstGeom>
                          <a:noFill/>
                          <a:ln>
                            <a:noFill/>
                          </a:ln>
                        </wps:spPr>
                        <wps:bodyPr upright="1"/>
                      </wps:wsp>
                      <wps:wsp>
                        <wps:cNvPr id="4" name="五角星 4"/>
                        <wps:cNvSpPr/>
                        <wps:spPr>
                          <a:xfrm>
                            <a:off x="4226" y="0"/>
                            <a:ext cx="454" cy="454"/>
                          </a:xfrm>
                          <a:prstGeom prst="star5">
                            <a:avLst/>
                          </a:prstGeom>
                          <a:solidFill>
                            <a:srgbClr val="FF0000"/>
                          </a:solidFill>
                          <a:ln w="9525" cap="flat" cmpd="sng">
                            <a:solidFill>
                              <a:srgbClr val="FF0000"/>
                            </a:solidFill>
                            <a:prstDash val="solid"/>
                            <a:miter/>
                            <a:headEnd type="none" w="med" len="med"/>
                            <a:tailEnd type="none" w="med" len="med"/>
                          </a:ln>
                        </wps:spPr>
                        <wps:bodyPr upright="1"/>
                      </wps:wsp>
                      <wps:wsp>
                        <wps:cNvPr id="5" name="直接连接符 5"/>
                        <wps:cNvSpPr/>
                        <wps:spPr>
                          <a:xfrm>
                            <a:off x="4759" y="240"/>
                            <a:ext cx="4061" cy="1"/>
                          </a:xfrm>
                          <a:prstGeom prst="line">
                            <a:avLst/>
                          </a:prstGeom>
                          <a:ln w="19050" cap="flat" cmpd="sng">
                            <a:solidFill>
                              <a:srgbClr val="FF0000"/>
                            </a:solidFill>
                            <a:prstDash val="solid"/>
                            <a:headEnd type="none" w="med" len="med"/>
                            <a:tailEnd type="none" w="med" len="med"/>
                          </a:ln>
                        </wps:spPr>
                        <wps:bodyPr upright="1"/>
                      </wps:wsp>
                      <wps:wsp>
                        <wps:cNvPr id="9" name="直接连接符 9"/>
                        <wps:cNvSpPr/>
                        <wps:spPr>
                          <a:xfrm>
                            <a:off x="0" y="224"/>
                            <a:ext cx="4140" cy="1"/>
                          </a:xfrm>
                          <a:prstGeom prst="line">
                            <a:avLst/>
                          </a:prstGeom>
                          <a:ln w="19050" cap="flat" cmpd="sng">
                            <a:solidFill>
                              <a:srgbClr val="FF0000"/>
                            </a:solidFill>
                            <a:prstDash val="solid"/>
                            <a:headEnd type="none" w="med" len="med"/>
                            <a:tailEnd type="none" w="med" len="med"/>
                          </a:ln>
                        </wps:spPr>
                        <wps:bodyPr upright="1"/>
                      </wps:wsp>
                    </wpg:wgp>
                  </a:graphicData>
                </a:graphic>
              </wp:inline>
            </w:drawing>
          </mc:Choice>
          <mc:Fallback>
            <w:pict>
              <v:group id="_x0000_s1026" o:spid="_x0000_s1026" o:spt="203" style="height:31.2pt;width:458.2pt;" coordsize="9000,624" o:gfxdata="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BR8ecdYAAAAEAQAADwAAAAAAAAAB&#10;ACAAAAAiAAAAZHJzL2Rvd25yZXYueG1sUEsBAhQAFAAAAAgAh07iQAWLwCQvAwAA/woAAA4AAAAA&#10;AAAAAQAgAAAAJQEAAGRycy9lMm9Eb2MueG1sUEsFBgAAAAAGAAYAWQEAAMYGAAAAAA==&#10;">
                <o:lock v:ext="edit" grouping="f" rotation="t" text="f" aspectratio="f"/>
                <v:rect id="_x0000_s1026" o:spid="_x0000_s1026" o:spt="1" style="position:absolute;left:0;top:0;height:624;width:9000;" filled="f" stroked="f" coordsize="21600,21600" o:gfxdata="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zqtzq8AAAA&#10;2gAAAA8AAAAAAAAAAQAgAAAAIgAAAGRycy9kb3ducmV2LnhtbFBLAQIUABQAAAAIAIdO4kAzLwWe&#10;OwAAADkAAAAQAAAAAAAAAAEAIAAAAAsBAABkcnMvc2hhcGV4bWwueG1sUEsFBgAAAAAGAAYAWwEA&#10;ALUDAAAAAA==&#10;">
                  <v:fill on="f" focussize="0,0"/>
                  <v:stroke on="f"/>
                  <v:imagedata o:title=""/>
                  <o:lock v:ext="edit" aspectratio="t"/>
                </v:rect>
                <v:shape id="_x0000_s1026" o:spid="_x0000_s1026" style="position:absolute;left:4226;top:0;height:454;width:454;" fillcolor="#FF0000" filled="t" stroked="t" coordsize="454,454" o:gfxdata="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dzYAq8AAAA&#10;2gAAAA8AAAAAAAAAAQAgAAAAIgAAAGRycy9kb3ducmV2LnhtbFBLAQIUABQAAAAIAIdO4kAzLwWe&#10;OwAAADkAAAAQAAAAAAAAAAEAIAAAAAsBAABkcnMvc2hhcGV4bWwueG1sUEsFBgAAAAAGAAYAWwEA&#10;ALUDAAAAAA==&#10;" path="m0,173l173,173,227,0,280,173,453,173,313,280,367,453,227,346,86,453,140,280xe">
                  <v:path o:connectlocs="227,0;0,173;86,453;367,453;453,173" o:connectangles="247,164,82,82,0"/>
                  <v:fill on="t" focussize="0,0"/>
                  <v:stroke color="#FF0000" joinstyle="miter"/>
                  <v:imagedata o:title=""/>
                  <o:lock v:ext="edit" aspectratio="f"/>
                </v:shape>
                <v:line id="_x0000_s1026" o:spid="_x0000_s1026" o:spt="20" style="position:absolute;left:4759;top:240;height:1;width:4061;" filled="f" stroked="t" coordsize="21600,21600" o:gfxdata="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dBZJvQAA&#10;ANoAAAAPAAAAAAAAAAEAIAAAACIAAABkcnMvZG93bnJldi54bWxQSwECFAAUAAAACACHTuJAMy8F&#10;njsAAAA5AAAAEAAAAAAAAAABACAAAAAMAQAAZHJzL3NoYXBleG1sLnhtbFBLBQYAAAAABgAGAFsB&#10;AAC2AwAAAAA=&#10;">
                  <v:fill on="f" focussize="0,0"/>
                  <v:stroke weight="1.5pt" color="#FF0000" joinstyle="round"/>
                  <v:imagedata o:title=""/>
                  <o:lock v:ext="edit" aspectratio="f"/>
                </v:line>
                <v:line id="_x0000_s1026" o:spid="_x0000_s1026" o:spt="20" style="position:absolute;left:0;top:224;height:1;width:4140;" filled="f" stroked="t" coordsize="21600,21600" o:gfxdata="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M5HEy8AAAA&#10;2gAAAA8AAAAAAAAAAQAgAAAAIgAAAGRycy9kb3ducmV2LnhtbFBLAQIUABQAAAAIAIdO4kAzLwWe&#10;OwAAADkAAAAQAAAAAAAAAAEAIAAAAAsBAABkcnMvc2hhcGV4bWwueG1sUEsFBgAAAAAGAAYAWwEA&#10;ALUDAAAAAA==&#10;">
                  <v:fill on="f" focussize="0,0"/>
                  <v:stroke weight="1.5pt" color="#FF0000" joinstyle="round"/>
                  <v:imagedata o:title=""/>
                  <o:lock v:ext="edit" aspectratio="f"/>
                </v:line>
                <w10:wrap type="none"/>
                <w10:anchorlock/>
              </v:group>
            </w:pict>
          </mc:Fallback>
        </mc:AlternateContent>
      </w:r>
    </w:p>
    <w:bookmarkEnd w:id="0"/>
    <w:p>
      <w:pPr>
        <w:keepNext w:val="0"/>
        <w:keepLines w:val="0"/>
        <w:pageBreakBefore w:val="0"/>
        <w:kinsoku/>
        <w:wordWrap/>
        <w:overflowPunct/>
        <w:topLinePunct w:val="0"/>
        <w:autoSpaceDE/>
        <w:bidi w:val="0"/>
        <w:spacing w:line="592" w:lineRule="exact"/>
        <w:jc w:val="center"/>
        <w:textAlignment w:val="auto"/>
        <w:rPr>
          <w:rFonts w:ascii="黑体" w:hAnsi="黑体" w:eastAsia="黑体"/>
          <w:sz w:val="44"/>
          <w:szCs w:val="44"/>
        </w:rPr>
      </w:pPr>
    </w:p>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hint="eastAsia" w:ascii="微软雅黑" w:hAnsi="微软雅黑" w:eastAsia="微软雅黑" w:cs="微软雅黑"/>
          <w:sz w:val="44"/>
          <w:szCs w:val="44"/>
          <w:lang w:eastAsia="zh-CN"/>
        </w:rPr>
      </w:pPr>
      <w:bookmarkStart w:id="1" w:name="_GoBack"/>
      <w:bookmarkEnd w:id="1"/>
      <w:r>
        <w:rPr>
          <w:rFonts w:hint="eastAsia" w:ascii="微软雅黑" w:hAnsi="微软雅黑" w:eastAsia="微软雅黑" w:cs="微软雅黑"/>
          <w:sz w:val="44"/>
          <w:szCs w:val="44"/>
          <w:lang w:eastAsia="zh-CN"/>
        </w:rPr>
        <w:t>新乐市应急管理局</w:t>
      </w:r>
    </w:p>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hint="eastAsia" w:ascii="微软雅黑" w:hAnsi="微软雅黑" w:eastAsia="微软雅黑" w:cs="微软雅黑"/>
          <w:sz w:val="44"/>
          <w:szCs w:val="44"/>
          <w:lang w:eastAsia="zh-CN"/>
        </w:rPr>
      </w:pPr>
      <w:r>
        <w:rPr>
          <w:rFonts w:hint="eastAsia" w:ascii="微软雅黑" w:hAnsi="微软雅黑" w:eastAsia="微软雅黑" w:cs="微软雅黑"/>
          <w:sz w:val="44"/>
          <w:szCs w:val="44"/>
          <w:lang w:eastAsia="zh-CN"/>
        </w:rPr>
        <w:t>20</w:t>
      </w:r>
      <w:r>
        <w:rPr>
          <w:rFonts w:hint="eastAsia" w:ascii="微软雅黑" w:hAnsi="微软雅黑" w:eastAsia="微软雅黑" w:cs="微软雅黑"/>
          <w:sz w:val="44"/>
          <w:szCs w:val="44"/>
          <w:lang w:val="en-US" w:eastAsia="zh-CN"/>
        </w:rPr>
        <w:t>26</w:t>
      </w:r>
      <w:r>
        <w:rPr>
          <w:rFonts w:hint="eastAsia" w:ascii="微软雅黑" w:hAnsi="微软雅黑" w:eastAsia="微软雅黑" w:cs="微软雅黑"/>
          <w:sz w:val="44"/>
          <w:szCs w:val="44"/>
          <w:lang w:eastAsia="zh-CN"/>
        </w:rPr>
        <w:t>年安全生产监督检查计划</w:t>
      </w:r>
    </w:p>
    <w:p>
      <w:pPr>
        <w:keepNext w:val="0"/>
        <w:keepLines w:val="0"/>
        <w:pageBreakBefore w:val="0"/>
        <w:kinsoku/>
        <w:wordWrap/>
        <w:overflowPunct/>
        <w:topLinePunct w:val="0"/>
        <w:autoSpaceDE/>
        <w:bidi w:val="0"/>
        <w:spacing w:line="592" w:lineRule="exact"/>
        <w:jc w:val="both"/>
        <w:textAlignment w:val="auto"/>
        <w:rPr>
          <w:rFonts w:hint="default" w:ascii="黑体" w:hAnsi="黑体" w:eastAsia="黑体" w:cs="Times New Roman"/>
          <w:sz w:val="21"/>
          <w:szCs w:val="21"/>
        </w:rPr>
      </w:pPr>
    </w:p>
    <w:p>
      <w:pPr>
        <w:keepNext w:val="0"/>
        <w:keepLines w:val="0"/>
        <w:pageBreakBefore w:val="0"/>
        <w:widowControl w:val="0"/>
        <w:kinsoku/>
        <w:wordWrap/>
        <w:overflowPunct/>
        <w:topLinePunct w:val="0"/>
        <w:autoSpaceDE/>
        <w:autoSpaceDN/>
        <w:bidi w:val="0"/>
        <w:spacing w:line="592"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auto"/>
          <w:sz w:val="32"/>
          <w:szCs w:val="32"/>
          <w:lang w:val="en-US" w:eastAsia="zh-CN"/>
        </w:rPr>
        <w:t>为依法履行对危险化学品、工商贸生产经营单位的安全生产监督检查职责，督促生产经营单位严格落实安全生产主体责任，切实提高监管执法质量，根据《中华人民共和国安全生产法》《河北省安全生产条例》《安全生产年度监督检查计划编制办法》《关于印发河北省应急管理系统安全生产分类分级执法暂行办法的通知》等相关法律法规规定，结合我市实际，制定本计划。</w:t>
      </w:r>
    </w:p>
    <w:p>
      <w:pPr>
        <w:keepNext w:val="0"/>
        <w:keepLines w:val="0"/>
        <w:pageBreakBefore w:val="0"/>
        <w:widowControl w:val="0"/>
        <w:kinsoku/>
        <w:wordWrap/>
        <w:overflowPunct/>
        <w:topLinePunct w:val="0"/>
        <w:autoSpaceDE/>
        <w:autoSpaceDN/>
        <w:bidi w:val="0"/>
        <w:spacing w:line="592" w:lineRule="exact"/>
        <w:ind w:left="0" w:leftChars="0" w:right="0" w:rightChars="0" w:firstLine="643" w:firstLineChars="200"/>
        <w:jc w:val="both"/>
        <w:textAlignment w:val="auto"/>
        <w:rPr>
          <w:rFonts w:hint="default" w:ascii="Times New Roman" w:hAnsi="Times New Roman" w:eastAsia="仿宋_GB2312" w:cs="Times New Roman"/>
          <w:b/>
          <w:bCs/>
          <w:color w:val="000000" w:themeColor="text1"/>
          <w:sz w:val="32"/>
          <w:szCs w:val="32"/>
          <w14:textFill>
            <w14:solidFill>
              <w14:schemeClr w14:val="tx1"/>
            </w14:solidFill>
          </w14:textFill>
        </w:rPr>
      </w:pPr>
      <w:r>
        <w:rPr>
          <w:rFonts w:hint="default" w:ascii="Times New Roman" w:hAnsi="Times New Roman" w:eastAsia="黑体" w:cs="Times New Roman"/>
          <w:b/>
          <w:bCs/>
          <w:color w:val="000000" w:themeColor="text1"/>
          <w:sz w:val="32"/>
          <w:szCs w:val="32"/>
          <w14:textFill>
            <w14:solidFill>
              <w14:schemeClr w14:val="tx1"/>
            </w14:solidFill>
          </w14:textFill>
        </w:rPr>
        <w:t>一、总体安排</w:t>
      </w:r>
    </w:p>
    <w:p>
      <w:pPr>
        <w:keepNext w:val="0"/>
        <w:keepLines w:val="0"/>
        <w:pageBreakBefore w:val="0"/>
        <w:widowControl w:val="0"/>
        <w:kinsoku/>
        <w:wordWrap/>
        <w:overflowPunct/>
        <w:topLinePunct w:val="0"/>
        <w:autoSpaceDE/>
        <w:autoSpaceDN/>
        <w:bidi w:val="0"/>
        <w:adjustRightInd w:val="0"/>
        <w:snapToGrid w:val="0"/>
        <w:spacing w:line="592" w:lineRule="exact"/>
        <w:ind w:left="0" w:leftChars="0" w:right="0" w:rightChars="0" w:firstLine="643" w:firstLineChars="200"/>
        <w:jc w:val="both"/>
        <w:textAlignment w:val="auto"/>
        <w:rPr>
          <w:rFonts w:hint="default" w:ascii="Times New Roman" w:hAnsi="Times New Roman" w:eastAsia="楷体_GB2312" w:cs="Times New Roman"/>
          <w:b/>
          <w:bCs/>
          <w:color w:val="000000" w:themeColor="text1"/>
          <w:sz w:val="32"/>
          <w:szCs w:val="32"/>
          <w14:textFill>
            <w14:solidFill>
              <w14:schemeClr w14:val="tx1"/>
            </w14:solidFill>
          </w14:textFill>
        </w:rPr>
      </w:pPr>
      <w:r>
        <w:rPr>
          <w:rFonts w:hint="default" w:ascii="Times New Roman" w:hAnsi="Times New Roman" w:eastAsia="楷体_GB2312" w:cs="Times New Roman"/>
          <w:b/>
          <w:bCs/>
          <w:color w:val="000000" w:themeColor="text1"/>
          <w:sz w:val="32"/>
          <w:szCs w:val="32"/>
          <w:lang w:eastAsia="zh-CN"/>
          <w14:textFill>
            <w14:solidFill>
              <w14:schemeClr w14:val="tx1"/>
            </w14:solidFill>
          </w14:textFill>
        </w:rPr>
        <w:t>（</w:t>
      </w:r>
      <w:r>
        <w:rPr>
          <w:rFonts w:hint="default" w:ascii="Times New Roman" w:hAnsi="Times New Roman" w:eastAsia="楷体_GB2312" w:cs="Times New Roman"/>
          <w:b/>
          <w:bCs/>
          <w:color w:val="000000" w:themeColor="text1"/>
          <w:sz w:val="32"/>
          <w:szCs w:val="32"/>
          <w14:textFill>
            <w14:solidFill>
              <w14:schemeClr w14:val="tx1"/>
            </w14:solidFill>
          </w14:textFill>
        </w:rPr>
        <w:t>一</w:t>
      </w:r>
      <w:r>
        <w:rPr>
          <w:rFonts w:hint="default" w:ascii="Times New Roman" w:hAnsi="Times New Roman" w:eastAsia="楷体_GB2312" w:cs="Times New Roman"/>
          <w:b/>
          <w:bCs/>
          <w:color w:val="000000" w:themeColor="text1"/>
          <w:sz w:val="32"/>
          <w:szCs w:val="32"/>
          <w:lang w:eastAsia="zh-CN"/>
          <w14:textFill>
            <w14:solidFill>
              <w14:schemeClr w14:val="tx1"/>
            </w14:solidFill>
          </w14:textFill>
        </w:rPr>
        <w:t>）</w:t>
      </w:r>
      <w:r>
        <w:rPr>
          <w:rFonts w:hint="default" w:ascii="Times New Roman" w:hAnsi="Times New Roman" w:eastAsia="楷体_GB2312" w:cs="Times New Roman"/>
          <w:b/>
          <w:bCs/>
          <w:color w:val="000000" w:themeColor="text1"/>
          <w:sz w:val="32"/>
          <w:szCs w:val="32"/>
          <w14:textFill>
            <w14:solidFill>
              <w14:schemeClr w14:val="tx1"/>
            </w14:solidFill>
          </w14:textFill>
        </w:rPr>
        <w:t>指导思想</w:t>
      </w:r>
    </w:p>
    <w:p>
      <w:pPr>
        <w:keepNext w:val="0"/>
        <w:keepLines w:val="0"/>
        <w:pageBreakBefore w:val="0"/>
        <w:widowControl w:val="0"/>
        <w:kinsoku/>
        <w:wordWrap/>
        <w:overflowPunct/>
        <w:topLinePunct w:val="0"/>
        <w:autoSpaceDE/>
        <w:autoSpaceDN/>
        <w:bidi w:val="0"/>
        <w:spacing w:line="592" w:lineRule="exact"/>
        <w:ind w:left="0" w:leftChars="0" w:right="0" w:rightChars="0"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深入贯彻落实党的二十大精神，以习近平总书记关于安全生产工作的重要论述和指示批示精神为指导，认真贯彻落实省、市关于安全生产行政执法工作的各项决策部署，坚持人民至上、生命至上，牢固树立安全发展理念，以全面落实生产经营单位安全生产主体责任为主线，以规范和强化安全生产行政执法工作为抓手，高质量完成安全生产监督检查任务，进一步提升全市安全生产监管执法水平，坚决杜绝重特大事故、遏制较大事故、减少一般事故，切实维护人民群众生命财产安全，推进我市安全生产形势持续稳定向好，营造良好营商环境，为新时代全面建设现代化省会、经济强市创造安全稳定的社会环境。</w:t>
      </w:r>
    </w:p>
    <w:p>
      <w:pPr>
        <w:keepNext w:val="0"/>
        <w:keepLines w:val="0"/>
        <w:pageBreakBefore w:val="0"/>
        <w:widowControl w:val="0"/>
        <w:kinsoku/>
        <w:wordWrap/>
        <w:overflowPunct/>
        <w:topLinePunct w:val="0"/>
        <w:autoSpaceDE/>
        <w:autoSpaceDN/>
        <w:bidi w:val="0"/>
        <w:adjustRightInd w:val="0"/>
        <w:snapToGrid w:val="0"/>
        <w:spacing w:line="592" w:lineRule="exact"/>
        <w:ind w:left="0" w:leftChars="0" w:right="0" w:rightChars="0" w:firstLine="643" w:firstLineChars="200"/>
        <w:jc w:val="both"/>
        <w:textAlignment w:val="auto"/>
        <w:rPr>
          <w:rFonts w:hint="default" w:ascii="Times New Roman" w:hAnsi="Times New Roman" w:eastAsia="楷体_GB2312" w:cs="Times New Roman"/>
          <w:b/>
          <w:bCs/>
          <w:color w:val="000000" w:themeColor="text1"/>
          <w:sz w:val="32"/>
          <w:szCs w:val="32"/>
          <w:lang w:eastAsia="zh-CN"/>
          <w14:textFill>
            <w14:solidFill>
              <w14:schemeClr w14:val="tx1"/>
            </w14:solidFill>
          </w14:textFill>
        </w:rPr>
      </w:pPr>
      <w:r>
        <w:rPr>
          <w:rFonts w:hint="default" w:ascii="Times New Roman" w:hAnsi="Times New Roman" w:eastAsia="楷体_GB2312" w:cs="Times New Roman"/>
          <w:b/>
          <w:bCs/>
          <w:color w:val="000000" w:themeColor="text1"/>
          <w:sz w:val="32"/>
          <w:szCs w:val="32"/>
          <w:lang w:eastAsia="zh-CN"/>
          <w14:textFill>
            <w14:solidFill>
              <w14:schemeClr w14:val="tx1"/>
            </w14:solidFill>
          </w14:textFill>
        </w:rPr>
        <w:t>（</w:t>
      </w:r>
      <w:r>
        <w:rPr>
          <w:rFonts w:hint="eastAsia" w:ascii="Times New Roman" w:hAnsi="Times New Roman" w:eastAsia="楷体_GB2312" w:cs="Times New Roman"/>
          <w:b/>
          <w:bCs/>
          <w:color w:val="000000" w:themeColor="text1"/>
          <w:sz w:val="32"/>
          <w:szCs w:val="32"/>
          <w:lang w:eastAsia="zh-CN"/>
          <w14:textFill>
            <w14:solidFill>
              <w14:schemeClr w14:val="tx1"/>
            </w14:solidFill>
          </w14:textFill>
        </w:rPr>
        <w:t>二</w:t>
      </w:r>
      <w:r>
        <w:rPr>
          <w:rFonts w:hint="default" w:ascii="Times New Roman" w:hAnsi="Times New Roman" w:eastAsia="楷体_GB2312" w:cs="Times New Roman"/>
          <w:b/>
          <w:bCs/>
          <w:color w:val="000000" w:themeColor="text1"/>
          <w:sz w:val="32"/>
          <w:szCs w:val="32"/>
          <w:lang w:eastAsia="zh-CN"/>
          <w14:textFill>
            <w14:solidFill>
              <w14:schemeClr w14:val="tx1"/>
            </w14:solidFill>
          </w14:textFill>
        </w:rPr>
        <w:t>）工作目标</w:t>
      </w:r>
    </w:p>
    <w:p>
      <w:pPr>
        <w:keepNext w:val="0"/>
        <w:keepLines w:val="0"/>
        <w:pageBreakBefore w:val="0"/>
        <w:widowControl w:val="0"/>
        <w:kinsoku/>
        <w:wordWrap/>
        <w:overflowPunct/>
        <w:topLinePunct w:val="0"/>
        <w:autoSpaceDE/>
        <w:autoSpaceDN/>
        <w:bidi w:val="0"/>
        <w:spacing w:line="592" w:lineRule="exact"/>
        <w:ind w:left="0" w:leftChars="0" w:right="0" w:rightChars="0"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以深入开展规范涉企执法专项行动为契机，以提升行政执 法质量和效能为目标，不断完善安全生产行政执法工作机制，全面推进严格规范公正文明执法，强化行政执法监督，推进安全生产执法规范化建设，进一步提升依法行政水平。</w:t>
      </w:r>
      <w:r>
        <w:rPr>
          <w:rFonts w:hint="eastAsia" w:ascii="仿宋_GB2312" w:hAnsi="仿宋_GB2312" w:eastAsia="仿宋_GB2312" w:cs="仿宋_GB2312"/>
          <w:b/>
          <w:bCs/>
          <w:color w:val="auto"/>
          <w:spacing w:val="9"/>
          <w:kern w:val="2"/>
          <w:sz w:val="32"/>
          <w:szCs w:val="32"/>
          <w:lang w:val="en-US" w:eastAsia="zh-CN" w:bidi="ar-SA"/>
        </w:rPr>
        <w:t>一是</w:t>
      </w:r>
      <w:r>
        <w:rPr>
          <w:rFonts w:hint="eastAsia" w:ascii="仿宋_GB2312" w:hAnsi="仿宋_GB2312" w:eastAsia="仿宋_GB2312" w:cs="仿宋_GB2312"/>
          <w:b w:val="0"/>
          <w:bCs w:val="0"/>
          <w:color w:val="auto"/>
          <w:spacing w:val="9"/>
          <w:kern w:val="2"/>
          <w:sz w:val="32"/>
          <w:szCs w:val="32"/>
          <w:lang w:val="en-US" w:eastAsia="zh-CN" w:bidi="ar-SA"/>
        </w:rPr>
        <w:t>推进安全生产行政执法标准化建设，完善执法制度、严格执法程序、规范执法行为、强化执法监督，确保每一起执法案件合法合规。</w:t>
      </w:r>
      <w:r>
        <w:rPr>
          <w:rFonts w:hint="eastAsia" w:ascii="仿宋_GB2312" w:hAnsi="仿宋_GB2312" w:eastAsia="仿宋_GB2312" w:cs="仿宋_GB2312"/>
          <w:b/>
          <w:bCs/>
          <w:color w:val="auto"/>
          <w:spacing w:val="9"/>
          <w:kern w:val="2"/>
          <w:sz w:val="32"/>
          <w:szCs w:val="32"/>
          <w:lang w:val="en-US" w:eastAsia="zh-CN" w:bidi="ar-SA"/>
        </w:rPr>
        <w:t>二是</w:t>
      </w:r>
      <w:r>
        <w:rPr>
          <w:rFonts w:hint="eastAsia" w:ascii="仿宋_GB2312" w:hAnsi="仿宋_GB2312" w:eastAsia="仿宋_GB2312" w:cs="仿宋_GB2312"/>
          <w:b w:val="0"/>
          <w:bCs w:val="0"/>
          <w:color w:val="auto"/>
          <w:spacing w:val="9"/>
          <w:kern w:val="2"/>
          <w:sz w:val="32"/>
          <w:szCs w:val="32"/>
          <w:lang w:val="en-US" w:eastAsia="zh-CN" w:bidi="ar-SA"/>
        </w:rPr>
        <w:t>健全完善执法企业清单，按照分类分级和属地监管工作要求，加大对重点行业领域、重点企业、重点生产环节的执法力度，兼顾小微企业实际，实现“一企一策”精准执法，督促企业提升安全管理水平。</w:t>
      </w:r>
      <w:r>
        <w:rPr>
          <w:rFonts w:hint="eastAsia" w:ascii="仿宋_GB2312" w:hAnsi="仿宋_GB2312" w:eastAsia="仿宋_GB2312" w:cs="仿宋_GB2312"/>
          <w:b/>
          <w:bCs/>
          <w:color w:val="auto"/>
          <w:spacing w:val="9"/>
          <w:kern w:val="2"/>
          <w:sz w:val="32"/>
          <w:szCs w:val="32"/>
          <w:lang w:val="en-US" w:eastAsia="zh-CN" w:bidi="ar-SA"/>
        </w:rPr>
        <w:t>三是</w:t>
      </w:r>
      <w:r>
        <w:rPr>
          <w:rFonts w:hint="eastAsia" w:ascii="仿宋_GB2312" w:hAnsi="仿宋_GB2312" w:eastAsia="仿宋_GB2312" w:cs="仿宋_GB2312"/>
          <w:b w:val="0"/>
          <w:bCs w:val="0"/>
          <w:color w:val="auto"/>
          <w:spacing w:val="9"/>
          <w:kern w:val="2"/>
          <w:sz w:val="32"/>
          <w:szCs w:val="32"/>
          <w:lang w:val="en-US" w:eastAsia="zh-CN" w:bidi="ar-SA"/>
        </w:rPr>
        <w:t>推进和完善执法信息化建设，适时开展相关应用培训，督促执法人员通过部“互联网+执法”系统开展执法工作，按要求填报相关执法信息，提高执法效率。</w:t>
      </w:r>
      <w:r>
        <w:rPr>
          <w:rFonts w:hint="eastAsia" w:ascii="仿宋_GB2312" w:hAnsi="仿宋_GB2312" w:eastAsia="仿宋_GB2312" w:cs="仿宋_GB2312"/>
          <w:b/>
          <w:bCs/>
          <w:color w:val="auto"/>
          <w:spacing w:val="9"/>
          <w:kern w:val="2"/>
          <w:sz w:val="32"/>
          <w:szCs w:val="32"/>
          <w:lang w:val="en-US" w:eastAsia="zh-CN" w:bidi="ar-SA"/>
        </w:rPr>
        <w:t>四是</w:t>
      </w:r>
      <w:r>
        <w:rPr>
          <w:rFonts w:hint="eastAsia" w:ascii="仿宋_GB2312" w:hAnsi="仿宋_GB2312" w:eastAsia="仿宋_GB2312" w:cs="仿宋_GB2312"/>
          <w:b w:val="0"/>
          <w:bCs w:val="0"/>
          <w:color w:val="auto"/>
          <w:spacing w:val="9"/>
          <w:kern w:val="2"/>
          <w:sz w:val="32"/>
          <w:szCs w:val="32"/>
          <w:lang w:val="en-US" w:eastAsia="zh-CN" w:bidi="ar-SA"/>
        </w:rPr>
        <w:t>健全市县两级执法沟通协调机制，按照分类分级执法相关规定，明确各自的执法范围，避免出现重复执法或执法盲区，做到执法检查既不缺位、也不越位，实现一个生产经营单位对应一个执法主体。</w:t>
      </w:r>
      <w:r>
        <w:rPr>
          <w:rFonts w:hint="eastAsia" w:ascii="仿宋_GB2312" w:hAnsi="仿宋_GB2312" w:eastAsia="仿宋_GB2312" w:cs="仿宋_GB2312"/>
          <w:b/>
          <w:bCs/>
          <w:color w:val="auto"/>
          <w:spacing w:val="9"/>
          <w:kern w:val="2"/>
          <w:sz w:val="32"/>
          <w:szCs w:val="32"/>
          <w:lang w:val="en-US" w:eastAsia="zh-CN" w:bidi="ar-SA"/>
        </w:rPr>
        <w:t>五是</w:t>
      </w:r>
      <w:r>
        <w:rPr>
          <w:rFonts w:hint="eastAsia" w:ascii="仿宋_GB2312" w:hAnsi="仿宋_GB2312" w:eastAsia="仿宋_GB2312" w:cs="仿宋_GB2312"/>
          <w:b w:val="0"/>
          <w:bCs w:val="0"/>
          <w:color w:val="auto"/>
          <w:spacing w:val="9"/>
          <w:kern w:val="2"/>
          <w:sz w:val="32"/>
          <w:szCs w:val="32"/>
          <w:lang w:val="en-US" w:eastAsia="zh-CN" w:bidi="ar-SA"/>
        </w:rPr>
        <w:t>加大执法力度、明确执法责任，合理确定检查频次，按计划开展监督检查，严格落实“扫码入企”制度，杜绝随意检查，实现市县两级安全生产监督检查计划内生产经营单位执法检查覆盖率、问题隐患整改率、违法行为查处率达到100%。</w:t>
      </w:r>
    </w:p>
    <w:p>
      <w:pPr>
        <w:keepNext w:val="0"/>
        <w:keepLines w:val="0"/>
        <w:pageBreakBefore w:val="0"/>
        <w:widowControl w:val="0"/>
        <w:numPr>
          <w:ilvl w:val="0"/>
          <w:numId w:val="1"/>
        </w:numPr>
        <w:kinsoku/>
        <w:wordWrap/>
        <w:overflowPunct/>
        <w:topLinePunct w:val="0"/>
        <w:autoSpaceDE/>
        <w:autoSpaceDN/>
        <w:bidi w:val="0"/>
        <w:spacing w:line="592" w:lineRule="exact"/>
        <w:ind w:left="0" w:leftChars="0" w:right="0" w:rightChars="0" w:firstLine="643" w:firstLineChars="200"/>
        <w:jc w:val="both"/>
        <w:textAlignment w:val="auto"/>
        <w:rPr>
          <w:rFonts w:hint="default" w:ascii="Times New Roman" w:hAnsi="Times New Roman" w:eastAsia="楷体_GB2312" w:cs="Times New Roman"/>
          <w:b/>
          <w:bCs/>
          <w:color w:val="000000" w:themeColor="text1"/>
          <w:sz w:val="32"/>
          <w:szCs w:val="32"/>
          <w14:textFill>
            <w14:solidFill>
              <w14:schemeClr w14:val="tx1"/>
            </w14:solidFill>
          </w14:textFill>
        </w:rPr>
      </w:pPr>
      <w:r>
        <w:rPr>
          <w:rFonts w:hint="default" w:ascii="Times New Roman" w:hAnsi="Times New Roman" w:eastAsia="楷体_GB2312" w:cs="Times New Roman"/>
          <w:b/>
          <w:bCs/>
          <w:color w:val="000000" w:themeColor="text1"/>
          <w:sz w:val="32"/>
          <w:szCs w:val="32"/>
          <w14:textFill>
            <w14:solidFill>
              <w14:schemeClr w14:val="tx1"/>
            </w14:solidFill>
          </w14:textFill>
        </w:rPr>
        <w:t>主要任务</w:t>
      </w:r>
    </w:p>
    <w:p>
      <w:pPr>
        <w:keepNext w:val="0"/>
        <w:keepLines w:val="0"/>
        <w:pageBreakBefore w:val="0"/>
        <w:widowControl w:val="0"/>
        <w:kinsoku/>
        <w:wordWrap/>
        <w:overflowPunct/>
        <w:topLinePunct w:val="0"/>
        <w:autoSpaceDE/>
        <w:autoSpaceDN/>
        <w:bidi w:val="0"/>
        <w:spacing w:line="592" w:lineRule="exact"/>
        <w:ind w:left="0" w:leftChars="0" w:right="0" w:rightChars="0" w:firstLine="679"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bCs/>
          <w:color w:val="auto"/>
          <w:spacing w:val="9"/>
          <w:kern w:val="2"/>
          <w:sz w:val="32"/>
          <w:szCs w:val="32"/>
          <w:lang w:val="en-US" w:eastAsia="zh-CN" w:bidi="ar-SA"/>
        </w:rPr>
        <w:t>一是</w:t>
      </w:r>
      <w:r>
        <w:rPr>
          <w:rFonts w:hint="eastAsia" w:ascii="仿宋_GB2312" w:hAnsi="仿宋_GB2312" w:eastAsia="仿宋_GB2312" w:cs="仿宋_GB2312"/>
          <w:b w:val="0"/>
          <w:bCs w:val="0"/>
          <w:color w:val="auto"/>
          <w:spacing w:val="9"/>
          <w:kern w:val="2"/>
          <w:sz w:val="32"/>
          <w:szCs w:val="32"/>
          <w:lang w:val="en-US" w:eastAsia="zh-CN" w:bidi="ar-SA"/>
        </w:rPr>
        <w:t>扎实开展日常监督检查。突出重点行业领域、区域重点企业以及安全管理薄弱、易发生群死群伤事故的企业，兼顾高风险小微企业，严查各类违法违规行为，特别是要对目前仍在正常生产经营的 2022年以来发生过安全生产事故的企业开展重点检查，督促企业主要负责人履职尽责、强化安全管理，保证安全投入，全面落实企业安全生产主体责任。</w:t>
      </w:r>
      <w:r>
        <w:rPr>
          <w:rFonts w:hint="eastAsia" w:ascii="仿宋_GB2312" w:hAnsi="仿宋_GB2312" w:eastAsia="仿宋_GB2312" w:cs="仿宋_GB2312"/>
          <w:b/>
          <w:bCs/>
          <w:color w:val="auto"/>
          <w:spacing w:val="9"/>
          <w:kern w:val="2"/>
          <w:sz w:val="32"/>
          <w:szCs w:val="32"/>
          <w:lang w:val="en-US" w:eastAsia="zh-CN" w:bidi="ar-SA"/>
        </w:rPr>
        <w:t>二是</w:t>
      </w:r>
      <w:r>
        <w:rPr>
          <w:rFonts w:hint="eastAsia" w:ascii="仿宋_GB2312" w:hAnsi="仿宋_GB2312" w:eastAsia="仿宋_GB2312" w:cs="仿宋_GB2312"/>
          <w:b w:val="0"/>
          <w:bCs w:val="0"/>
          <w:color w:val="auto"/>
          <w:spacing w:val="9"/>
          <w:kern w:val="2"/>
          <w:sz w:val="32"/>
          <w:szCs w:val="32"/>
          <w:lang w:val="en-US" w:eastAsia="zh-CN" w:bidi="ar-SA"/>
        </w:rPr>
        <w:t>开展重点时段集中执法检查。围绕查大风险、除大隐患、防大事故，在元旦、春节、“两会”、五一、暑汛期、国庆等特殊时段，精心组织策划集中执法、“双随机”抽查执法、暗查暗访等执法行动，严防各类事故发生，维护社会安全稳定。</w:t>
      </w:r>
      <w:r>
        <w:rPr>
          <w:rFonts w:hint="eastAsia" w:ascii="仿宋_GB2312" w:hAnsi="仿宋_GB2312" w:eastAsia="仿宋_GB2312" w:cs="仿宋_GB2312"/>
          <w:b/>
          <w:bCs/>
          <w:color w:val="auto"/>
          <w:spacing w:val="9"/>
          <w:kern w:val="2"/>
          <w:sz w:val="32"/>
          <w:szCs w:val="32"/>
          <w:lang w:val="en-US" w:eastAsia="zh-CN" w:bidi="ar-SA"/>
        </w:rPr>
        <w:t>三是</w:t>
      </w:r>
      <w:r>
        <w:rPr>
          <w:rFonts w:hint="eastAsia" w:ascii="仿宋_GB2312" w:hAnsi="仿宋_GB2312" w:eastAsia="仿宋_GB2312" w:cs="仿宋_GB2312"/>
          <w:b w:val="0"/>
          <w:bCs w:val="0"/>
          <w:color w:val="auto"/>
          <w:spacing w:val="9"/>
          <w:kern w:val="2"/>
          <w:sz w:val="32"/>
          <w:szCs w:val="32"/>
          <w:lang w:val="en-US" w:eastAsia="zh-CN" w:bidi="ar-SA"/>
        </w:rPr>
        <w:t>按照有关要求开展专项执法检查。按照上级工作安排和本级工作部署，由局相关股室队组织开展对全市安全培训、检验检测、安全评价等机构和三年内事故发生单位的专项执法，对其安全生产相关工作落实情况进行监督检查，查处违法违规行为。</w:t>
      </w:r>
      <w:r>
        <w:rPr>
          <w:rFonts w:hint="eastAsia" w:ascii="仿宋_GB2312" w:hAnsi="仿宋_GB2312" w:eastAsia="仿宋_GB2312" w:cs="仿宋_GB2312"/>
          <w:b/>
          <w:bCs/>
          <w:color w:val="auto"/>
          <w:spacing w:val="9"/>
          <w:kern w:val="2"/>
          <w:sz w:val="32"/>
          <w:szCs w:val="32"/>
          <w:lang w:val="en-US" w:eastAsia="zh-CN" w:bidi="ar-SA"/>
        </w:rPr>
        <w:t>四是</w:t>
      </w:r>
      <w:r>
        <w:rPr>
          <w:rFonts w:hint="eastAsia" w:ascii="仿宋_GB2312" w:hAnsi="仿宋_GB2312" w:eastAsia="仿宋_GB2312" w:cs="仿宋_GB2312"/>
          <w:b w:val="0"/>
          <w:bCs w:val="0"/>
          <w:color w:val="auto"/>
          <w:spacing w:val="9"/>
          <w:kern w:val="2"/>
          <w:sz w:val="32"/>
          <w:szCs w:val="32"/>
          <w:lang w:val="en-US" w:eastAsia="zh-CN" w:bidi="ar-SA"/>
        </w:rPr>
        <w:t>扎实推进执法规范化建设。严格落实行政执法公示、行政执法全过程记录、重大行政执法决定法制审核等三项制度和执法标准化建设，严格落实《关于严格规范涉企行政检查的意见》有关要求，合理设置检查频度，妥善把握检查力度，着力提升检查精准度。</w:t>
      </w:r>
      <w:r>
        <w:rPr>
          <w:rFonts w:hint="eastAsia" w:ascii="仿宋_GB2312" w:hAnsi="仿宋_GB2312" w:eastAsia="仿宋_GB2312" w:cs="仿宋_GB2312"/>
          <w:b/>
          <w:bCs/>
          <w:color w:val="auto"/>
          <w:spacing w:val="9"/>
          <w:kern w:val="2"/>
          <w:sz w:val="32"/>
          <w:szCs w:val="32"/>
          <w:lang w:val="en-US" w:eastAsia="zh-CN" w:bidi="ar-SA"/>
        </w:rPr>
        <w:t>五是</w:t>
      </w:r>
      <w:r>
        <w:rPr>
          <w:rFonts w:hint="eastAsia" w:ascii="仿宋_GB2312" w:hAnsi="仿宋_GB2312" w:eastAsia="仿宋_GB2312" w:cs="仿宋_GB2312"/>
          <w:b w:val="0"/>
          <w:bCs w:val="0"/>
          <w:color w:val="auto"/>
          <w:spacing w:val="9"/>
          <w:kern w:val="2"/>
          <w:sz w:val="32"/>
          <w:szCs w:val="32"/>
          <w:lang w:val="en-US" w:eastAsia="zh-CN" w:bidi="ar-SA"/>
        </w:rPr>
        <w:t>积极参与全市执法人员业务培训和执法技能比武活动，不断提升基层执法人员业务能力和执法水平。</w:t>
      </w:r>
      <w:r>
        <w:rPr>
          <w:rFonts w:hint="eastAsia" w:ascii="仿宋_GB2312" w:hAnsi="仿宋_GB2312" w:eastAsia="仿宋_GB2312" w:cs="仿宋_GB2312"/>
          <w:b/>
          <w:bCs/>
          <w:color w:val="auto"/>
          <w:spacing w:val="9"/>
          <w:kern w:val="2"/>
          <w:sz w:val="32"/>
          <w:szCs w:val="32"/>
          <w:lang w:val="en-US" w:eastAsia="zh-CN" w:bidi="ar-SA"/>
        </w:rPr>
        <w:t>六是</w:t>
      </w:r>
      <w:r>
        <w:rPr>
          <w:rFonts w:hint="eastAsia" w:ascii="仿宋_GB2312" w:hAnsi="仿宋_GB2312" w:eastAsia="仿宋_GB2312" w:cs="仿宋_GB2312"/>
          <w:b w:val="0"/>
          <w:bCs w:val="0"/>
          <w:color w:val="auto"/>
          <w:spacing w:val="9"/>
          <w:kern w:val="2"/>
          <w:sz w:val="32"/>
          <w:szCs w:val="32"/>
          <w:lang w:val="en-US" w:eastAsia="zh-CN" w:bidi="ar-SA"/>
        </w:rPr>
        <w:t>扎实做好安全生产治本攻坚行动收官工作，对照相关要求，补足短板缺项，按时完成既定目标。强化“互联网+执法”全面应用，推进现场执法与线上巡查执法的有机结合，认真做好全市执法质量统计报送、执法案例审核上报等工作。</w:t>
      </w:r>
      <w:r>
        <w:rPr>
          <w:rFonts w:hint="eastAsia" w:ascii="仿宋_GB2312" w:hAnsi="仿宋_GB2312" w:eastAsia="仿宋_GB2312" w:cs="仿宋_GB2312"/>
          <w:b/>
          <w:bCs/>
          <w:color w:val="auto"/>
          <w:spacing w:val="9"/>
          <w:kern w:val="2"/>
          <w:sz w:val="32"/>
          <w:szCs w:val="32"/>
          <w:lang w:val="en-US" w:eastAsia="zh-CN" w:bidi="ar-SA"/>
        </w:rPr>
        <w:t>七是</w:t>
      </w:r>
      <w:r>
        <w:rPr>
          <w:rFonts w:hint="eastAsia" w:ascii="仿宋_GB2312" w:hAnsi="仿宋_GB2312" w:eastAsia="仿宋_GB2312" w:cs="仿宋_GB2312"/>
          <w:b w:val="0"/>
          <w:bCs w:val="0"/>
          <w:color w:val="auto"/>
          <w:spacing w:val="9"/>
          <w:kern w:val="2"/>
          <w:sz w:val="32"/>
          <w:szCs w:val="32"/>
          <w:lang w:val="en-US" w:eastAsia="zh-CN" w:bidi="ar-SA"/>
        </w:rPr>
        <w:t>积极配合上级在我市开展的各项执法工作，认真完成上级交办的其它执法事项。</w:t>
      </w:r>
    </w:p>
    <w:p>
      <w:pPr>
        <w:keepNext w:val="0"/>
        <w:keepLines w:val="0"/>
        <w:pageBreakBefore w:val="0"/>
        <w:widowControl w:val="0"/>
        <w:kinsoku/>
        <w:wordWrap/>
        <w:overflowPunct/>
        <w:topLinePunct w:val="0"/>
        <w:autoSpaceDE/>
        <w:autoSpaceDN/>
        <w:bidi w:val="0"/>
        <w:spacing w:line="592" w:lineRule="exact"/>
        <w:ind w:left="0" w:leftChars="0" w:right="0" w:rightChars="0" w:firstLine="640" w:firstLineChars="200"/>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二、行政执法人员数量和执法工作日测算</w:t>
      </w:r>
    </w:p>
    <w:p>
      <w:pPr>
        <w:keepNext w:val="0"/>
        <w:keepLines w:val="0"/>
        <w:pageBreakBefore w:val="0"/>
        <w:widowControl w:val="0"/>
        <w:kinsoku/>
        <w:wordWrap/>
        <w:overflowPunct/>
        <w:topLinePunct w:val="0"/>
        <w:autoSpaceDE/>
        <w:autoSpaceDN/>
        <w:bidi w:val="0"/>
        <w:spacing w:line="592" w:lineRule="exact"/>
        <w:ind w:firstLine="643" w:firstLineChars="200"/>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（一）执法人员及分组</w:t>
      </w:r>
    </w:p>
    <w:p>
      <w:pPr>
        <w:keepNext w:val="0"/>
        <w:keepLines w:val="0"/>
        <w:pageBreakBefore w:val="0"/>
        <w:widowControl w:val="0"/>
        <w:kinsoku/>
        <w:wordWrap/>
        <w:overflowPunct/>
        <w:topLinePunct w:val="0"/>
        <w:autoSpaceDE/>
        <w:autoSpaceDN/>
        <w:bidi w:val="0"/>
        <w:spacing w:line="592" w:lineRule="exact"/>
        <w:ind w:left="0" w:leftChars="0" w:right="0" w:rightChars="0" w:firstLine="676" w:firstLineChars="200"/>
        <w:textAlignment w:val="auto"/>
        <w:rPr>
          <w:rFonts w:hint="eastAsia" w:ascii="仿宋" w:hAnsi="仿宋" w:eastAsia="仿宋" w:cs="仿宋_GB2312"/>
          <w:color w:val="auto"/>
          <w:sz w:val="32"/>
          <w:szCs w:val="32"/>
          <w:lang w:val="en-US" w:eastAsia="zh-CN"/>
        </w:rPr>
      </w:pPr>
      <w:r>
        <w:rPr>
          <w:rFonts w:hint="eastAsia" w:ascii="仿宋_GB2312" w:hAnsi="仿宋_GB2312" w:eastAsia="仿宋_GB2312" w:cs="仿宋_GB2312"/>
          <w:b w:val="0"/>
          <w:bCs w:val="0"/>
          <w:color w:val="auto"/>
          <w:spacing w:val="9"/>
          <w:kern w:val="2"/>
          <w:sz w:val="32"/>
          <w:szCs w:val="32"/>
          <w:lang w:val="en-US" w:eastAsia="zh-CN" w:bidi="ar-SA"/>
        </w:rPr>
        <w:t>按照局“三定”方案，我局负责安全生产监管执法职责的综合行政执法大队，具有执法资格且在册人员共计24人，其中3人派驻乡村扶贫，实有在册人员21人，直接从事安全生产监督检查的执法人员13人，占实际在岗人员总数的 62%。</w:t>
      </w:r>
      <w:r>
        <w:rPr>
          <w:rFonts w:hint="eastAsia" w:ascii="仿宋" w:hAnsi="仿宋" w:eastAsia="仿宋" w:cs="仿宋_GB2312"/>
          <w:color w:val="auto"/>
          <w:sz w:val="32"/>
          <w:szCs w:val="32"/>
          <w:lang w:val="en-US" w:eastAsia="zh-CN"/>
        </w:rPr>
        <w:t xml:space="preserve">  </w:t>
      </w:r>
    </w:p>
    <w:p>
      <w:pPr>
        <w:keepNext w:val="0"/>
        <w:keepLines w:val="0"/>
        <w:pageBreakBefore w:val="0"/>
        <w:widowControl w:val="0"/>
        <w:numPr>
          <w:ilvl w:val="0"/>
          <w:numId w:val="2"/>
        </w:numPr>
        <w:kinsoku/>
        <w:wordWrap/>
        <w:overflowPunct/>
        <w:topLinePunct w:val="0"/>
        <w:autoSpaceDE/>
        <w:autoSpaceDN/>
        <w:bidi w:val="0"/>
        <w:spacing w:line="592" w:lineRule="exact"/>
        <w:ind w:firstLine="643" w:firstLineChars="200"/>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监督检查工作日测算</w:t>
      </w:r>
    </w:p>
    <w:p>
      <w:pPr>
        <w:keepNext w:val="0"/>
        <w:keepLines w:val="0"/>
        <w:pageBreakBefore w:val="0"/>
        <w:widowControl w:val="0"/>
        <w:kinsoku/>
        <w:wordWrap/>
        <w:overflowPunct/>
        <w:topLinePunct w:val="0"/>
        <w:autoSpaceDE/>
        <w:autoSpaceDN/>
        <w:bidi w:val="0"/>
        <w:spacing w:line="592" w:lineRule="exact"/>
        <w:ind w:firstLine="65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 w:hAnsi="仿宋" w:eastAsia="仿宋" w:cs="仿宋"/>
          <w:b w:val="0"/>
          <w:bCs w:val="0"/>
          <w:color w:val="auto"/>
          <w:spacing w:val="9"/>
          <w:kern w:val="2"/>
          <w:sz w:val="31"/>
          <w:szCs w:val="31"/>
          <w:lang w:val="en-US" w:eastAsia="zh-CN" w:bidi="ar-SA"/>
        </w:rPr>
        <w:t xml:space="preserve"> </w:t>
      </w:r>
      <w:r>
        <w:rPr>
          <w:rFonts w:hint="eastAsia" w:ascii="仿宋_GB2312" w:hAnsi="仿宋_GB2312" w:eastAsia="仿宋_GB2312" w:cs="仿宋_GB2312"/>
          <w:b w:val="0"/>
          <w:bCs w:val="0"/>
          <w:color w:val="auto"/>
          <w:spacing w:val="9"/>
          <w:kern w:val="2"/>
          <w:sz w:val="32"/>
          <w:szCs w:val="32"/>
          <w:lang w:val="en-US" w:eastAsia="zh-CN" w:bidi="ar-SA"/>
        </w:rPr>
        <w:t>全年总法定工作日3224人天，其中其它执法工作日1300人天，非执法工作1040人天，监督检查工作日884人天。</w:t>
      </w:r>
    </w:p>
    <w:p>
      <w:pPr>
        <w:keepNext w:val="0"/>
        <w:keepLines w:val="0"/>
        <w:pageBreakBefore w:val="0"/>
        <w:widowControl w:val="0"/>
        <w:kinsoku/>
        <w:wordWrap/>
        <w:overflowPunct/>
        <w:topLinePunct w:val="0"/>
        <w:autoSpaceDE/>
        <w:autoSpaceDN/>
        <w:bidi w:val="0"/>
        <w:spacing w:line="592" w:lineRule="exact"/>
        <w:ind w:left="0" w:leftChars="0" w:right="0" w:rightChars="0"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1.总法定工作日</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2026年全年共365天，双休日104天，元旦、春节、清明、五一、端午、中秋、国庆等法定假日共计13天,国家法定工作日248天（365-104-13）。</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2026年局总法定工作日不得低于3224人天（13人×248天=3224人天）。</w:t>
      </w:r>
    </w:p>
    <w:p>
      <w:pPr>
        <w:keepNext w:val="0"/>
        <w:keepLines w:val="0"/>
        <w:pageBreakBefore w:val="0"/>
        <w:widowControl w:val="0"/>
        <w:kinsoku/>
        <w:wordWrap/>
        <w:overflowPunct/>
        <w:topLinePunct w:val="0"/>
        <w:autoSpaceDE/>
        <w:autoSpaceDN/>
        <w:bidi w:val="0"/>
        <w:spacing w:line="592" w:lineRule="exact"/>
        <w:ind w:left="0" w:leftChars="0" w:right="0" w:rightChars="0"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2.</w:t>
      </w:r>
      <w:r>
        <w:rPr>
          <w:rFonts w:hint="eastAsia" w:ascii="仿宋_GB2312" w:hAnsi="仿宋_GB2312" w:eastAsia="仿宋_GB2312" w:cs="仿宋_GB2312"/>
          <w:b/>
          <w:bCs/>
          <w:color w:val="auto"/>
          <w:sz w:val="32"/>
          <w:szCs w:val="32"/>
        </w:rPr>
        <w:t>其它执法工作日</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主要包括安全生产综合监管督导、检查、考核、开展专项检查、暗查暗访、组织生产安全事故调查处理，核实举报投诉，参加有关部门联合执法，开展对中介服务机构的监督检查，安全生产宣教培训，组织听证、办理行政复议、行政应诉案件，完成本级政府和上级部门安排的其他执法工作任务等。结合前三个年度情况，2026年按照100天计，合计13人×100天=1300人天。</w:t>
      </w:r>
    </w:p>
    <w:p>
      <w:pPr>
        <w:keepNext w:val="0"/>
        <w:keepLines w:val="0"/>
        <w:pageBreakBefore w:val="0"/>
        <w:widowControl w:val="0"/>
        <w:kinsoku/>
        <w:wordWrap/>
        <w:overflowPunct/>
        <w:topLinePunct w:val="0"/>
        <w:autoSpaceDE/>
        <w:autoSpaceDN/>
        <w:bidi w:val="0"/>
        <w:spacing w:line="592" w:lineRule="exact"/>
        <w:ind w:left="0" w:leftChars="0" w:right="0" w:rightChars="0"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3.</w:t>
      </w:r>
      <w:r>
        <w:rPr>
          <w:rFonts w:hint="eastAsia" w:ascii="仿宋_GB2312" w:hAnsi="仿宋_GB2312" w:eastAsia="仿宋_GB2312" w:cs="仿宋_GB2312"/>
          <w:b/>
          <w:bCs/>
          <w:color w:val="auto"/>
          <w:sz w:val="32"/>
          <w:szCs w:val="32"/>
        </w:rPr>
        <w:t>非执法工作日</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主要包括机关值班，各类学习、培训、考核、会议，参加党群活动，病、事假，法定年休假、探亲假、婚（丧）假等。结合前三个年度情况，2026年按照80天计，非执法工作日总计1040人天（13人×80天=1040人天）。</w:t>
      </w:r>
    </w:p>
    <w:p>
      <w:pPr>
        <w:keepNext w:val="0"/>
        <w:keepLines w:val="0"/>
        <w:pageBreakBefore w:val="0"/>
        <w:widowControl w:val="0"/>
        <w:numPr>
          <w:ilvl w:val="0"/>
          <w:numId w:val="0"/>
        </w:numPr>
        <w:kinsoku/>
        <w:wordWrap/>
        <w:overflowPunct/>
        <w:topLinePunct w:val="0"/>
        <w:autoSpaceDE/>
        <w:autoSpaceDN/>
        <w:bidi w:val="0"/>
        <w:spacing w:line="592"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4.</w:t>
      </w:r>
      <w:r>
        <w:rPr>
          <w:rFonts w:hint="eastAsia" w:ascii="仿宋_GB2312" w:hAnsi="仿宋_GB2312" w:eastAsia="仿宋_GB2312" w:cs="仿宋_GB2312"/>
          <w:b/>
          <w:bCs/>
          <w:color w:val="auto"/>
          <w:sz w:val="32"/>
          <w:szCs w:val="32"/>
        </w:rPr>
        <w:t>监督检查工作日</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按照监督检查工作日总法定工作日—其他执法工作日—非执法工作日的算法，2026年监督检查工作日为3224人天-1300人天-1040人天=884人天。</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2026年总监督检查执法工作日为884人天。</w:t>
      </w:r>
    </w:p>
    <w:p>
      <w:pPr>
        <w:keepNext w:val="0"/>
        <w:keepLines w:val="0"/>
        <w:pageBreakBefore w:val="0"/>
        <w:widowControl w:val="0"/>
        <w:numPr>
          <w:ilvl w:val="0"/>
          <w:numId w:val="0"/>
        </w:numPr>
        <w:kinsoku/>
        <w:wordWrap/>
        <w:overflowPunct/>
        <w:topLinePunct w:val="0"/>
        <w:autoSpaceDE/>
        <w:autoSpaceDN/>
        <w:bidi w:val="0"/>
        <w:spacing w:line="592"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5.</w:t>
      </w:r>
      <w:r>
        <w:rPr>
          <w:rFonts w:hint="eastAsia" w:ascii="仿宋_GB2312" w:hAnsi="仿宋_GB2312" w:eastAsia="仿宋_GB2312" w:cs="仿宋_GB2312"/>
          <w:b/>
          <w:bCs/>
          <w:color w:val="auto"/>
          <w:sz w:val="32"/>
          <w:szCs w:val="32"/>
        </w:rPr>
        <w:t>计划监督检查工作日及监督检查企业数量</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按照平均闭环执法检查一家企业需3名执法人员、7天计共需检查工作日21（人·天）。2026年总监督检查工作日为884（人·天），年计划需完成监督检查企业62家（总监督检查执法工作日÷执法检查一家企业工作日=884÷21≈42.09家，故年度执法检查按不低于43家安排）。</w:t>
      </w:r>
    </w:p>
    <w:p>
      <w:pPr>
        <w:keepNext w:val="0"/>
        <w:keepLines w:val="0"/>
        <w:pageBreakBefore w:val="0"/>
        <w:widowControl w:val="0"/>
        <w:kinsoku/>
        <w:wordWrap/>
        <w:overflowPunct/>
        <w:topLinePunct w:val="0"/>
        <w:autoSpaceDE/>
        <w:autoSpaceDN/>
        <w:bidi w:val="0"/>
        <w:spacing w:line="592"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楷体_GB2312" w:hAnsi="楷体_GB2312" w:eastAsia="楷体_GB2312" w:cs="楷体_GB2312"/>
          <w:b/>
          <w:bCs/>
          <w:color w:val="auto"/>
          <w:sz w:val="32"/>
          <w:szCs w:val="32"/>
        </w:rPr>
        <w:t>（三）经费保障。</w:t>
      </w:r>
      <w:r>
        <w:rPr>
          <w:rFonts w:hint="eastAsia" w:ascii="仿宋_GB2312" w:hAnsi="仿宋_GB2312" w:eastAsia="仿宋_GB2312" w:cs="仿宋_GB2312"/>
          <w:b w:val="0"/>
          <w:bCs w:val="0"/>
          <w:color w:val="auto"/>
          <w:spacing w:val="9"/>
          <w:kern w:val="2"/>
          <w:sz w:val="32"/>
          <w:szCs w:val="32"/>
          <w:lang w:val="en-US" w:eastAsia="zh-CN" w:bidi="ar-SA"/>
        </w:rPr>
        <w:t>本年度市财政已安排专项执法经费预算予以保障。</w:t>
      </w:r>
    </w:p>
    <w:p>
      <w:pPr>
        <w:keepNext w:val="0"/>
        <w:keepLines w:val="0"/>
        <w:pageBreakBefore w:val="0"/>
        <w:widowControl w:val="0"/>
        <w:kinsoku/>
        <w:wordWrap/>
        <w:overflowPunct/>
        <w:topLinePunct w:val="0"/>
        <w:autoSpaceDE/>
        <w:autoSpaceDN/>
        <w:bidi w:val="0"/>
        <w:spacing w:line="592" w:lineRule="exact"/>
        <w:ind w:left="0" w:leftChars="0" w:right="0" w:rightChars="0" w:firstLine="640" w:firstLineChars="200"/>
        <w:jc w:val="left"/>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三、重点检查安排</w:t>
      </w:r>
    </w:p>
    <w:p>
      <w:pPr>
        <w:keepNext w:val="0"/>
        <w:keepLines w:val="0"/>
        <w:pageBreakBefore w:val="0"/>
        <w:widowControl w:val="0"/>
        <w:kinsoku/>
        <w:wordWrap/>
        <w:overflowPunct/>
        <w:topLinePunct w:val="0"/>
        <w:autoSpaceDE/>
        <w:autoSpaceDN/>
        <w:bidi w:val="0"/>
        <w:spacing w:line="592" w:lineRule="exact"/>
        <w:ind w:left="0" w:leftChars="0" w:right="0" w:rightChars="0" w:firstLine="643" w:firstLineChars="200"/>
        <w:jc w:val="left"/>
        <w:textAlignment w:val="auto"/>
        <w:rPr>
          <w:rFonts w:hint="default" w:ascii="Times New Roman" w:hAnsi="Times New Roman" w:eastAsia="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lang w:val="en-US" w:eastAsia="zh-CN"/>
        </w:rPr>
        <w:t>（一）重点检查单位范围</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按照《河北省应急管理系统安全生产分类分级执法暂行办法》和《石家庄市应急管理系统安全生产分类分级执法暂行办法》的要求，2026年我局重点监督检查生产经营单位范围如下：</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1.安全生产风险等级较高的生产经营单位：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（1）涉及重点监管危险化学品、重点监管危险化工工艺和危险化学品重大危险源的生产经营单位；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（2）涉爆粉尘生产经营单位；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（3）安全生产标准化未达标的生产经营单位，安全生产“双控”机制建设落实不到位的生产经营单位。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2.近三年发生过造成人员死亡的生产安全事故的生产经营单位；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3.纳入安全生产失信行为联合惩戒对象的生产经营单位；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4.发现存在重大生产安全事故隐患的生产经营单位；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5.试生产或者复工复产的生产经营单位；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6.其他应当纳入重点检查安排的生产经营单位。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按照省、石家庄市安全生产分级分类执法暂行办法规定并结合我市实际情况，本计划将纳入市本级监管执法的企业全部列入重点执法范围。</w:t>
      </w:r>
    </w:p>
    <w:p>
      <w:pPr>
        <w:keepNext w:val="0"/>
        <w:keepLines w:val="0"/>
        <w:pageBreakBefore w:val="0"/>
        <w:widowControl w:val="0"/>
        <w:kinsoku/>
        <w:wordWrap/>
        <w:overflowPunct/>
        <w:topLinePunct w:val="0"/>
        <w:autoSpaceDE/>
        <w:bidi w:val="0"/>
        <w:spacing w:line="592" w:lineRule="exact"/>
        <w:ind w:firstLine="643" w:firstLineChars="200"/>
        <w:jc w:val="left"/>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（二）重点监督检查单位数量、名称及检查频次</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全年计划全覆盖重点监督检查生产经营单位30家，危险化学品企业18家、一般化工企业2家、其它重点工商贸企业10家。（具体企业名单详见附件1）</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以上生产经营单位综合行政执法大队每年度至少进行一次执法检查，具体检查频次由各中队按照分级、分类监管和诚信管理的有关规定执行。</w:t>
      </w:r>
    </w:p>
    <w:p>
      <w:pPr>
        <w:keepNext w:val="0"/>
        <w:keepLines w:val="0"/>
        <w:pageBreakBefore w:val="0"/>
        <w:widowControl w:val="0"/>
        <w:kinsoku/>
        <w:wordWrap/>
        <w:overflowPunct/>
        <w:topLinePunct w:val="0"/>
        <w:autoSpaceDE/>
        <w:bidi w:val="0"/>
        <w:spacing w:line="592" w:lineRule="exact"/>
        <w:ind w:firstLine="643" w:firstLineChars="200"/>
        <w:jc w:val="left"/>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（三）重点监督检查内容</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对于危险化学品等高危行业和涉氨制冷、涉爆粉尘以及其他工商贸企业常见风险或重点岗位部位、作业环节和管理中易发多发的违法问题，各执法单位在编制具体执法检查计划时应列入重点检查内容。（详见附件2）</w:t>
      </w:r>
    </w:p>
    <w:p>
      <w:pPr>
        <w:keepNext w:val="0"/>
        <w:keepLines w:val="0"/>
        <w:pageBreakBefore w:val="0"/>
        <w:widowControl w:val="0"/>
        <w:kinsoku/>
        <w:wordWrap/>
        <w:overflowPunct/>
        <w:topLinePunct w:val="0"/>
        <w:autoSpaceDE/>
        <w:bidi w:val="0"/>
        <w:spacing w:line="592" w:lineRule="exact"/>
        <w:ind w:firstLine="643" w:firstLineChars="200"/>
        <w:jc w:val="left"/>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（四）监督检查时间安排</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监督检查的时间按照每季度工作日和重点时段进行合理分配，具体检查日期由各中队安排。（详见附件3）</w:t>
      </w:r>
    </w:p>
    <w:p>
      <w:pPr>
        <w:keepNext w:val="0"/>
        <w:keepLines w:val="0"/>
        <w:pageBreakBefore w:val="0"/>
        <w:widowControl w:val="0"/>
        <w:numPr>
          <w:ilvl w:val="0"/>
          <w:numId w:val="0"/>
        </w:numPr>
        <w:kinsoku/>
        <w:wordWrap/>
        <w:overflowPunct/>
        <w:topLinePunct w:val="0"/>
        <w:autoSpaceDE/>
        <w:autoSpaceDN/>
        <w:bidi w:val="0"/>
        <w:spacing w:line="592" w:lineRule="exact"/>
        <w:ind w:left="0" w:leftChars="0" w:right="0" w:rightChars="0" w:firstLine="640" w:firstLineChars="200"/>
        <w:jc w:val="left"/>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四、一般检查安排</w:t>
      </w:r>
    </w:p>
    <w:p>
      <w:pPr>
        <w:keepNext w:val="0"/>
        <w:keepLines w:val="0"/>
        <w:pageBreakBefore w:val="0"/>
        <w:widowControl w:val="0"/>
        <w:numPr>
          <w:ilvl w:val="0"/>
          <w:numId w:val="0"/>
        </w:numPr>
        <w:kinsoku/>
        <w:wordWrap/>
        <w:overflowPunct/>
        <w:topLinePunct w:val="0"/>
        <w:autoSpaceDE/>
        <w:autoSpaceDN/>
        <w:bidi w:val="0"/>
        <w:adjustRightInd/>
        <w:snapToGrid/>
        <w:spacing w:line="592" w:lineRule="exact"/>
        <w:ind w:left="0" w:leftChars="0" w:right="0" w:rightChars="0" w:firstLine="643" w:firstLineChars="200"/>
        <w:jc w:val="left"/>
        <w:textAlignment w:val="auto"/>
        <w:rPr>
          <w:rFonts w:hint="default" w:ascii="Times New Roman" w:hAnsi="Times New Roman" w:eastAsia="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lang w:val="en-US" w:eastAsia="zh-CN"/>
        </w:rPr>
        <w:t>（一）一般检查单位范围</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按照《河北省应急管理系统安全生产分类分级执法暂行办法的通知》和《石家庄市应急管理系统安全生产分类分级执法暂行办法》要求，一般检查生产经营单位范围为：</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1.本部门负责监督检查的重点检查单位以外的生产经营单位；</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 w:hAnsi="仿宋" w:eastAsia="仿宋" w:cs="仿宋"/>
          <w:spacing w:val="9"/>
          <w:kern w:val="2"/>
          <w:sz w:val="31"/>
          <w:szCs w:val="31"/>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2.其他应当纳入一般检查安排的生产经营单位。</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b/>
          <w:bCs/>
          <w:color w:val="auto"/>
          <w:sz w:val="32"/>
          <w:szCs w:val="32"/>
          <w:lang w:val="en-US" w:eastAsia="zh-CN"/>
        </w:rPr>
        <w:t>（二）一般</w:t>
      </w:r>
      <w:r>
        <w:rPr>
          <w:rFonts w:hint="eastAsia" w:ascii="Times New Roman" w:hAnsi="Times New Roman" w:eastAsia="楷体_GB2312" w:cs="Times New Roman"/>
          <w:b/>
          <w:bCs/>
          <w:color w:val="auto"/>
          <w:sz w:val="32"/>
          <w:szCs w:val="32"/>
          <w:lang w:val="en-US" w:eastAsia="zh-CN"/>
        </w:rPr>
        <w:t>监督</w:t>
      </w:r>
      <w:r>
        <w:rPr>
          <w:rFonts w:hint="default" w:ascii="Times New Roman" w:hAnsi="Times New Roman" w:eastAsia="楷体_GB2312" w:cs="Times New Roman"/>
          <w:b/>
          <w:bCs/>
          <w:color w:val="auto"/>
          <w:sz w:val="32"/>
          <w:szCs w:val="32"/>
          <w:lang w:val="en-US" w:eastAsia="zh-CN"/>
        </w:rPr>
        <w:t>检查单位数量及检查频次</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全年计划监督检查一般生产经营单位13家。</w:t>
      </w:r>
      <w:r>
        <w:rPr>
          <w:rFonts w:hint="default" w:ascii="仿宋_GB2312" w:hAnsi="仿宋_GB2312" w:eastAsia="仿宋_GB2312" w:cs="仿宋_GB2312"/>
          <w:b w:val="0"/>
          <w:bCs w:val="0"/>
          <w:color w:val="auto"/>
          <w:spacing w:val="9"/>
          <w:kern w:val="2"/>
          <w:sz w:val="32"/>
          <w:szCs w:val="32"/>
          <w:lang w:val="en-US" w:eastAsia="zh-CN" w:bidi="ar-SA"/>
        </w:rPr>
        <w:t>由</w:t>
      </w:r>
      <w:r>
        <w:rPr>
          <w:rFonts w:hint="eastAsia" w:ascii="仿宋_GB2312" w:hAnsi="仿宋_GB2312" w:eastAsia="仿宋_GB2312" w:cs="仿宋_GB2312"/>
          <w:b w:val="0"/>
          <w:bCs w:val="0"/>
          <w:color w:val="auto"/>
          <w:spacing w:val="9"/>
          <w:kern w:val="2"/>
          <w:sz w:val="32"/>
          <w:szCs w:val="32"/>
          <w:lang w:val="en-US" w:eastAsia="zh-CN" w:bidi="ar-SA"/>
        </w:rPr>
        <w:t>应急管理综合行政执法大队按照“</w:t>
      </w:r>
      <w:r>
        <w:rPr>
          <w:rFonts w:hint="default" w:ascii="仿宋_GB2312" w:hAnsi="仿宋_GB2312" w:eastAsia="仿宋_GB2312" w:cs="仿宋_GB2312"/>
          <w:b w:val="0"/>
          <w:bCs w:val="0"/>
          <w:color w:val="auto"/>
          <w:spacing w:val="9"/>
          <w:kern w:val="2"/>
          <w:sz w:val="32"/>
          <w:szCs w:val="32"/>
          <w:lang w:val="en-US" w:eastAsia="zh-CN" w:bidi="ar-SA"/>
        </w:rPr>
        <w:t>双随机</w:t>
      </w:r>
      <w:r>
        <w:rPr>
          <w:rFonts w:hint="eastAsia" w:ascii="仿宋_GB2312" w:hAnsi="仿宋_GB2312" w:eastAsia="仿宋_GB2312" w:cs="仿宋_GB2312"/>
          <w:b w:val="0"/>
          <w:bCs w:val="0"/>
          <w:color w:val="auto"/>
          <w:spacing w:val="9"/>
          <w:kern w:val="2"/>
          <w:sz w:val="32"/>
          <w:szCs w:val="32"/>
          <w:lang w:val="en-US" w:eastAsia="zh-CN" w:bidi="ar-SA"/>
        </w:rPr>
        <w:t>”规定进行随机抽取</w:t>
      </w:r>
      <w:r>
        <w:rPr>
          <w:rFonts w:hint="default" w:ascii="仿宋_GB2312" w:hAnsi="仿宋_GB2312" w:eastAsia="仿宋_GB2312" w:cs="仿宋_GB2312"/>
          <w:b w:val="0"/>
          <w:bCs w:val="0"/>
          <w:color w:val="auto"/>
          <w:spacing w:val="9"/>
          <w:kern w:val="2"/>
          <w:sz w:val="32"/>
          <w:szCs w:val="32"/>
          <w:lang w:val="en-US" w:eastAsia="zh-CN" w:bidi="ar-SA"/>
        </w:rPr>
        <w:t>。</w:t>
      </w:r>
      <w:r>
        <w:rPr>
          <w:rFonts w:hint="eastAsia" w:ascii="仿宋_GB2312" w:hAnsi="仿宋_GB2312" w:eastAsia="仿宋_GB2312" w:cs="仿宋_GB2312"/>
          <w:b w:val="0"/>
          <w:bCs w:val="0"/>
          <w:color w:val="auto"/>
          <w:spacing w:val="9"/>
          <w:kern w:val="2"/>
          <w:sz w:val="32"/>
          <w:szCs w:val="32"/>
          <w:lang w:val="en-US" w:eastAsia="zh-CN" w:bidi="ar-SA"/>
        </w:rPr>
        <w:t>非特殊需要，随机抽查的单位年度内只</w:t>
      </w:r>
      <w:r>
        <w:rPr>
          <w:rFonts w:hint="default" w:ascii="仿宋_GB2312" w:hAnsi="仿宋_GB2312" w:eastAsia="仿宋_GB2312" w:cs="仿宋_GB2312"/>
          <w:b w:val="0"/>
          <w:bCs w:val="0"/>
          <w:color w:val="auto"/>
          <w:spacing w:val="9"/>
          <w:kern w:val="2"/>
          <w:sz w:val="32"/>
          <w:szCs w:val="32"/>
          <w:lang w:val="en-US" w:eastAsia="zh-CN" w:bidi="ar-SA"/>
        </w:rPr>
        <w:t>进行一次</w:t>
      </w:r>
      <w:r>
        <w:rPr>
          <w:rFonts w:hint="eastAsia" w:ascii="仿宋_GB2312" w:hAnsi="仿宋_GB2312" w:eastAsia="仿宋_GB2312" w:cs="仿宋_GB2312"/>
          <w:b w:val="0"/>
          <w:bCs w:val="0"/>
          <w:color w:val="auto"/>
          <w:spacing w:val="9"/>
          <w:kern w:val="2"/>
          <w:sz w:val="32"/>
          <w:szCs w:val="32"/>
          <w:lang w:val="en-US" w:eastAsia="zh-CN" w:bidi="ar-SA"/>
        </w:rPr>
        <w:t>监督</w:t>
      </w:r>
      <w:r>
        <w:rPr>
          <w:rFonts w:hint="default" w:ascii="仿宋_GB2312" w:hAnsi="仿宋_GB2312" w:eastAsia="仿宋_GB2312" w:cs="仿宋_GB2312"/>
          <w:b w:val="0"/>
          <w:bCs w:val="0"/>
          <w:color w:val="auto"/>
          <w:spacing w:val="9"/>
          <w:kern w:val="2"/>
          <w:sz w:val="32"/>
          <w:szCs w:val="32"/>
          <w:lang w:val="en-US" w:eastAsia="zh-CN" w:bidi="ar-SA"/>
        </w:rPr>
        <w:t>检查。</w:t>
      </w:r>
      <w:r>
        <w:rPr>
          <w:rFonts w:hint="eastAsia" w:ascii="仿宋_GB2312" w:hAnsi="仿宋_GB2312" w:eastAsia="仿宋_GB2312" w:cs="仿宋_GB2312"/>
          <w:b w:val="0"/>
          <w:bCs w:val="0"/>
          <w:color w:val="auto"/>
          <w:spacing w:val="9"/>
          <w:kern w:val="2"/>
          <w:sz w:val="32"/>
          <w:szCs w:val="32"/>
          <w:lang w:val="en-US" w:eastAsia="zh-CN" w:bidi="ar-SA"/>
        </w:rPr>
        <w:t>具体监督检查时间由各中队参照重点检查单位按季度计划进行。（详见附件3）</w:t>
      </w:r>
    </w:p>
    <w:p>
      <w:pPr>
        <w:keepNext w:val="0"/>
        <w:keepLines w:val="0"/>
        <w:pageBreakBefore w:val="0"/>
        <w:widowControl w:val="0"/>
        <w:numPr>
          <w:ilvl w:val="0"/>
          <w:numId w:val="0"/>
        </w:numPr>
        <w:kinsoku/>
        <w:wordWrap/>
        <w:overflowPunct/>
        <w:topLinePunct w:val="0"/>
        <w:autoSpaceDE/>
        <w:autoSpaceDN/>
        <w:bidi w:val="0"/>
        <w:spacing w:line="592" w:lineRule="exact"/>
        <w:ind w:right="0" w:righ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黑体" w:hAnsi="黑体" w:eastAsia="黑体" w:cs="黑体"/>
          <w:b w:val="0"/>
          <w:bCs w:val="0"/>
          <w:color w:val="auto"/>
          <w:sz w:val="32"/>
          <w:szCs w:val="32"/>
          <w:lang w:val="en-US" w:eastAsia="zh-CN"/>
        </w:rPr>
        <w:t>五、专项执法安排</w:t>
      </w:r>
    </w:p>
    <w:p>
      <w:pPr>
        <w:keepNext w:val="0"/>
        <w:keepLines w:val="0"/>
        <w:pageBreakBefore w:val="0"/>
        <w:widowControl w:val="0"/>
        <w:kinsoku/>
        <w:wordWrap/>
        <w:overflowPunct/>
        <w:topLinePunct w:val="0"/>
        <w:autoSpaceDE/>
        <w:autoSpaceDN/>
        <w:bidi w:val="0"/>
        <w:spacing w:line="592" w:lineRule="exact"/>
        <w:ind w:firstLine="676"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仿宋_GB2312" w:hAnsi="仿宋_GB2312" w:eastAsia="仿宋_GB2312" w:cs="仿宋_GB2312"/>
          <w:b w:val="0"/>
          <w:bCs w:val="0"/>
          <w:color w:val="auto"/>
          <w:spacing w:val="9"/>
          <w:kern w:val="2"/>
          <w:sz w:val="32"/>
          <w:szCs w:val="32"/>
          <w:lang w:val="en-US" w:eastAsia="zh-CN" w:bidi="ar-SA"/>
        </w:rPr>
        <w:t>承担专项执法任务的股室、中队根据上级安排和本计划任务采取“双随机”抽查的方式选取执法检查单位，不列具体名单。</w:t>
      </w:r>
    </w:p>
    <w:p>
      <w:pPr>
        <w:keepNext w:val="0"/>
        <w:keepLines w:val="0"/>
        <w:pageBreakBefore w:val="0"/>
        <w:widowControl w:val="0"/>
        <w:numPr>
          <w:ilvl w:val="0"/>
          <w:numId w:val="0"/>
        </w:numPr>
        <w:kinsoku/>
        <w:wordWrap/>
        <w:overflowPunct/>
        <w:topLinePunct w:val="0"/>
        <w:autoSpaceDE/>
        <w:autoSpaceDN/>
        <w:bidi w:val="0"/>
        <w:spacing w:line="592" w:lineRule="exact"/>
        <w:ind w:left="0" w:leftChars="0" w:right="0" w:rightChars="0" w:firstLine="640"/>
        <w:textAlignment w:val="auto"/>
        <w:rPr>
          <w:rFonts w:hint="default" w:ascii="Times New Roman" w:hAnsi="Times New Roman" w:eastAsia="黑体" w:cs="Times New Roman"/>
          <w:b w:val="0"/>
          <w:bCs w:val="0"/>
          <w:color w:val="auto"/>
          <w:sz w:val="32"/>
          <w:szCs w:val="32"/>
          <w:lang w:val="en-US" w:eastAsia="zh-CN"/>
        </w:rPr>
      </w:pPr>
      <w:r>
        <w:rPr>
          <w:rFonts w:hint="eastAsia" w:ascii="Times New Roman" w:hAnsi="Times New Roman" w:eastAsia="黑体" w:cs="Times New Roman"/>
          <w:b w:val="0"/>
          <w:bCs w:val="0"/>
          <w:color w:val="auto"/>
          <w:sz w:val="32"/>
          <w:szCs w:val="32"/>
          <w:lang w:val="en-US" w:eastAsia="zh-CN"/>
        </w:rPr>
        <w:t>六、</w:t>
      </w:r>
      <w:r>
        <w:rPr>
          <w:rFonts w:hint="default" w:ascii="Times New Roman" w:hAnsi="Times New Roman" w:eastAsia="黑体" w:cs="Times New Roman"/>
          <w:b w:val="0"/>
          <w:bCs w:val="0"/>
          <w:color w:val="auto"/>
          <w:sz w:val="32"/>
          <w:szCs w:val="32"/>
          <w:lang w:val="en-US" w:eastAsia="zh-CN"/>
        </w:rPr>
        <w:t>监督检查有关要求</w:t>
      </w:r>
    </w:p>
    <w:p>
      <w:pPr>
        <w:keepNext w:val="0"/>
        <w:keepLines w:val="0"/>
        <w:pageBreakBefore w:val="0"/>
        <w:widowControl w:val="0"/>
        <w:kinsoku/>
        <w:wordWrap/>
        <w:overflowPunct/>
        <w:topLinePunct w:val="0"/>
        <w:autoSpaceDE/>
        <w:autoSpaceDN/>
        <w:bidi w:val="0"/>
        <w:spacing w:line="592" w:lineRule="exact"/>
        <w:ind w:firstLine="679"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楷体_GB2312" w:hAnsi="楷体_GB2312" w:eastAsia="楷体_GB2312" w:cs="楷体_GB2312"/>
          <w:b/>
          <w:bCs/>
          <w:color w:val="auto"/>
          <w:spacing w:val="9"/>
          <w:kern w:val="2"/>
          <w:sz w:val="32"/>
          <w:szCs w:val="32"/>
          <w:lang w:val="en-US" w:eastAsia="zh-CN" w:bidi="ar-SA"/>
        </w:rPr>
        <w:t>（一）严格落实执法标准化建设。</w:t>
      </w:r>
      <w:r>
        <w:rPr>
          <w:rFonts w:hint="eastAsia" w:ascii="仿宋_GB2312" w:hAnsi="仿宋_GB2312" w:eastAsia="仿宋_GB2312" w:cs="仿宋_GB2312"/>
          <w:b/>
          <w:bCs/>
          <w:color w:val="auto"/>
          <w:spacing w:val="9"/>
          <w:kern w:val="2"/>
          <w:sz w:val="32"/>
          <w:szCs w:val="32"/>
          <w:lang w:val="en-US" w:eastAsia="zh-CN" w:bidi="ar-SA"/>
        </w:rPr>
        <w:t>一是</w:t>
      </w:r>
      <w:r>
        <w:rPr>
          <w:rFonts w:hint="eastAsia" w:ascii="仿宋_GB2312" w:hAnsi="仿宋_GB2312" w:eastAsia="仿宋_GB2312" w:cs="仿宋_GB2312"/>
          <w:b w:val="0"/>
          <w:bCs w:val="0"/>
          <w:color w:val="auto"/>
          <w:spacing w:val="9"/>
          <w:kern w:val="2"/>
          <w:sz w:val="32"/>
          <w:szCs w:val="32"/>
          <w:lang w:val="en-US" w:eastAsia="zh-CN" w:bidi="ar-SA"/>
        </w:rPr>
        <w:t>负有安全生产监督检查职责的应急管理综合行政执法大队要按照市政府批复的年度监督检查计划，结合分管行业不同阶段安全生产工作特点，编制本中队具体执法检查计划。</w:t>
      </w:r>
      <w:r>
        <w:rPr>
          <w:rFonts w:hint="eastAsia" w:ascii="仿宋_GB2312" w:hAnsi="仿宋_GB2312" w:eastAsia="仿宋_GB2312" w:cs="仿宋_GB2312"/>
          <w:b/>
          <w:bCs/>
          <w:color w:val="auto"/>
          <w:spacing w:val="9"/>
          <w:kern w:val="2"/>
          <w:sz w:val="32"/>
          <w:szCs w:val="32"/>
          <w:lang w:val="en-US" w:eastAsia="zh-CN" w:bidi="ar-SA"/>
        </w:rPr>
        <w:t>二是</w:t>
      </w:r>
      <w:r>
        <w:rPr>
          <w:rFonts w:hint="eastAsia" w:ascii="仿宋_GB2312" w:hAnsi="仿宋_GB2312" w:eastAsia="仿宋_GB2312" w:cs="仿宋_GB2312"/>
          <w:b w:val="0"/>
          <w:bCs w:val="0"/>
          <w:color w:val="auto"/>
          <w:spacing w:val="9"/>
          <w:kern w:val="2"/>
          <w:sz w:val="32"/>
          <w:szCs w:val="32"/>
          <w:lang w:val="en-US" w:eastAsia="zh-CN" w:bidi="ar-SA"/>
        </w:rPr>
        <w:t>全面应用应急管理部“互联网+执法”系统，严格落实省厅关于</w:t>
      </w:r>
      <w:r>
        <w:rPr>
          <w:rFonts w:hint="eastAsia" w:ascii="仿宋_GB2312" w:hAnsi="仿宋_GB2312" w:eastAsia="仿宋_GB2312" w:cs="仿宋_GB2312"/>
          <w:b w:val="0"/>
          <w:bCs w:val="0"/>
          <w:color w:val="auto"/>
          <w:spacing w:val="9"/>
          <w:kern w:val="2"/>
          <w:sz w:val="32"/>
          <w:szCs w:val="32"/>
          <w:lang w:val="en-US" w:eastAsia="en-US" w:bidi="ar-SA"/>
        </w:rPr>
        <w:t>执法文书线上办案的工作要求</w:t>
      </w:r>
      <w:r>
        <w:rPr>
          <w:rFonts w:hint="eastAsia" w:ascii="仿宋_GB2312" w:hAnsi="仿宋_GB2312" w:eastAsia="仿宋_GB2312" w:cs="仿宋_GB2312"/>
          <w:b w:val="0"/>
          <w:bCs w:val="0"/>
          <w:color w:val="auto"/>
          <w:spacing w:val="9"/>
          <w:kern w:val="2"/>
          <w:sz w:val="32"/>
          <w:szCs w:val="32"/>
          <w:lang w:val="en-US" w:eastAsia="zh-CN" w:bidi="ar-SA"/>
        </w:rPr>
        <w:t>。</w:t>
      </w:r>
      <w:r>
        <w:rPr>
          <w:rFonts w:hint="eastAsia" w:ascii="仿宋_GB2312" w:hAnsi="仿宋_GB2312" w:eastAsia="仿宋_GB2312" w:cs="仿宋_GB2312"/>
          <w:b/>
          <w:bCs/>
          <w:color w:val="auto"/>
          <w:spacing w:val="9"/>
          <w:kern w:val="2"/>
          <w:sz w:val="32"/>
          <w:szCs w:val="32"/>
          <w:lang w:val="en-US" w:eastAsia="en-US" w:bidi="ar-SA"/>
        </w:rPr>
        <w:t>三是</w:t>
      </w:r>
      <w:r>
        <w:rPr>
          <w:rFonts w:hint="eastAsia" w:ascii="仿宋_GB2312" w:hAnsi="仿宋_GB2312" w:eastAsia="仿宋_GB2312" w:cs="仿宋_GB2312"/>
          <w:b w:val="0"/>
          <w:bCs w:val="0"/>
          <w:color w:val="auto"/>
          <w:spacing w:val="9"/>
          <w:kern w:val="2"/>
          <w:sz w:val="32"/>
          <w:szCs w:val="32"/>
          <w:lang w:val="en-US" w:eastAsia="en-US" w:bidi="ar-SA"/>
        </w:rPr>
        <w:t>推行“一企一策”精准执法，全面落实执法标准化工作要求，根据行业重点检查事项和企业实际，确定执法检查内容，制定执法检查方案，并在开展执法检查</w:t>
      </w:r>
      <w:r>
        <w:rPr>
          <w:rFonts w:hint="eastAsia" w:ascii="仿宋_GB2312" w:hAnsi="仿宋_GB2312" w:eastAsia="仿宋_GB2312" w:cs="仿宋_GB2312"/>
          <w:b w:val="0"/>
          <w:bCs w:val="0"/>
          <w:color w:val="auto"/>
          <w:spacing w:val="9"/>
          <w:kern w:val="2"/>
          <w:sz w:val="32"/>
          <w:szCs w:val="32"/>
          <w:lang w:val="en-US" w:eastAsia="zh-CN" w:bidi="ar-SA"/>
        </w:rPr>
        <w:t>5</w:t>
      </w:r>
      <w:r>
        <w:rPr>
          <w:rFonts w:hint="eastAsia" w:ascii="仿宋_GB2312" w:hAnsi="仿宋_GB2312" w:eastAsia="仿宋_GB2312" w:cs="仿宋_GB2312"/>
          <w:b w:val="0"/>
          <w:bCs w:val="0"/>
          <w:color w:val="auto"/>
          <w:spacing w:val="9"/>
          <w:kern w:val="2"/>
          <w:sz w:val="32"/>
          <w:szCs w:val="32"/>
          <w:lang w:val="en-US" w:eastAsia="en-US" w:bidi="ar-SA"/>
        </w:rPr>
        <w:t>日前向企业送达《行政检查通知书》</w:t>
      </w:r>
      <w:r>
        <w:rPr>
          <w:rFonts w:hint="eastAsia" w:ascii="仿宋_GB2312" w:hAnsi="仿宋_GB2312" w:eastAsia="仿宋_GB2312" w:cs="仿宋_GB2312"/>
          <w:b w:val="0"/>
          <w:bCs w:val="0"/>
          <w:color w:val="auto"/>
          <w:spacing w:val="9"/>
          <w:kern w:val="2"/>
          <w:sz w:val="32"/>
          <w:szCs w:val="32"/>
          <w:lang w:val="en-US" w:eastAsia="zh-CN" w:bidi="ar-SA"/>
        </w:rPr>
        <w:t>。</w:t>
      </w:r>
      <w:r>
        <w:rPr>
          <w:rFonts w:hint="eastAsia" w:ascii="仿宋_GB2312" w:hAnsi="仿宋_GB2312" w:eastAsia="仿宋_GB2312" w:cs="仿宋_GB2312"/>
          <w:b/>
          <w:bCs/>
          <w:color w:val="auto"/>
          <w:spacing w:val="9"/>
          <w:kern w:val="2"/>
          <w:sz w:val="32"/>
          <w:szCs w:val="32"/>
          <w:lang w:val="en-US" w:eastAsia="en-US" w:bidi="ar-SA"/>
        </w:rPr>
        <w:t>四是</w:t>
      </w:r>
      <w:r>
        <w:rPr>
          <w:rFonts w:hint="eastAsia" w:ascii="仿宋_GB2312" w:hAnsi="仿宋_GB2312" w:eastAsia="仿宋_GB2312" w:cs="仿宋_GB2312"/>
          <w:b w:val="0"/>
          <w:bCs w:val="0"/>
          <w:color w:val="auto"/>
          <w:spacing w:val="9"/>
          <w:kern w:val="2"/>
          <w:sz w:val="32"/>
          <w:szCs w:val="32"/>
          <w:lang w:val="en-US" w:eastAsia="en-US" w:bidi="ar-SA"/>
        </w:rPr>
        <w:t>检查开始前要主动出示执法证件，表明身份和来意；检查过程中要按照检查方案认真检查企业安全生产管理状况；检查结束后要将发现的问题向企业通报，听取企业的意见，并指导督促企业按时整改。</w:t>
      </w:r>
    </w:p>
    <w:p>
      <w:pPr>
        <w:keepNext w:val="0"/>
        <w:keepLines w:val="0"/>
        <w:pageBreakBefore w:val="0"/>
        <w:widowControl w:val="0"/>
        <w:kinsoku/>
        <w:wordWrap/>
        <w:overflowPunct/>
        <w:topLinePunct w:val="0"/>
        <w:autoSpaceDE/>
        <w:autoSpaceDN/>
        <w:bidi w:val="0"/>
        <w:spacing w:line="592" w:lineRule="exact"/>
        <w:ind w:firstLine="679"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楷体_GB2312" w:hAnsi="楷体_GB2312" w:eastAsia="楷体_GB2312" w:cs="楷体_GB2312"/>
          <w:b/>
          <w:bCs/>
          <w:color w:val="auto"/>
          <w:spacing w:val="9"/>
          <w:kern w:val="2"/>
          <w:sz w:val="32"/>
          <w:szCs w:val="32"/>
          <w:lang w:val="en-US" w:eastAsia="zh-CN" w:bidi="ar-SA"/>
        </w:rPr>
        <w:t>（二）依法依规查处违法违规行为。</w:t>
      </w:r>
      <w:r>
        <w:rPr>
          <w:rFonts w:hint="eastAsia" w:ascii="仿宋_GB2312" w:hAnsi="仿宋_GB2312" w:eastAsia="仿宋_GB2312" w:cs="仿宋_GB2312"/>
          <w:b w:val="0"/>
          <w:bCs w:val="0"/>
          <w:color w:val="auto"/>
          <w:spacing w:val="9"/>
          <w:kern w:val="2"/>
          <w:sz w:val="32"/>
          <w:szCs w:val="32"/>
          <w:lang w:val="en-US" w:eastAsia="zh-CN" w:bidi="ar-SA"/>
        </w:rPr>
        <w:t>聚焦重点行业领域重大事故隐患判定标准和行业重点检查事项清单，围绕行业领域重点检查事项、生产经营单位主要负责人履职、双重预防机制建设、安全设施“ 三同时”、安全生产标准化建设及安全技术服务事项、企业落实安全生产举报奖励相关情况等内容开展监督检查，发现违法行为，依法立案查处。不断完善“双随机” 抽查检查工作机制，严防小施工、小作业引发大事故。</w:t>
      </w:r>
    </w:p>
    <w:p>
      <w:pPr>
        <w:keepNext w:val="0"/>
        <w:keepLines w:val="0"/>
        <w:pageBreakBefore w:val="0"/>
        <w:widowControl w:val="0"/>
        <w:kinsoku/>
        <w:wordWrap/>
        <w:overflowPunct/>
        <w:topLinePunct w:val="0"/>
        <w:autoSpaceDE/>
        <w:autoSpaceDN/>
        <w:bidi w:val="0"/>
        <w:spacing w:line="592" w:lineRule="exact"/>
        <w:ind w:firstLine="679"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楷体_GB2312" w:hAnsi="楷体_GB2312" w:eastAsia="楷体_GB2312" w:cs="楷体_GB2312"/>
          <w:b/>
          <w:bCs/>
          <w:color w:val="auto"/>
          <w:spacing w:val="9"/>
          <w:kern w:val="2"/>
          <w:sz w:val="32"/>
          <w:szCs w:val="32"/>
          <w:lang w:val="en-US" w:eastAsia="zh-CN" w:bidi="ar-SA"/>
        </w:rPr>
        <w:t>（三）依法履职做好案件移交、移送工作。</w:t>
      </w:r>
      <w:r>
        <w:rPr>
          <w:rFonts w:hint="eastAsia" w:ascii="仿宋_GB2312" w:hAnsi="仿宋_GB2312" w:eastAsia="仿宋_GB2312" w:cs="仿宋_GB2312"/>
          <w:b w:val="0"/>
          <w:bCs w:val="0"/>
          <w:color w:val="auto"/>
          <w:spacing w:val="9"/>
          <w:kern w:val="2"/>
          <w:sz w:val="32"/>
          <w:szCs w:val="32"/>
          <w:lang w:val="en-US" w:eastAsia="zh-CN" w:bidi="ar-SA"/>
        </w:rPr>
        <w:t>列入市本级年度监督检查计划的企业，原则上由市本级中队进行执法检 查并出具相应执法文书；需要移交处理时，必须办理案件移交手续并实施跟踪督办，对案件办理情况进行备案监督。加强与其他部门间信息沟通和通报，在监督检查中发现不属于本部门监管职责范围的问题，要按照有关要求及时向部门通报或移交，构成犯罪的案件或案件线索，按照行刑衔接的有关规定及时移送司法部门依法处理。</w:t>
      </w:r>
    </w:p>
    <w:p>
      <w:pPr>
        <w:keepNext w:val="0"/>
        <w:keepLines w:val="0"/>
        <w:pageBreakBefore w:val="0"/>
        <w:widowControl w:val="0"/>
        <w:kinsoku/>
        <w:wordWrap/>
        <w:overflowPunct/>
        <w:topLinePunct w:val="0"/>
        <w:autoSpaceDE/>
        <w:autoSpaceDN/>
        <w:bidi w:val="0"/>
        <w:spacing w:line="592" w:lineRule="exact"/>
        <w:ind w:firstLine="679" w:firstLineChars="200"/>
        <w:textAlignment w:val="auto"/>
        <w:rPr>
          <w:rFonts w:hint="eastAsia" w:ascii="仿宋_GB2312" w:hAnsi="仿宋_GB2312" w:eastAsia="仿宋_GB2312" w:cs="仿宋_GB2312"/>
          <w:b w:val="0"/>
          <w:bCs w:val="0"/>
          <w:color w:val="auto"/>
          <w:spacing w:val="9"/>
          <w:kern w:val="2"/>
          <w:sz w:val="32"/>
          <w:szCs w:val="32"/>
          <w:lang w:val="en-US" w:eastAsia="zh-CN" w:bidi="ar-SA"/>
        </w:rPr>
      </w:pPr>
      <w:r>
        <w:rPr>
          <w:rFonts w:hint="eastAsia" w:ascii="楷体_GB2312" w:hAnsi="楷体_GB2312" w:eastAsia="楷体_GB2312" w:cs="楷体_GB2312"/>
          <w:b/>
          <w:bCs/>
          <w:color w:val="auto"/>
          <w:spacing w:val="9"/>
          <w:kern w:val="2"/>
          <w:sz w:val="32"/>
          <w:szCs w:val="32"/>
          <w:lang w:val="en-US" w:eastAsia="en-US" w:bidi="ar-SA"/>
        </w:rPr>
        <w:t>（四）分类分级统筹做好执法工作。</w:t>
      </w:r>
      <w:r>
        <w:rPr>
          <w:rFonts w:hint="eastAsia" w:ascii="仿宋_GB2312" w:hAnsi="仿宋_GB2312" w:eastAsia="仿宋_GB2312" w:cs="仿宋_GB2312"/>
          <w:b w:val="0"/>
          <w:bCs w:val="0"/>
          <w:color w:val="auto"/>
          <w:spacing w:val="9"/>
          <w:kern w:val="2"/>
          <w:sz w:val="32"/>
          <w:szCs w:val="32"/>
          <w:lang w:val="en-US" w:eastAsia="zh-CN" w:bidi="ar-SA"/>
        </w:rPr>
        <w:t>根据《河北省应急管理系统安全生产分类分级执法暂行办法》及《石家庄市应急管理系统安全生产分类分级执法暂行办法》要求，市县应及时沟通执法事项，</w:t>
      </w:r>
      <w:r>
        <w:rPr>
          <w:rFonts w:hint="eastAsia" w:ascii="仿宋_GB2312" w:hAnsi="仿宋_GB2312" w:eastAsia="仿宋_GB2312" w:cs="仿宋_GB2312"/>
          <w:b w:val="0"/>
          <w:bCs w:val="0"/>
          <w:color w:val="auto"/>
          <w:spacing w:val="9"/>
          <w:kern w:val="2"/>
          <w:sz w:val="32"/>
          <w:szCs w:val="32"/>
          <w:lang w:val="en-US" w:eastAsia="en-US" w:bidi="ar-SA"/>
        </w:rPr>
        <w:t>坚持一个生产经营单位对应一个监管执法主体的原则。严格落实行政执法领域突出问题专项整治工作要求，坚决杜绝</w:t>
      </w:r>
      <w:r>
        <w:rPr>
          <w:rFonts w:hint="eastAsia" w:ascii="仿宋_GB2312" w:hAnsi="仿宋_GB2312" w:eastAsia="仿宋_GB2312" w:cs="仿宋_GB2312"/>
          <w:b w:val="0"/>
          <w:bCs w:val="0"/>
          <w:color w:val="auto"/>
          <w:spacing w:val="9"/>
          <w:kern w:val="2"/>
          <w:sz w:val="32"/>
          <w:szCs w:val="32"/>
          <w:lang w:val="en-US" w:eastAsia="zh-CN" w:bidi="ar-SA"/>
        </w:rPr>
        <w:t>“</w:t>
      </w:r>
      <w:r>
        <w:rPr>
          <w:rFonts w:hint="eastAsia" w:ascii="仿宋_GB2312" w:hAnsi="仿宋_GB2312" w:eastAsia="仿宋_GB2312" w:cs="仿宋_GB2312"/>
          <w:b w:val="0"/>
          <w:bCs w:val="0"/>
          <w:color w:val="auto"/>
          <w:spacing w:val="9"/>
          <w:kern w:val="2"/>
          <w:sz w:val="32"/>
          <w:szCs w:val="32"/>
          <w:lang w:val="en-US" w:eastAsia="en-US" w:bidi="ar-SA"/>
        </w:rPr>
        <w:t>一刀切”执法、多头执法</w:t>
      </w:r>
      <w:r>
        <w:rPr>
          <w:rFonts w:hint="eastAsia" w:ascii="仿宋_GB2312" w:hAnsi="仿宋_GB2312" w:eastAsia="仿宋_GB2312" w:cs="仿宋_GB2312"/>
          <w:b w:val="0"/>
          <w:bCs w:val="0"/>
          <w:color w:val="auto"/>
          <w:spacing w:val="9"/>
          <w:kern w:val="2"/>
          <w:sz w:val="32"/>
          <w:szCs w:val="32"/>
          <w:lang w:val="en-US" w:eastAsia="zh-CN" w:bidi="ar-SA"/>
        </w:rPr>
        <w:t>、</w:t>
      </w:r>
      <w:r>
        <w:rPr>
          <w:rFonts w:hint="eastAsia" w:ascii="仿宋_GB2312" w:hAnsi="仿宋_GB2312" w:eastAsia="仿宋_GB2312" w:cs="仿宋_GB2312"/>
          <w:b w:val="0"/>
          <w:bCs w:val="0"/>
          <w:color w:val="auto"/>
          <w:spacing w:val="9"/>
          <w:kern w:val="2"/>
          <w:sz w:val="32"/>
          <w:szCs w:val="32"/>
          <w:lang w:val="en-US" w:eastAsia="en-US" w:bidi="ar-SA"/>
        </w:rPr>
        <w:t>重复执法、任性执法、选择性执法、逐利式执法、运动式执法等不作为乱作为现象。</w:t>
      </w:r>
    </w:p>
    <w:p>
      <w:pPr>
        <w:keepNext w:val="0"/>
        <w:keepLines w:val="0"/>
        <w:pageBreakBefore w:val="0"/>
        <w:widowControl w:val="0"/>
        <w:kinsoku/>
        <w:wordWrap/>
        <w:overflowPunct/>
        <w:topLinePunct w:val="0"/>
        <w:autoSpaceDE/>
        <w:autoSpaceDN/>
        <w:bidi w:val="0"/>
        <w:spacing w:line="592" w:lineRule="exact"/>
        <w:ind w:firstLine="679" w:firstLineChars="200"/>
        <w:textAlignment w:val="auto"/>
        <w:rPr>
          <w:rFonts w:hint="eastAsia" w:ascii="仿宋_GB2312" w:hAnsi="仿宋_GB2312" w:eastAsia="仿宋_GB2312" w:cs="仿宋_GB2312"/>
          <w:b w:val="0"/>
          <w:bCs w:val="0"/>
          <w:color w:val="auto"/>
          <w:spacing w:val="9"/>
          <w:kern w:val="2"/>
          <w:sz w:val="32"/>
          <w:szCs w:val="32"/>
          <w:lang w:val="en-US" w:eastAsia="en-US" w:bidi="ar-SA"/>
        </w:rPr>
      </w:pPr>
      <w:r>
        <w:rPr>
          <w:rFonts w:hint="eastAsia" w:ascii="楷体_GB2312" w:hAnsi="楷体_GB2312" w:eastAsia="楷体_GB2312" w:cs="楷体_GB2312"/>
          <w:b/>
          <w:bCs/>
          <w:color w:val="auto"/>
          <w:spacing w:val="9"/>
          <w:kern w:val="2"/>
          <w:sz w:val="32"/>
          <w:szCs w:val="32"/>
          <w:lang w:val="en-US" w:eastAsia="en-US" w:bidi="ar-SA"/>
        </w:rPr>
        <w:t>（五）按要求做好监督检查计划变更。</w:t>
      </w:r>
      <w:r>
        <w:rPr>
          <w:rFonts w:hint="eastAsia" w:ascii="仿宋_GB2312" w:hAnsi="仿宋_GB2312" w:eastAsia="仿宋_GB2312" w:cs="仿宋_GB2312"/>
          <w:b w:val="0"/>
          <w:bCs w:val="0"/>
          <w:color w:val="auto"/>
          <w:spacing w:val="9"/>
          <w:kern w:val="2"/>
          <w:sz w:val="32"/>
          <w:szCs w:val="32"/>
          <w:lang w:val="en-US" w:eastAsia="en-US" w:bidi="ar-SA"/>
        </w:rPr>
        <w:t>年度监督检查计划经市政府批准后</w:t>
      </w:r>
      <w:r>
        <w:rPr>
          <w:rFonts w:hint="eastAsia" w:ascii="仿宋_GB2312" w:hAnsi="仿宋_GB2312" w:eastAsia="仿宋_GB2312" w:cs="仿宋_GB2312"/>
          <w:b w:val="0"/>
          <w:bCs w:val="0"/>
          <w:color w:val="auto"/>
          <w:spacing w:val="9"/>
          <w:kern w:val="2"/>
          <w:sz w:val="32"/>
          <w:szCs w:val="32"/>
          <w:lang w:val="en-US" w:eastAsia="zh-CN" w:bidi="ar-SA"/>
        </w:rPr>
        <w:t>，</w:t>
      </w:r>
      <w:r>
        <w:rPr>
          <w:rFonts w:hint="eastAsia" w:ascii="仿宋_GB2312" w:hAnsi="仿宋_GB2312" w:eastAsia="仿宋_GB2312" w:cs="仿宋_GB2312"/>
          <w:b w:val="0"/>
          <w:bCs w:val="0"/>
          <w:color w:val="auto"/>
          <w:spacing w:val="9"/>
          <w:kern w:val="2"/>
          <w:sz w:val="32"/>
          <w:szCs w:val="32"/>
          <w:lang w:val="en-US" w:eastAsia="en-US" w:bidi="ar-SA"/>
        </w:rPr>
        <w:t>不得随意变更。确因工作需要进行调整的，由</w:t>
      </w:r>
      <w:r>
        <w:rPr>
          <w:rFonts w:hint="eastAsia" w:ascii="仿宋_GB2312" w:hAnsi="仿宋_GB2312" w:eastAsia="仿宋_GB2312" w:cs="仿宋_GB2312"/>
          <w:b w:val="0"/>
          <w:bCs w:val="0"/>
          <w:color w:val="auto"/>
          <w:spacing w:val="9"/>
          <w:kern w:val="2"/>
          <w:sz w:val="32"/>
          <w:szCs w:val="32"/>
          <w:lang w:val="en-US" w:eastAsia="zh-CN" w:bidi="ar-SA"/>
        </w:rPr>
        <w:t>应急管理综合行政执法大队</w:t>
      </w:r>
      <w:r>
        <w:rPr>
          <w:rFonts w:hint="eastAsia" w:ascii="仿宋_GB2312" w:hAnsi="仿宋_GB2312" w:eastAsia="仿宋_GB2312" w:cs="仿宋_GB2312"/>
          <w:b w:val="0"/>
          <w:bCs w:val="0"/>
          <w:color w:val="auto"/>
          <w:spacing w:val="9"/>
          <w:kern w:val="2"/>
          <w:sz w:val="32"/>
          <w:szCs w:val="32"/>
          <w:lang w:val="en-US" w:eastAsia="en-US" w:bidi="ar-SA"/>
        </w:rPr>
        <w:t>提出书面申请，说明理由并附具体依据，按照有关要求办理变更手续。</w:t>
      </w:r>
    </w:p>
    <w:p>
      <w:pPr>
        <w:keepNext w:val="0"/>
        <w:keepLines w:val="0"/>
        <w:pageBreakBefore w:val="0"/>
        <w:widowControl w:val="0"/>
        <w:kinsoku/>
        <w:wordWrap/>
        <w:overflowPunct/>
        <w:topLinePunct w:val="0"/>
        <w:autoSpaceDE/>
        <w:autoSpaceDN/>
        <w:bidi w:val="0"/>
        <w:adjustRightInd/>
        <w:snapToGrid/>
        <w:spacing w:line="592" w:lineRule="exact"/>
        <w:ind w:right="0" w:rightChars="0"/>
        <w:jc w:val="left"/>
        <w:textAlignment w:val="auto"/>
        <w:outlineLvl w:val="9"/>
        <w:rPr>
          <w:rFonts w:hint="default" w:ascii="Times New Roman" w:hAnsi="Times New Roman" w:eastAsia="仿宋_GB2312" w:cs="Times New Roman"/>
          <w:b w:val="0"/>
          <w:bCs w:val="0"/>
          <w:color w:val="auto"/>
          <w:sz w:val="32"/>
          <w:szCs w:val="32"/>
          <w:lang w:val="en-US" w:eastAsia="zh-CN"/>
        </w:rPr>
      </w:pPr>
      <w:r>
        <w:rPr>
          <w:rFonts w:hint="eastAsia" w:ascii="Times New Roman" w:hAnsi="Times New Roman" w:eastAsia="黑体" w:cs="Times New Roman"/>
          <w:color w:val="auto"/>
          <w:sz w:val="32"/>
          <w:szCs w:val="32"/>
          <w:lang w:val="en-US" w:eastAsia="zh-CN"/>
        </w:rPr>
        <w:t>七</w:t>
      </w:r>
      <w:r>
        <w:rPr>
          <w:rFonts w:hint="default" w:ascii="Times New Roman" w:hAnsi="Times New Roman" w:eastAsia="黑体" w:cs="Times New Roman"/>
          <w:color w:val="auto"/>
          <w:sz w:val="32"/>
          <w:szCs w:val="32"/>
        </w:rPr>
        <w:t>、保障措施</w:t>
      </w:r>
    </w:p>
    <w:p>
      <w:pPr>
        <w:pStyle w:val="2"/>
        <w:keepNext w:val="0"/>
        <w:keepLines w:val="0"/>
        <w:pageBreakBefore w:val="0"/>
        <w:widowControl w:val="0"/>
        <w:kinsoku/>
        <w:wordWrap/>
        <w:overflowPunct/>
        <w:topLinePunct w:val="0"/>
        <w:autoSpaceDE/>
        <w:autoSpaceDN/>
        <w:bidi w:val="0"/>
        <w:spacing w:before="101" w:line="592" w:lineRule="exact"/>
        <w:ind w:left="12" w:right="97" w:firstLine="679"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color w:val="auto"/>
          <w:spacing w:val="9"/>
          <w:kern w:val="2"/>
          <w:sz w:val="32"/>
          <w:szCs w:val="32"/>
          <w:lang w:val="en-US" w:eastAsia="en-US" w:bidi="ar-SA"/>
        </w:rPr>
        <w:t>（一）加强学习，提升执法专业化水平</w:t>
      </w:r>
      <w:r>
        <w:rPr>
          <w:rFonts w:hint="eastAsia" w:ascii="仿宋_GB2312" w:hAnsi="仿宋_GB2312" w:eastAsia="仿宋_GB2312" w:cs="仿宋_GB2312"/>
          <w:spacing w:val="9"/>
          <w:sz w:val="32"/>
          <w:szCs w:val="32"/>
        </w:rPr>
        <w:t>。</w:t>
      </w:r>
      <w:r>
        <w:rPr>
          <w:rFonts w:hint="eastAsia" w:ascii="仿宋_GB2312" w:hAnsi="仿宋_GB2312" w:eastAsia="仿宋_GB2312" w:cs="仿宋_GB2312"/>
          <w:spacing w:val="-86"/>
          <w:sz w:val="32"/>
          <w:szCs w:val="32"/>
        </w:rPr>
        <w:t xml:space="preserve"> </w:t>
      </w:r>
      <w:r>
        <w:rPr>
          <w:rFonts w:hint="eastAsia" w:ascii="仿宋_GB2312" w:hAnsi="仿宋_GB2312" w:eastAsia="仿宋_GB2312" w:cs="仿宋_GB2312"/>
          <w:b/>
          <w:bCs/>
          <w:spacing w:val="9"/>
          <w:sz w:val="32"/>
          <w:szCs w:val="32"/>
        </w:rPr>
        <w:t>一是</w:t>
      </w:r>
      <w:r>
        <w:rPr>
          <w:rFonts w:hint="eastAsia" w:ascii="仿宋_GB2312" w:hAnsi="仿宋_GB2312" w:eastAsia="仿宋_GB2312" w:cs="仿宋_GB2312"/>
          <w:spacing w:val="9"/>
          <w:sz w:val="32"/>
          <w:szCs w:val="32"/>
        </w:rPr>
        <w:t>加强政策理</w:t>
      </w:r>
      <w:r>
        <w:rPr>
          <w:rFonts w:hint="eastAsia" w:ascii="仿宋_GB2312" w:hAnsi="仿宋_GB2312" w:eastAsia="仿宋_GB2312" w:cs="仿宋_GB2312"/>
          <w:spacing w:val="15"/>
          <w:sz w:val="32"/>
          <w:szCs w:val="32"/>
        </w:rPr>
        <w:t>论学习，把思想和行动统一到中央、省市有关安全生产执法工作的决策部署上来，围绕局党委确定的年度重点工作，切实增</w:t>
      </w:r>
      <w:r>
        <w:rPr>
          <w:rFonts w:hint="eastAsia" w:ascii="仿宋_GB2312" w:hAnsi="仿宋_GB2312" w:eastAsia="仿宋_GB2312" w:cs="仿宋_GB2312"/>
          <w:spacing w:val="12"/>
          <w:sz w:val="32"/>
          <w:szCs w:val="32"/>
        </w:rPr>
        <w:t>强责任意识、担当精神，认真落实各项执法任务。</w:t>
      </w:r>
      <w:r>
        <w:rPr>
          <w:rFonts w:hint="eastAsia" w:ascii="仿宋_GB2312" w:hAnsi="仿宋_GB2312" w:eastAsia="仿宋_GB2312" w:cs="仿宋_GB2312"/>
          <w:spacing w:val="-77"/>
          <w:sz w:val="32"/>
          <w:szCs w:val="32"/>
        </w:rPr>
        <w:t xml:space="preserve"> </w:t>
      </w:r>
      <w:r>
        <w:rPr>
          <w:rFonts w:hint="eastAsia" w:ascii="仿宋_GB2312" w:hAnsi="仿宋_GB2312" w:eastAsia="仿宋_GB2312" w:cs="仿宋_GB2312"/>
          <w:b/>
          <w:bCs/>
          <w:spacing w:val="12"/>
          <w:sz w:val="32"/>
          <w:szCs w:val="32"/>
        </w:rPr>
        <w:t>二是</w:t>
      </w:r>
      <w:r>
        <w:rPr>
          <w:rFonts w:hint="eastAsia" w:ascii="仿宋_GB2312" w:hAnsi="仿宋_GB2312" w:eastAsia="仿宋_GB2312" w:cs="仿宋_GB2312"/>
          <w:spacing w:val="12"/>
          <w:sz w:val="32"/>
          <w:szCs w:val="32"/>
        </w:rPr>
        <w:t>加强法</w:t>
      </w:r>
      <w:r>
        <w:rPr>
          <w:rFonts w:hint="eastAsia" w:ascii="仿宋_GB2312" w:hAnsi="仿宋_GB2312" w:eastAsia="仿宋_GB2312" w:cs="仿宋_GB2312"/>
          <w:spacing w:val="15"/>
          <w:sz w:val="32"/>
          <w:szCs w:val="32"/>
        </w:rPr>
        <w:t>律法规学习，认真贯彻落实《应急管理系统行政执法人员依法履职管理规定》，强化执法人员法律意识和法治思维，不断增</w:t>
      </w:r>
      <w:r>
        <w:rPr>
          <w:rFonts w:hint="eastAsia" w:ascii="仿宋_GB2312" w:hAnsi="仿宋_GB2312" w:eastAsia="仿宋_GB2312" w:cs="仿宋_GB2312"/>
          <w:spacing w:val="12"/>
          <w:sz w:val="32"/>
          <w:szCs w:val="32"/>
        </w:rPr>
        <w:t>强依法履职的观念和本领。</w:t>
      </w:r>
      <w:r>
        <w:rPr>
          <w:rFonts w:hint="eastAsia" w:ascii="仿宋_GB2312" w:hAnsi="仿宋_GB2312" w:eastAsia="仿宋_GB2312" w:cs="仿宋_GB2312"/>
          <w:spacing w:val="-77"/>
          <w:sz w:val="32"/>
          <w:szCs w:val="32"/>
        </w:rPr>
        <w:t xml:space="preserve"> </w:t>
      </w:r>
      <w:r>
        <w:rPr>
          <w:rFonts w:hint="eastAsia" w:ascii="仿宋_GB2312" w:hAnsi="仿宋_GB2312" w:eastAsia="仿宋_GB2312" w:cs="仿宋_GB2312"/>
          <w:b/>
          <w:bCs/>
          <w:spacing w:val="12"/>
          <w:sz w:val="32"/>
          <w:szCs w:val="32"/>
        </w:rPr>
        <w:t>三是</w:t>
      </w:r>
      <w:r>
        <w:rPr>
          <w:rFonts w:hint="eastAsia" w:ascii="仿宋_GB2312" w:hAnsi="仿宋_GB2312" w:eastAsia="仿宋_GB2312" w:cs="仿宋_GB2312"/>
          <w:spacing w:val="12"/>
          <w:sz w:val="32"/>
          <w:szCs w:val="32"/>
        </w:rPr>
        <w:t>加强专业知识学习，强化素质和能力提升。</w:t>
      </w:r>
      <w:r>
        <w:rPr>
          <w:rFonts w:hint="eastAsia" w:ascii="仿宋_GB2312" w:hAnsi="仿宋_GB2312" w:eastAsia="仿宋_GB2312" w:cs="仿宋_GB2312"/>
          <w:spacing w:val="15"/>
          <w:sz w:val="32"/>
          <w:szCs w:val="32"/>
          <w:lang w:val="en-US" w:eastAsia="zh-CN"/>
        </w:rPr>
        <w:t>定期集中组织业务学习，选派执法人员参加上级组织的业务培训，开拓视野，增长见识，提高执法能力和水平。</w:t>
      </w:r>
    </w:p>
    <w:p>
      <w:pPr>
        <w:pStyle w:val="2"/>
        <w:keepNext w:val="0"/>
        <w:keepLines w:val="0"/>
        <w:pageBreakBefore w:val="0"/>
        <w:widowControl w:val="0"/>
        <w:kinsoku/>
        <w:wordWrap/>
        <w:overflowPunct/>
        <w:topLinePunct w:val="0"/>
        <w:autoSpaceDE/>
        <w:autoSpaceDN/>
        <w:bidi w:val="0"/>
        <w:spacing w:before="56" w:line="592" w:lineRule="exact"/>
        <w:ind w:right="95" w:firstLine="679"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color w:val="auto"/>
          <w:spacing w:val="9"/>
          <w:kern w:val="2"/>
          <w:sz w:val="32"/>
          <w:szCs w:val="32"/>
          <w:lang w:val="en-US" w:eastAsia="en-US" w:bidi="ar-SA"/>
        </w:rPr>
        <w:t>（二）加强管理，推进执法规范化建设。</w:t>
      </w:r>
      <w:r>
        <w:rPr>
          <w:rFonts w:hint="eastAsia" w:ascii="仿宋_GB2312" w:hAnsi="仿宋_GB2312" w:eastAsia="仿宋_GB2312" w:cs="仿宋_GB2312"/>
          <w:spacing w:val="-85"/>
          <w:sz w:val="32"/>
          <w:szCs w:val="32"/>
        </w:rPr>
        <w:t xml:space="preserve"> </w:t>
      </w:r>
      <w:r>
        <w:rPr>
          <w:rFonts w:hint="eastAsia" w:ascii="仿宋_GB2312" w:hAnsi="仿宋_GB2312" w:eastAsia="仿宋_GB2312" w:cs="仿宋_GB2312"/>
          <w:b/>
          <w:bCs/>
          <w:spacing w:val="10"/>
          <w:sz w:val="32"/>
          <w:szCs w:val="32"/>
        </w:rPr>
        <w:t>一是</w:t>
      </w:r>
      <w:r>
        <w:rPr>
          <w:rFonts w:hint="eastAsia" w:ascii="仿宋_GB2312" w:hAnsi="仿宋_GB2312" w:eastAsia="仿宋_GB2312" w:cs="仿宋_GB2312"/>
          <w:spacing w:val="10"/>
          <w:sz w:val="32"/>
          <w:szCs w:val="32"/>
        </w:rPr>
        <w:t>推进</w:t>
      </w:r>
      <w:r>
        <w:rPr>
          <w:rFonts w:hint="eastAsia" w:ascii="仿宋_GB2312" w:hAnsi="仿宋_GB2312" w:eastAsia="仿宋_GB2312" w:cs="仿宋_GB2312"/>
          <w:spacing w:val="9"/>
          <w:sz w:val="32"/>
          <w:szCs w:val="32"/>
        </w:rPr>
        <w:t>行政执</w:t>
      </w:r>
      <w:r>
        <w:rPr>
          <w:rFonts w:hint="eastAsia" w:ascii="仿宋_GB2312" w:hAnsi="仿宋_GB2312" w:eastAsia="仿宋_GB2312" w:cs="仿宋_GB2312"/>
          <w:spacing w:val="15"/>
          <w:sz w:val="32"/>
          <w:szCs w:val="32"/>
        </w:rPr>
        <w:t>法标准化建设。按照《河北省应急管理厅关于印发〈安全生产行政执法标准化建设工作机制〉的通知》要求，进一步强化执法分析研判、一企一策、包容审慎和全过程服务等机制建设。</w:t>
      </w:r>
      <w:r>
        <w:rPr>
          <w:rFonts w:hint="eastAsia" w:ascii="仿宋_GB2312" w:hAnsi="仿宋_GB2312" w:eastAsia="仿宋_GB2312" w:cs="仿宋_GB2312"/>
          <w:spacing w:val="12"/>
          <w:sz w:val="32"/>
          <w:szCs w:val="32"/>
        </w:rPr>
        <w:t>健全完善各项执法工作台账、清单</w:t>
      </w:r>
      <w:r>
        <w:rPr>
          <w:rFonts w:hint="eastAsia" w:ascii="仿宋_GB2312" w:hAnsi="仿宋_GB2312" w:eastAsia="仿宋_GB2312" w:cs="仿宋_GB2312"/>
          <w:spacing w:val="12"/>
          <w:sz w:val="32"/>
          <w:szCs w:val="32"/>
          <w:lang w:eastAsia="zh-CN"/>
        </w:rPr>
        <w:t>，</w:t>
      </w:r>
      <w:r>
        <w:rPr>
          <w:rFonts w:hint="eastAsia" w:ascii="仿宋_GB2312" w:hAnsi="仿宋_GB2312" w:eastAsia="仿宋_GB2312" w:cs="仿宋_GB2312"/>
          <w:spacing w:val="12"/>
          <w:sz w:val="32"/>
          <w:szCs w:val="32"/>
        </w:rPr>
        <w:t>通过执法文书案卷、</w:t>
      </w:r>
      <w:r>
        <w:rPr>
          <w:rFonts w:hint="eastAsia" w:ascii="仿宋_GB2312" w:hAnsi="仿宋_GB2312" w:eastAsia="仿宋_GB2312" w:cs="仿宋_GB2312"/>
          <w:spacing w:val="-69"/>
          <w:sz w:val="32"/>
          <w:szCs w:val="32"/>
        </w:rPr>
        <w:t xml:space="preserve"> </w:t>
      </w:r>
      <w:r>
        <w:rPr>
          <w:rFonts w:hint="eastAsia" w:ascii="仿宋_GB2312" w:hAnsi="仿宋_GB2312" w:eastAsia="仿宋_GB2312" w:cs="仿宋_GB2312"/>
          <w:spacing w:val="12"/>
          <w:sz w:val="32"/>
          <w:szCs w:val="32"/>
        </w:rPr>
        <w:t>台账</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pacing w:val="12"/>
          <w:sz w:val="32"/>
          <w:szCs w:val="32"/>
        </w:rPr>
        <w:t>清单、影像照片等资料，如实记录执法工作开展情况。</w:t>
      </w:r>
      <w:r>
        <w:rPr>
          <w:rFonts w:hint="eastAsia" w:ascii="仿宋_GB2312" w:hAnsi="仿宋_GB2312" w:eastAsia="仿宋_GB2312" w:cs="仿宋_GB2312"/>
          <w:spacing w:val="-76"/>
          <w:sz w:val="32"/>
          <w:szCs w:val="32"/>
        </w:rPr>
        <w:t xml:space="preserve"> </w:t>
      </w:r>
      <w:r>
        <w:rPr>
          <w:rFonts w:hint="eastAsia" w:ascii="仿宋_GB2312" w:hAnsi="仿宋_GB2312" w:eastAsia="仿宋_GB2312" w:cs="仿宋_GB2312"/>
          <w:b/>
          <w:bCs/>
          <w:spacing w:val="12"/>
          <w:sz w:val="32"/>
          <w:szCs w:val="32"/>
        </w:rPr>
        <w:t>二是</w:t>
      </w:r>
      <w:r>
        <w:rPr>
          <w:rFonts w:hint="eastAsia" w:ascii="仿宋_GB2312" w:hAnsi="仿宋_GB2312" w:eastAsia="仿宋_GB2312" w:cs="仿宋_GB2312"/>
          <w:spacing w:val="12"/>
          <w:sz w:val="32"/>
          <w:szCs w:val="32"/>
        </w:rPr>
        <w:t>落</w:t>
      </w:r>
      <w:r>
        <w:rPr>
          <w:rFonts w:hint="eastAsia" w:ascii="仿宋_GB2312" w:hAnsi="仿宋_GB2312" w:eastAsia="仿宋_GB2312" w:cs="仿宋_GB2312"/>
          <w:spacing w:val="15"/>
          <w:sz w:val="32"/>
          <w:szCs w:val="32"/>
        </w:rPr>
        <w:t>实执法信息化建设要求，全面应用应急部执法信息系统，依托现代化监管载体，积极探索以风险隐患在线监测监控、视频监控等线上设施为主，线下核实、委托核实处置为辅的非现场执</w:t>
      </w:r>
      <w:r>
        <w:rPr>
          <w:rFonts w:hint="eastAsia" w:ascii="仿宋_GB2312" w:hAnsi="仿宋_GB2312" w:eastAsia="仿宋_GB2312" w:cs="仿宋_GB2312"/>
          <w:spacing w:val="12"/>
          <w:sz w:val="32"/>
          <w:szCs w:val="32"/>
        </w:rPr>
        <w:t>法监管新模式，全面提升安全生产执法效能。</w:t>
      </w:r>
      <w:r>
        <w:rPr>
          <w:rFonts w:hint="eastAsia" w:ascii="仿宋_GB2312" w:hAnsi="仿宋_GB2312" w:eastAsia="仿宋_GB2312" w:cs="仿宋_GB2312"/>
          <w:spacing w:val="-76"/>
          <w:sz w:val="32"/>
          <w:szCs w:val="32"/>
        </w:rPr>
        <w:t xml:space="preserve"> </w:t>
      </w:r>
      <w:r>
        <w:rPr>
          <w:rFonts w:hint="eastAsia" w:ascii="仿宋_GB2312" w:hAnsi="仿宋_GB2312" w:eastAsia="仿宋_GB2312" w:cs="仿宋_GB2312"/>
          <w:b/>
          <w:bCs/>
          <w:spacing w:val="12"/>
          <w:sz w:val="32"/>
          <w:szCs w:val="32"/>
        </w:rPr>
        <w:t>三是</w:t>
      </w:r>
      <w:r>
        <w:rPr>
          <w:rFonts w:hint="eastAsia" w:ascii="仿宋_GB2312" w:hAnsi="仿宋_GB2312" w:eastAsia="仿宋_GB2312" w:cs="仿宋_GB2312"/>
          <w:spacing w:val="12"/>
          <w:sz w:val="32"/>
          <w:szCs w:val="32"/>
        </w:rPr>
        <w:t>强化执法监</w:t>
      </w:r>
      <w:r>
        <w:rPr>
          <w:rFonts w:hint="eastAsia" w:ascii="仿宋_GB2312" w:hAnsi="仿宋_GB2312" w:eastAsia="仿宋_GB2312" w:cs="仿宋_GB2312"/>
          <w:spacing w:val="15"/>
          <w:sz w:val="32"/>
          <w:szCs w:val="32"/>
        </w:rPr>
        <w:t>督工作。对市本级办理的案件认真开展法制审核，适时开展行政执法现场监督，及时纠正执法工作走过场、执法程序不规范的情形，定期开展全市案卷评查，重点审查行政处罚案件的合</w:t>
      </w:r>
      <w:r>
        <w:rPr>
          <w:rFonts w:hint="eastAsia" w:ascii="仿宋_GB2312" w:hAnsi="仿宋_GB2312" w:eastAsia="仿宋_GB2312" w:cs="仿宋_GB2312"/>
          <w:spacing w:val="9"/>
          <w:sz w:val="32"/>
          <w:szCs w:val="32"/>
        </w:rPr>
        <w:t>法性及适当性，增强执法文书、案卷的规范化水平。</w:t>
      </w:r>
    </w:p>
    <w:p>
      <w:pPr>
        <w:pStyle w:val="2"/>
        <w:keepNext w:val="0"/>
        <w:keepLines w:val="0"/>
        <w:pageBreakBefore w:val="0"/>
        <w:widowControl w:val="0"/>
        <w:kinsoku/>
        <w:wordWrap/>
        <w:overflowPunct/>
        <w:topLinePunct w:val="0"/>
        <w:autoSpaceDE/>
        <w:autoSpaceDN/>
        <w:bidi w:val="0"/>
        <w:spacing w:before="63" w:line="592" w:lineRule="exact"/>
        <w:ind w:left="15" w:right="246" w:firstLine="679" w:firstLineChars="200"/>
        <w:textAlignment w:val="auto"/>
        <w:rPr>
          <w:rFonts w:hint="eastAsia" w:ascii="仿宋_GB2312" w:hAnsi="仿宋_GB2312" w:eastAsia="仿宋_GB2312" w:cs="仿宋_GB2312"/>
          <w:spacing w:val="7"/>
          <w:sz w:val="32"/>
          <w:szCs w:val="32"/>
        </w:rPr>
      </w:pPr>
      <w:r>
        <w:rPr>
          <w:rFonts w:hint="eastAsia" w:ascii="楷体_GB2312" w:hAnsi="楷体_GB2312" w:eastAsia="楷体_GB2312" w:cs="楷体_GB2312"/>
          <w:b/>
          <w:bCs/>
          <w:color w:val="auto"/>
          <w:spacing w:val="9"/>
          <w:kern w:val="2"/>
          <w:sz w:val="32"/>
          <w:szCs w:val="32"/>
          <w:lang w:val="en-US" w:eastAsia="en-US" w:bidi="ar-SA"/>
        </w:rPr>
        <w:t>（三）严守法纪，持续优化营商环境。</w:t>
      </w:r>
      <w:r>
        <w:rPr>
          <w:rFonts w:hint="eastAsia" w:ascii="仿宋_GB2312" w:hAnsi="仿宋_GB2312" w:eastAsia="仿宋_GB2312" w:cs="仿宋_GB2312"/>
          <w:spacing w:val="7"/>
          <w:sz w:val="32"/>
          <w:szCs w:val="32"/>
        </w:rPr>
        <w:t>严格执行中央八项</w:t>
      </w:r>
      <w:r>
        <w:rPr>
          <w:rFonts w:hint="eastAsia" w:ascii="仿宋_GB2312" w:hAnsi="仿宋_GB2312" w:eastAsia="仿宋_GB2312" w:cs="仿宋_GB2312"/>
          <w:spacing w:val="8"/>
          <w:sz w:val="32"/>
          <w:szCs w:val="32"/>
        </w:rPr>
        <w:t>规定和《行政执法人员行为准则》有关要求，坚守法纪红线</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7"/>
          <w:sz w:val="32"/>
          <w:szCs w:val="32"/>
        </w:rPr>
        <w:t>严守道德底线，强化作风建设，增强法律意识和廉洁自律意识</w:t>
      </w:r>
      <w:r>
        <w:rPr>
          <w:rFonts w:hint="eastAsia" w:ascii="仿宋_GB2312" w:hAnsi="仿宋_GB2312" w:eastAsia="仿宋_GB2312" w:cs="仿宋_GB2312"/>
          <w:spacing w:val="7"/>
          <w:sz w:val="32"/>
          <w:szCs w:val="32"/>
          <w:lang w:eastAsia="zh-CN"/>
        </w:rPr>
        <w:t>，</w:t>
      </w:r>
      <w:r>
        <w:rPr>
          <w:rFonts w:hint="eastAsia" w:ascii="仿宋_GB2312" w:hAnsi="仿宋_GB2312" w:eastAsia="仿宋_GB2312" w:cs="仿宋_GB2312"/>
          <w:spacing w:val="7"/>
          <w:sz w:val="32"/>
          <w:szCs w:val="32"/>
        </w:rPr>
        <w:t>严守政治纪律和政治规矩，切实做到严格、规范、公正、文明、</w:t>
      </w:r>
      <w:r>
        <w:rPr>
          <w:rFonts w:hint="eastAsia" w:ascii="仿宋_GB2312" w:hAnsi="仿宋_GB2312" w:eastAsia="仿宋_GB2312" w:cs="仿宋_GB2312"/>
          <w:spacing w:val="10"/>
          <w:sz w:val="32"/>
          <w:szCs w:val="32"/>
        </w:rPr>
        <w:t>廉洁执法。认真落实国务院《关于严格规范</w:t>
      </w:r>
      <w:r>
        <w:rPr>
          <w:rFonts w:hint="eastAsia" w:ascii="仿宋_GB2312" w:hAnsi="仿宋_GB2312" w:eastAsia="仿宋_GB2312" w:cs="仿宋_GB2312"/>
          <w:spacing w:val="9"/>
          <w:sz w:val="32"/>
          <w:szCs w:val="32"/>
        </w:rPr>
        <w:t>涉企行政检查的意见》和省、市关于优化营商环境工作要求，进一步规范</w:t>
      </w:r>
      <w:r>
        <w:rPr>
          <w:rFonts w:hint="eastAsia" w:ascii="仿宋_GB2312" w:hAnsi="仿宋_GB2312" w:eastAsia="仿宋_GB2312" w:cs="仿宋_GB2312"/>
          <w:spacing w:val="8"/>
          <w:sz w:val="32"/>
          <w:szCs w:val="32"/>
        </w:rPr>
        <w:t>执法检</w:t>
      </w:r>
      <w:r>
        <w:rPr>
          <w:rFonts w:hint="eastAsia" w:ascii="仿宋_GB2312" w:hAnsi="仿宋_GB2312" w:eastAsia="仿宋_GB2312" w:cs="仿宋_GB2312"/>
          <w:spacing w:val="6"/>
          <w:sz w:val="32"/>
          <w:szCs w:val="32"/>
        </w:rPr>
        <w:t>查，着力构建新型亲清政商关系，做到执法既有力度又有温度</w:t>
      </w:r>
      <w:r>
        <w:rPr>
          <w:rFonts w:hint="eastAsia" w:ascii="仿宋_GB2312" w:hAnsi="仿宋_GB2312" w:eastAsia="仿宋_GB2312" w:cs="仿宋_GB2312"/>
          <w:spacing w:val="6"/>
          <w:sz w:val="32"/>
          <w:szCs w:val="32"/>
          <w:lang w:eastAsia="zh-CN"/>
        </w:rPr>
        <w:t>，</w:t>
      </w:r>
      <w:r>
        <w:rPr>
          <w:rFonts w:hint="eastAsia" w:ascii="仿宋_GB2312" w:hAnsi="仿宋_GB2312" w:eastAsia="仿宋_GB2312" w:cs="仿宋_GB2312"/>
          <w:spacing w:val="9"/>
          <w:sz w:val="32"/>
          <w:szCs w:val="32"/>
        </w:rPr>
        <w:t>持续优化营商环境。执法检查要按规定着装</w:t>
      </w:r>
      <w:r>
        <w:rPr>
          <w:rFonts w:hint="eastAsia" w:ascii="仿宋_GB2312" w:hAnsi="仿宋_GB2312" w:eastAsia="仿宋_GB2312" w:cs="仿宋_GB2312"/>
          <w:spacing w:val="9"/>
          <w:sz w:val="32"/>
          <w:szCs w:val="32"/>
          <w:lang w:eastAsia="zh-CN"/>
        </w:rPr>
        <w:t>。</w:t>
      </w:r>
      <w:r>
        <w:rPr>
          <w:rFonts w:hint="eastAsia" w:ascii="仿宋_GB2312" w:hAnsi="仿宋_GB2312" w:eastAsia="仿宋_GB2312" w:cs="仿宋_GB2312"/>
          <w:spacing w:val="9"/>
          <w:sz w:val="32"/>
          <w:szCs w:val="32"/>
        </w:rPr>
        <w:t>凡不依法履职或违反法定职责和程序不作为、乱作为、慢作为的，依法依规追</w:t>
      </w:r>
      <w:r>
        <w:rPr>
          <w:rFonts w:hint="eastAsia" w:ascii="仿宋_GB2312" w:hAnsi="仿宋_GB2312" w:eastAsia="仿宋_GB2312" w:cs="仿宋_GB2312"/>
          <w:spacing w:val="7"/>
          <w:sz w:val="32"/>
          <w:szCs w:val="32"/>
        </w:rPr>
        <w:t>究相关人员责任。</w:t>
      </w:r>
    </w:p>
    <w:p>
      <w:pPr>
        <w:pStyle w:val="2"/>
        <w:keepNext w:val="0"/>
        <w:keepLines w:val="0"/>
        <w:pageBreakBefore w:val="0"/>
        <w:widowControl w:val="0"/>
        <w:kinsoku/>
        <w:wordWrap/>
        <w:overflowPunct/>
        <w:topLinePunct w:val="0"/>
        <w:autoSpaceDE/>
        <w:autoSpaceDN/>
        <w:bidi w:val="0"/>
        <w:spacing w:before="63" w:line="592" w:lineRule="exact"/>
        <w:ind w:right="246" w:firstLine="668" w:firstLineChars="200"/>
        <w:textAlignment w:val="auto"/>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附件：</w:t>
      </w:r>
      <w:r>
        <w:rPr>
          <w:rFonts w:hint="eastAsia" w:ascii="仿宋_GB2312" w:hAnsi="仿宋_GB2312" w:eastAsia="仿宋_GB2312" w:cs="仿宋_GB2312"/>
          <w:spacing w:val="7"/>
          <w:sz w:val="32"/>
          <w:szCs w:val="32"/>
          <w:lang w:val="en-US" w:eastAsia="zh-CN"/>
        </w:rPr>
        <w:t>1、2026年</w:t>
      </w:r>
      <w:r>
        <w:rPr>
          <w:rFonts w:hint="eastAsia" w:ascii="仿宋_GB2312" w:hAnsi="仿宋_GB2312" w:eastAsia="仿宋_GB2312" w:cs="仿宋_GB2312"/>
          <w:spacing w:val="7"/>
          <w:sz w:val="32"/>
          <w:szCs w:val="32"/>
        </w:rPr>
        <w:t>重点监督检查企业名单</w:t>
      </w:r>
    </w:p>
    <w:p>
      <w:pPr>
        <w:pStyle w:val="2"/>
        <w:keepNext w:val="0"/>
        <w:keepLines w:val="0"/>
        <w:pageBreakBefore w:val="0"/>
        <w:widowControl w:val="0"/>
        <w:kinsoku/>
        <w:wordWrap/>
        <w:overflowPunct/>
        <w:topLinePunct w:val="0"/>
        <w:autoSpaceDE/>
        <w:autoSpaceDN/>
        <w:bidi w:val="0"/>
        <w:spacing w:before="63" w:line="592" w:lineRule="exact"/>
        <w:ind w:left="15" w:right="246" w:firstLine="1670" w:firstLineChars="500"/>
        <w:textAlignment w:val="auto"/>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val="en-US" w:eastAsia="zh-CN"/>
        </w:rPr>
        <w:t>2、</w:t>
      </w:r>
      <w:r>
        <w:rPr>
          <w:rFonts w:hint="eastAsia" w:ascii="仿宋_GB2312" w:hAnsi="仿宋_GB2312" w:eastAsia="仿宋_GB2312" w:cs="仿宋_GB2312"/>
          <w:spacing w:val="7"/>
          <w:sz w:val="32"/>
          <w:szCs w:val="32"/>
        </w:rPr>
        <w:t>重点监督检查内容</w:t>
      </w:r>
    </w:p>
    <w:p>
      <w:pPr>
        <w:pStyle w:val="2"/>
        <w:keepNext w:val="0"/>
        <w:keepLines w:val="0"/>
        <w:pageBreakBefore w:val="0"/>
        <w:widowControl w:val="0"/>
        <w:kinsoku/>
        <w:wordWrap/>
        <w:overflowPunct/>
        <w:topLinePunct w:val="0"/>
        <w:autoSpaceDE/>
        <w:autoSpaceDN/>
        <w:bidi w:val="0"/>
        <w:spacing w:before="63" w:line="592" w:lineRule="exact"/>
        <w:ind w:left="15" w:right="246" w:firstLine="1670" w:firstLineChars="500"/>
        <w:textAlignment w:val="auto"/>
        <w:rPr>
          <w:rFonts w:hint="eastAsia" w:ascii="仿宋_GB2312" w:hAnsi="仿宋_GB2312" w:eastAsia="仿宋_GB2312" w:cs="仿宋_GB2312"/>
          <w:spacing w:val="7"/>
          <w:sz w:val="32"/>
          <w:szCs w:val="32"/>
          <w:lang w:val="en-US" w:eastAsia="zh-CN"/>
        </w:rPr>
        <w:sectPr>
          <w:footerReference r:id="rId3" w:type="default"/>
          <w:pgSz w:w="11850" w:h="16783"/>
          <w:pgMar w:top="1417" w:right="1468" w:bottom="1911" w:left="1596" w:header="0" w:footer="1633" w:gutter="0"/>
          <w:pgNumType w:fmt="decimal"/>
          <w:cols w:space="0" w:num="1"/>
          <w:rtlGutter w:val="0"/>
          <w:docGrid w:linePitch="0" w:charSpace="0"/>
        </w:sectPr>
      </w:pPr>
      <w:r>
        <w:rPr>
          <w:rFonts w:hint="eastAsia" w:ascii="仿宋_GB2312" w:hAnsi="仿宋_GB2312" w:eastAsia="仿宋_GB2312" w:cs="仿宋_GB2312"/>
          <w:spacing w:val="7"/>
          <w:sz w:val="32"/>
          <w:szCs w:val="32"/>
          <w:lang w:val="en-US" w:eastAsia="zh-CN"/>
        </w:rPr>
        <w:t>3、2026年</w:t>
      </w:r>
      <w:r>
        <w:rPr>
          <w:rFonts w:hint="eastAsia" w:ascii="仿宋_GB2312" w:hAnsi="仿宋_GB2312" w:eastAsia="仿宋_GB2312" w:cs="仿宋_GB2312"/>
          <w:spacing w:val="7"/>
          <w:sz w:val="32"/>
          <w:szCs w:val="32"/>
          <w:lang w:eastAsia="zh-CN"/>
        </w:rPr>
        <w:t>监督</w:t>
      </w:r>
      <w:r>
        <w:rPr>
          <w:rFonts w:hint="eastAsia" w:ascii="仿宋_GB2312" w:hAnsi="仿宋_GB2312" w:eastAsia="仿宋_GB2312" w:cs="仿宋_GB2312"/>
          <w:spacing w:val="7"/>
          <w:sz w:val="32"/>
          <w:szCs w:val="32"/>
        </w:rPr>
        <w:t>检查时间及任务分配</w:t>
      </w:r>
    </w:p>
    <w:p>
      <w:pPr>
        <w:keepNext w:val="0"/>
        <w:keepLines w:val="0"/>
        <w:pageBreakBefore w:val="0"/>
        <w:widowControl w:val="0"/>
        <w:kinsoku/>
        <w:wordWrap/>
        <w:overflowPunct/>
        <w:topLinePunct w:val="0"/>
        <w:autoSpaceDE/>
        <w:bidi w:val="0"/>
        <w:spacing w:line="592" w:lineRule="exact"/>
        <w:jc w:val="both"/>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rPr>
        <w:t>附件</w:t>
      </w:r>
      <w:r>
        <w:rPr>
          <w:rFonts w:hint="eastAsia" w:ascii="黑体" w:hAnsi="黑体" w:eastAsia="黑体" w:cs="黑体"/>
          <w:color w:val="auto"/>
          <w:sz w:val="32"/>
          <w:szCs w:val="32"/>
          <w:lang w:val="en-US" w:eastAsia="zh-CN"/>
        </w:rPr>
        <w:t>1</w:t>
      </w:r>
    </w:p>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hint="eastAsia" w:ascii="微软雅黑" w:hAnsi="微软雅黑" w:eastAsia="微软雅黑" w:cs="微软雅黑"/>
          <w:b w:val="0"/>
          <w:bCs w:val="0"/>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hint="eastAsia" w:ascii="微软雅黑" w:hAnsi="微软雅黑" w:eastAsia="微软雅黑" w:cs="微软雅黑"/>
          <w:b w:val="0"/>
          <w:bCs w:val="0"/>
          <w:color w:val="auto"/>
          <w:sz w:val="44"/>
          <w:szCs w:val="44"/>
        </w:rPr>
      </w:pPr>
      <w:r>
        <w:rPr>
          <w:rFonts w:hint="eastAsia" w:ascii="微软雅黑" w:hAnsi="微软雅黑" w:eastAsia="微软雅黑" w:cs="微软雅黑"/>
          <w:b w:val="0"/>
          <w:bCs w:val="0"/>
          <w:color w:val="auto"/>
          <w:sz w:val="44"/>
          <w:szCs w:val="44"/>
          <w:lang w:eastAsia="zh-CN"/>
        </w:rPr>
        <w:t>202</w:t>
      </w:r>
      <w:r>
        <w:rPr>
          <w:rFonts w:hint="eastAsia" w:ascii="微软雅黑" w:hAnsi="微软雅黑" w:eastAsia="微软雅黑" w:cs="微软雅黑"/>
          <w:b w:val="0"/>
          <w:bCs w:val="0"/>
          <w:color w:val="auto"/>
          <w:sz w:val="44"/>
          <w:szCs w:val="44"/>
          <w:lang w:val="en-US" w:eastAsia="zh-CN"/>
        </w:rPr>
        <w:t>6</w:t>
      </w:r>
      <w:r>
        <w:rPr>
          <w:rFonts w:hint="eastAsia" w:ascii="微软雅黑" w:hAnsi="微软雅黑" w:eastAsia="微软雅黑" w:cs="微软雅黑"/>
          <w:b w:val="0"/>
          <w:bCs w:val="0"/>
          <w:color w:val="auto"/>
          <w:sz w:val="44"/>
          <w:szCs w:val="44"/>
          <w:lang w:eastAsia="zh-CN"/>
        </w:rPr>
        <w:t>年</w:t>
      </w:r>
      <w:r>
        <w:rPr>
          <w:rFonts w:hint="eastAsia" w:ascii="微软雅黑" w:hAnsi="微软雅黑" w:eastAsia="微软雅黑" w:cs="微软雅黑"/>
          <w:b w:val="0"/>
          <w:bCs w:val="0"/>
          <w:color w:val="auto"/>
          <w:sz w:val="44"/>
          <w:szCs w:val="44"/>
        </w:rPr>
        <w:t>重点监督检查企业名单</w:t>
      </w:r>
    </w:p>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ascii="仿宋" w:hAnsi="仿宋" w:eastAsia="仿宋"/>
          <w:color w:val="auto"/>
          <w:sz w:val="32"/>
          <w:szCs w:val="32"/>
        </w:rPr>
      </w:pP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一、危险化学品企业18家</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（一）危险化学品生产企业（4家）</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1、新乐汇隆化工有限公司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2、河北锦泰达化工有限公司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3、河北融润达建材科技有限公司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4、石家庄美辰化工有限公司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sz w:val="32"/>
          <w:szCs w:val="32"/>
          <w:lang w:val="en-US" w:eastAsia="zh-CN"/>
        </w:rPr>
        <w:t>（二）危险化学品使用企业（5家）</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1、河北远大中正生物科技有限公司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2、河北博宇生物科技有限公司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3、新乐福润生物合成有限公司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4、新乐市强力化工厂</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5、新乐市三源化工有限公司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（三）危险化学品经营企业（9家）</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1、河北供销石油有限公司石家庄新乐第二十七加油站</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2、河北供销石油有限公司石家庄新乐第三十四加油站</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3、河北供销石油有限公司石家庄新乐第九十五加油站</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4、中国石油天然气股份有限公司河北石家庄销售分公司第五十二加油站</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5、中国石化销售有限公司河北石家庄新乐第一加油站</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6、中国石化销售有限公司河北石家庄新乐第二加油站</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7、中国石化销售有限公司河北石家庄新乐第五加油站</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8、中国石化销售有限公司河北石家庄新乐第七加油站</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9、新乐市新罡氧气站</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sz w:val="32"/>
          <w:szCs w:val="32"/>
          <w:lang w:val="en-US" w:eastAsia="zh-CN"/>
        </w:rPr>
        <w:t>二、一般化工企业（2家）</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1、新乐中农金瑞肥业有限公司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2、河北车迪石油化工有限公司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三、其它重点工商贸企业（10家）</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1、河北健浩无纺布有限公司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2、河北华屹地面材料有限公司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3、新乐市会宾楼冷饮有限公司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4、河北华艺隆金属制品有限公司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5、新乐市宏泰防水机械厂</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6、新乐市天顺鞋厂</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7、河北顺泰橡胶制品有限公司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lang w:val="en-US" w:eastAsia="zh-CN"/>
        </w:rPr>
      </w:pPr>
      <w:r>
        <w:rPr>
          <w:rFonts w:hint="eastAsia" w:ascii="仿宋_GB2312" w:hAnsi="仿宋_GB2312" w:eastAsia="仿宋_GB2312" w:cs="仿宋_GB2312"/>
          <w:color w:val="000000"/>
          <w:sz w:val="32"/>
          <w:szCs w:val="32"/>
          <w:lang w:val="en-US" w:eastAsia="zh-CN"/>
        </w:rPr>
        <w:t>8、河北博亚金属制品有限公司</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9、河北袋未来包装科技有限公司</w:t>
      </w:r>
    </w:p>
    <w:p>
      <w:pPr>
        <w:keepNext w:val="0"/>
        <w:keepLines w:val="0"/>
        <w:pageBreakBefore w:val="0"/>
        <w:widowControl w:val="0"/>
        <w:kinsoku/>
        <w:wordWrap/>
        <w:overflowPunct/>
        <w:topLinePunct w:val="0"/>
        <w:autoSpaceDE/>
        <w:autoSpaceDN/>
        <w:bidi w:val="0"/>
        <w:adjustRightInd/>
        <w:snapToGrid/>
        <w:spacing w:line="592"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10、石家庄铭德玻璃制品有限公司</w:t>
      </w:r>
    </w:p>
    <w:p>
      <w:pPr>
        <w:keepNext w:val="0"/>
        <w:keepLines w:val="0"/>
        <w:pageBreakBefore w:val="0"/>
        <w:widowControl w:val="0"/>
        <w:kinsoku/>
        <w:wordWrap/>
        <w:overflowPunct/>
        <w:topLinePunct w:val="0"/>
        <w:autoSpaceDE/>
        <w:bidi w:val="0"/>
        <w:spacing w:line="592" w:lineRule="exact"/>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bidi w:val="0"/>
        <w:spacing w:line="592" w:lineRule="exact"/>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bidi w:val="0"/>
        <w:spacing w:line="592" w:lineRule="exact"/>
        <w:jc w:val="both"/>
        <w:textAlignment w:val="auto"/>
        <w:rPr>
          <w:rFonts w:hint="eastAsia" w:ascii="黑体" w:hAnsi="黑体" w:eastAsia="黑体" w:cs="黑体"/>
          <w:color w:val="auto"/>
          <w:sz w:val="32"/>
          <w:szCs w:val="32"/>
        </w:rPr>
      </w:pPr>
    </w:p>
    <w:p>
      <w:pPr>
        <w:keepNext w:val="0"/>
        <w:keepLines w:val="0"/>
        <w:pageBreakBefore w:val="0"/>
        <w:widowControl w:val="0"/>
        <w:kinsoku/>
        <w:wordWrap/>
        <w:overflowPunct/>
        <w:topLinePunct w:val="0"/>
        <w:autoSpaceDE/>
        <w:bidi w:val="0"/>
        <w:spacing w:line="592" w:lineRule="exact"/>
        <w:jc w:val="both"/>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rPr>
        <w:t>附件</w:t>
      </w:r>
      <w:r>
        <w:rPr>
          <w:rFonts w:hint="eastAsia" w:ascii="黑体" w:hAnsi="黑体" w:eastAsia="黑体" w:cs="黑体"/>
          <w:color w:val="auto"/>
          <w:sz w:val="32"/>
          <w:szCs w:val="32"/>
          <w:lang w:val="en-US" w:eastAsia="zh-CN"/>
        </w:rPr>
        <w:t>2</w:t>
      </w:r>
    </w:p>
    <w:p>
      <w:pPr>
        <w:pStyle w:val="14"/>
        <w:keepNext w:val="0"/>
        <w:keepLines w:val="0"/>
        <w:pageBreakBefore w:val="0"/>
        <w:widowControl w:val="0"/>
        <w:kinsoku/>
        <w:wordWrap/>
        <w:overflowPunct/>
        <w:topLinePunct w:val="0"/>
        <w:autoSpaceDE/>
        <w:bidi w:val="0"/>
        <w:spacing w:line="592" w:lineRule="exact"/>
        <w:ind w:firstLine="420" w:firstLineChars="200"/>
        <w:jc w:val="both"/>
        <w:textAlignment w:val="auto"/>
        <w:rPr>
          <w:rFonts w:hint="eastAsia"/>
          <w:color w:val="auto"/>
        </w:rPr>
      </w:pPr>
    </w:p>
    <w:p>
      <w:pPr>
        <w:keepNext w:val="0"/>
        <w:keepLines w:val="0"/>
        <w:pageBreakBefore w:val="0"/>
        <w:widowControl w:val="0"/>
        <w:kinsoku/>
        <w:wordWrap/>
        <w:overflowPunct/>
        <w:topLinePunct w:val="0"/>
        <w:autoSpaceDE/>
        <w:bidi w:val="0"/>
        <w:adjustRightInd w:val="0"/>
        <w:snapToGrid w:val="0"/>
        <w:spacing w:line="592" w:lineRule="exact"/>
        <w:jc w:val="center"/>
        <w:textAlignment w:val="auto"/>
        <w:rPr>
          <w:rFonts w:eastAsia="微软雅黑"/>
          <w:color w:val="auto"/>
          <w:sz w:val="44"/>
          <w:szCs w:val="32"/>
        </w:rPr>
      </w:pPr>
      <w:r>
        <w:rPr>
          <w:rFonts w:eastAsia="微软雅黑"/>
          <w:color w:val="auto"/>
          <w:sz w:val="44"/>
          <w:szCs w:val="32"/>
        </w:rPr>
        <w:t>重点监督检查内容</w:t>
      </w:r>
    </w:p>
    <w:p>
      <w:pPr>
        <w:pStyle w:val="10"/>
        <w:keepNext w:val="0"/>
        <w:keepLines w:val="0"/>
        <w:pageBreakBefore w:val="0"/>
        <w:kinsoku/>
        <w:wordWrap/>
        <w:overflowPunct/>
        <w:topLinePunct w:val="0"/>
        <w:autoSpaceDE/>
        <w:bidi w:val="0"/>
        <w:spacing w:line="592" w:lineRule="exact"/>
        <w:textAlignment w:val="auto"/>
        <w:rPr>
          <w:color w:val="auto"/>
        </w:rPr>
      </w:pPr>
    </w:p>
    <w:p>
      <w:pPr>
        <w:keepNext w:val="0"/>
        <w:keepLines w:val="0"/>
        <w:pageBreakBefore w:val="0"/>
        <w:kinsoku/>
        <w:wordWrap/>
        <w:overflowPunct/>
        <w:topLinePunct w:val="0"/>
        <w:autoSpaceDE/>
        <w:autoSpaceDN w:val="0"/>
        <w:bidi w:val="0"/>
        <w:adjustRightInd w:val="0"/>
        <w:snapToGrid w:val="0"/>
        <w:spacing w:line="592" w:lineRule="exact"/>
        <w:textAlignment w:val="auto"/>
        <w:rPr>
          <w:rFonts w:hint="eastAsia" w:ascii="黑体" w:hAnsi="黑体" w:eastAsia="黑体" w:cs="黑体"/>
          <w:color w:val="auto"/>
          <w:kern w:val="0"/>
          <w:sz w:val="32"/>
          <w:szCs w:val="32"/>
          <w:lang w:val="en-US" w:eastAsia="zh-CN"/>
        </w:rPr>
      </w:pPr>
      <w:r>
        <w:rPr>
          <w:rFonts w:hint="eastAsia" w:eastAsia="仿宋_GB2312"/>
          <w:color w:val="auto"/>
          <w:kern w:val="0"/>
          <w:sz w:val="32"/>
          <w:szCs w:val="32"/>
          <w:lang w:val="en-US" w:eastAsia="zh-CN"/>
        </w:rPr>
        <w:t xml:space="preserve">   </w:t>
      </w:r>
      <w:r>
        <w:rPr>
          <w:rFonts w:hint="eastAsia" w:ascii="黑体" w:hAnsi="黑体" w:eastAsia="黑体" w:cs="黑体"/>
          <w:color w:val="auto"/>
          <w:kern w:val="0"/>
          <w:sz w:val="32"/>
          <w:szCs w:val="32"/>
          <w:lang w:val="en-US" w:eastAsia="zh-CN"/>
        </w:rPr>
        <w:t xml:space="preserve"> 一、通用部分</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（一）主要负责人履职尽责情况</w:t>
      </w:r>
      <w:r>
        <w:rPr>
          <w:rFonts w:hint="eastAsia" w:ascii="仿宋_GB2312" w:hAnsi="仿宋_GB2312" w:eastAsia="仿宋_GB2312" w:cs="仿宋_GB2312"/>
          <w:color w:val="000000"/>
          <w:sz w:val="32"/>
          <w:szCs w:val="32"/>
          <w:lang w:val="en-US" w:eastAsia="zh-CN"/>
        </w:rPr>
        <w:t>。企业主要负责人依据《安全生产法》的规定履行法定职责情况，特别是建立并落实全员安全生产责任制情况，安全生产管理制度建设情况，组织开展隐患排查治理情况，实施风险辨识和管控检查情况。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（二）双重预防机制建设情况。</w:t>
      </w:r>
      <w:r>
        <w:rPr>
          <w:rFonts w:hint="eastAsia" w:ascii="仿宋_GB2312" w:hAnsi="仿宋_GB2312" w:eastAsia="仿宋_GB2312" w:cs="仿宋_GB2312"/>
          <w:color w:val="000000"/>
          <w:sz w:val="32"/>
          <w:szCs w:val="32"/>
          <w:lang w:val="en-US" w:eastAsia="zh-CN"/>
        </w:rPr>
        <w:t>企业安全生产风险管控和隐患排查治理双重预防机制建设情况，采用技术、管理措施控制风险和开展隐患排查治理情况；按照重大事故隐患判定标准，排查整治本单位重大事故隐患情况，对重大事故隐患治理措施组织开展评估等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（三）安全设施“三同时”落实情况。</w:t>
      </w:r>
      <w:r>
        <w:rPr>
          <w:rFonts w:hint="eastAsia" w:ascii="仿宋_GB2312" w:hAnsi="仿宋_GB2312" w:eastAsia="仿宋_GB2312" w:cs="仿宋_GB2312"/>
          <w:color w:val="000000"/>
          <w:sz w:val="32"/>
          <w:szCs w:val="32"/>
          <w:lang w:val="en-US" w:eastAsia="zh-CN"/>
        </w:rPr>
        <w:t>落实建设项目安全设施“三同时”管理规定情况，安全设备的安装、使用、检测、维修、改造和报废符合安全技术标准情况，使用列入淘汰落后技术装备目录的工艺、设备情况。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（四）安全生产教育培训落实情况。</w:t>
      </w:r>
      <w:r>
        <w:rPr>
          <w:rFonts w:hint="eastAsia" w:ascii="仿宋_GB2312" w:hAnsi="仿宋_GB2312" w:eastAsia="仿宋_GB2312" w:cs="仿宋_GB2312"/>
          <w:color w:val="000000"/>
          <w:sz w:val="32"/>
          <w:szCs w:val="32"/>
          <w:lang w:val="en-US" w:eastAsia="zh-CN"/>
        </w:rPr>
        <w:t>企业建立全员安全生产教育培训制度情况，对包括被派遣劳动者、实习生在内的所有从业人员进行安全生产教育和培训开展情况；危险化学品、金属冶炼企业主要负责人和安全生产管理人员、特种作业人员等“三类人员”考核及持证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（五）现场作业安全管理落实情况。</w:t>
      </w:r>
      <w:r>
        <w:rPr>
          <w:rFonts w:hint="eastAsia" w:ascii="仿宋_GB2312" w:hAnsi="仿宋_GB2312" w:eastAsia="仿宋_GB2312" w:cs="仿宋_GB2312"/>
          <w:color w:val="000000"/>
          <w:sz w:val="32"/>
          <w:szCs w:val="32"/>
          <w:lang w:val="en-US" w:eastAsia="zh-CN"/>
        </w:rPr>
        <w:t>企业现场作业管理情况，从事危险化学品特殊作业、涉爆粉尘、有限空间、吊装及国家有关规定明确的危险作业时，安排专门人员进行现场安全管理情况；违章指挥、强令职工冒险作业情况。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（六）应急管理建设落实情况。</w:t>
      </w:r>
      <w:r>
        <w:rPr>
          <w:rFonts w:hint="eastAsia" w:ascii="仿宋_GB2312" w:hAnsi="仿宋_GB2312" w:eastAsia="仿宋_GB2312" w:cs="仿宋_GB2312"/>
          <w:color w:val="000000"/>
          <w:sz w:val="32"/>
          <w:szCs w:val="32"/>
          <w:lang w:val="en-US" w:eastAsia="zh-CN"/>
        </w:rPr>
        <w:t>企业按规定建立安全生产应急管理体系和应急救援组织情况，应急预案制定和组织应急预案培训演练情况。应急物资、装备配备情况以及进行经常性维护、保养情况；重大危险源辨识、登记建档，定期检测、评估、监控等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（七）取得安全生产许可后保持安全生产条件情况。</w:t>
      </w:r>
      <w:r>
        <w:rPr>
          <w:rFonts w:hint="eastAsia" w:ascii="仿宋_GB2312" w:hAnsi="仿宋_GB2312" w:eastAsia="仿宋_GB2312" w:cs="仿宋_GB2312"/>
          <w:color w:val="000000"/>
          <w:sz w:val="32"/>
          <w:szCs w:val="32"/>
          <w:lang w:val="en-US" w:eastAsia="zh-CN"/>
        </w:rPr>
        <w:t>企业获得安全生产许可情况，严格依照有关安全生产行政许可的范围、事项从事相关的生产经营活动情况，企业在取得行政许可后是否存在降低安全生产条件情况；是否存在转让、冒用或者使用伪造的安全生产许可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（八）安全生产安全费用落实情况。</w:t>
      </w:r>
      <w:r>
        <w:rPr>
          <w:rFonts w:hint="eastAsia" w:ascii="仿宋_GB2312" w:hAnsi="仿宋_GB2312" w:eastAsia="仿宋_GB2312" w:cs="仿宋_GB2312"/>
          <w:color w:val="000000"/>
          <w:sz w:val="32"/>
          <w:szCs w:val="32"/>
          <w:lang w:val="en-US" w:eastAsia="zh-CN"/>
        </w:rPr>
        <w:t>安全生产费用提取和使用情况，企业依法参加工伤保险，为从业人员及时足额缴纳工伤保险费情况；投保安全生产责任保险情况。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（九）安全技术服务情况。</w:t>
      </w:r>
      <w:r>
        <w:rPr>
          <w:rFonts w:hint="eastAsia" w:ascii="仿宋_GB2312" w:hAnsi="仿宋_GB2312" w:eastAsia="仿宋_GB2312" w:cs="仿宋_GB2312"/>
          <w:color w:val="000000"/>
          <w:sz w:val="32"/>
          <w:szCs w:val="32"/>
          <w:lang w:val="en-US" w:eastAsia="zh-CN"/>
        </w:rPr>
        <w:t>从事安全技术服务的服务机构开展安全评价、安全论证、安全生产标准化、双重预防机制等各项安全技术服务情况，服务事项与企业安全实际相对应情况，制定的安全风险管控措施可行性情况，安全防范措施与安全风险相对应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（十）安全生产强制性标准实施情况。</w:t>
      </w:r>
      <w:r>
        <w:rPr>
          <w:rFonts w:hint="eastAsia" w:ascii="仿宋_GB2312" w:hAnsi="仿宋_GB2312" w:eastAsia="仿宋_GB2312" w:cs="仿宋_GB2312"/>
          <w:color w:val="000000"/>
          <w:sz w:val="32"/>
          <w:szCs w:val="32"/>
          <w:lang w:val="en-US" w:eastAsia="zh-CN"/>
        </w:rPr>
        <w:t>企业相关强制性标准获取情况，各项安全生产强制性标准的执行情况。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（十一）安全生产举报奖励落实情况。</w:t>
      </w:r>
      <w:r>
        <w:rPr>
          <w:rFonts w:hint="eastAsia" w:ascii="仿宋_GB2312" w:hAnsi="仿宋_GB2312" w:eastAsia="仿宋_GB2312" w:cs="仿宋_GB2312"/>
          <w:color w:val="000000"/>
          <w:sz w:val="32"/>
          <w:szCs w:val="32"/>
          <w:lang w:val="en-US" w:eastAsia="zh-CN"/>
        </w:rPr>
        <w:t>落实举报奖励培训计划情况，张贴有奖举报公告牌情况，建立和落实安全生产举报奖励制度情况。</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0" w:firstLineChars="200"/>
        <w:jc w:val="both"/>
        <w:textAlignment w:val="auto"/>
        <w:rPr>
          <w:rFonts w:hint="eastAsia" w:ascii="黑体" w:hAnsi="黑体" w:eastAsia="黑体" w:cs="黑体"/>
          <w:sz w:val="32"/>
          <w:szCs w:val="32"/>
          <w:lang w:eastAsia="zh-CN"/>
        </w:rPr>
      </w:pPr>
      <w:r>
        <w:rPr>
          <w:rFonts w:hint="eastAsia" w:ascii="黑体" w:hAnsi="黑体" w:eastAsia="黑体" w:cs="黑体"/>
          <w:sz w:val="32"/>
          <w:szCs w:val="32"/>
          <w:lang w:val="en-US" w:eastAsia="zh-CN"/>
        </w:rPr>
        <w:t>二</w:t>
      </w:r>
      <w:r>
        <w:rPr>
          <w:rFonts w:hint="eastAsia" w:ascii="黑体" w:hAnsi="黑体" w:eastAsia="黑体" w:cs="黑体"/>
          <w:sz w:val="32"/>
          <w:szCs w:val="32"/>
          <w:lang w:eastAsia="zh-CN"/>
        </w:rPr>
        <w:t>、危险化学品</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（一）危险化学品安全生产许可证情况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1.安全生产许可证取得情况；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2.安全生产许可证延期情况；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3.安全生产许可证变更情况；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 w:eastAsia="zh-CN"/>
        </w:rPr>
      </w:pPr>
      <w:r>
        <w:rPr>
          <w:rFonts w:hint="eastAsia" w:ascii="仿宋_GB2312" w:hAnsi="仿宋_GB2312" w:eastAsia="仿宋_GB2312" w:cs="仿宋_GB2312"/>
          <w:color w:val="000000"/>
          <w:sz w:val="32"/>
          <w:szCs w:val="32"/>
          <w:lang w:val="en-US" w:eastAsia="zh-CN"/>
        </w:rPr>
        <w:t>4.转让、冒用安全生产许可证或者使用伪造的安全生产许可证情况。</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（二）危险化学品经营许可证情况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1.经营许可证取得情况；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2.经营许可证延期情况；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3.经营许可证变更情况；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4.伪造、变造或者出租、出借、转让经营许可证，或者使用伪造、变造的经营许可证情况。</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（三）人员管理情况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1.安全生产管理机构人员设置配备及规章制度制定与执行情况；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2.从业人员安全生产教育和培训情况；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3.特种作业人员持证上岗情况；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4.选用承包商符合资质情况；对承包商的安全生产工作统一协调、管理情况。</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（四）工艺管理情况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1.操作规程和工艺控制指标的制定情况；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2.安全设备的安装、使用、检测、维修、改造和报废符合国家标准或行业标准情况；工艺、设备符合国家规定情况；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3.有毒有害、可燃气体泄漏检测报警系统按照标准设置、使用或定期检测校验情况；以及报警信号发送至有操作人员常驻的控制室、现场操作室进行报警情况。</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4.涉及</w:t>
      </w:r>
      <w:r>
        <w:rPr>
          <w:rFonts w:hint="eastAsia" w:ascii="仿宋_GB2312" w:hAnsi="仿宋_GB2312" w:eastAsia="仿宋_GB2312" w:cs="仿宋_GB2312"/>
          <w:color w:val="000000"/>
          <w:sz w:val="32"/>
          <w:szCs w:val="32"/>
          <w:lang w:val="en-US" w:eastAsia="zh-CN"/>
        </w:rPr>
        <w:t>危险化工工艺、重点监管危险化学品的装置设置自动化控制系统，涉及危险化工工艺的大型化工装置设置紧急</w:t>
      </w:r>
      <w:r>
        <w:rPr>
          <w:rFonts w:hint="eastAsia" w:ascii="仿宋_GB2312" w:hAnsi="仿宋_GB2312" w:eastAsia="仿宋_GB2312" w:cs="仿宋_GB2312"/>
          <w:b w:val="0"/>
          <w:bCs w:val="0"/>
          <w:sz w:val="32"/>
          <w:szCs w:val="32"/>
          <w:lang w:val="en-US" w:eastAsia="zh-CN"/>
        </w:rPr>
        <w:t>停车系统情况。</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3" w:firstLineChars="200"/>
        <w:jc w:val="both"/>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（五）</w:t>
      </w:r>
      <w:r>
        <w:rPr>
          <w:rFonts w:hint="eastAsia" w:ascii="仿宋_GB2312" w:hAnsi="仿宋_GB2312" w:eastAsia="仿宋_GB2312" w:cs="仿宋_GB2312"/>
          <w:b/>
          <w:bCs/>
          <w:sz w:val="32"/>
          <w:szCs w:val="32"/>
          <w:lang w:eastAsia="zh-CN"/>
        </w:rPr>
        <w:t>安全管理情况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1.危险化学品生产装置、罐区等设施与周边的距离情况；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2.危险化学品按照标准分区、分类、分库存放，避免超量、超品种储存及相互禁忌物质混放混存情况；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3.动火作业按规定进行可燃气体分析；受限空间作业按规定进行可燃气体、氧含量和有毒气体分析；作业过程避免无人监护情况；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4.危险化学品生产企业提供化学品安全技术说明书，在包装（包括外包装件）上粘贴、拴挂化学品安全标签情况；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5.企业制定重大危险源管理制度，按照GB18218辨识并确定重大危险源，建立重大危险源档案情况；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6.企业按照AQ3036及有关规定设置重大危险源安全监控报警系统，重大危险源涉及的压力、温度、液位、泄漏报警等重要参数的测量要有远传和连续记录情况；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7.涉及毒性气体、液化气体、剧毒液体的一级或者二级重大危险源，配备独立的安全仪表系统（SIS）情况；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8.危险化学品重大危险源的安全生产状况定期检查，采取措施消除事故隐患情况；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9.企业将重大危险源及相关安全措施、应急措施报送当地县级以上人民政府应急管理部门备案情况；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10.有毒气体的区域配备便携式检测仪、空气呼吸器等器材和设备情况；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rPr>
      </w:pPr>
      <w:r>
        <w:rPr>
          <w:rFonts w:hint="eastAsia" w:ascii="仿宋_GB2312" w:hAnsi="仿宋_GB2312" w:eastAsia="仿宋_GB2312" w:cs="仿宋_GB2312"/>
          <w:color w:val="000000"/>
          <w:sz w:val="32"/>
          <w:szCs w:val="32"/>
          <w:lang w:val="en-US" w:eastAsia="zh-CN"/>
        </w:rPr>
        <w:t>11.在有较大危险因素的生产经营场所和有关设施、设备上设置明显的安全警示标志情况。</w:t>
      </w:r>
    </w:p>
    <w:p>
      <w:pPr>
        <w:keepNext w:val="0"/>
        <w:keepLines w:val="0"/>
        <w:pageBreakBefore w:val="0"/>
        <w:widowControl w:val="0"/>
        <w:kinsoku/>
        <w:wordWrap/>
        <w:overflowPunct/>
        <w:topLinePunct w:val="0"/>
        <w:autoSpaceDE/>
        <w:bidi w:val="0"/>
        <w:spacing w:line="592" w:lineRule="exact"/>
        <w:ind w:firstLine="640" w:firstLineChars="200"/>
        <w:jc w:val="both"/>
        <w:textAlignment w:val="auto"/>
        <w:rPr>
          <w:rFonts w:eastAsia="黑体"/>
          <w:bCs/>
          <w:sz w:val="32"/>
          <w:szCs w:val="32"/>
        </w:rPr>
      </w:pPr>
      <w:r>
        <w:rPr>
          <w:rFonts w:hint="eastAsia" w:eastAsia="黑体"/>
          <w:bCs/>
          <w:sz w:val="32"/>
          <w:szCs w:val="32"/>
          <w:lang w:val="en-US" w:eastAsia="zh-CN"/>
        </w:rPr>
        <w:t>三</w:t>
      </w:r>
      <w:r>
        <w:rPr>
          <w:rFonts w:eastAsia="黑体"/>
          <w:bCs/>
          <w:sz w:val="32"/>
          <w:szCs w:val="32"/>
        </w:rPr>
        <w:t>、工商贸行业</w:t>
      </w:r>
    </w:p>
    <w:p>
      <w:pPr>
        <w:keepNext w:val="0"/>
        <w:keepLines w:val="0"/>
        <w:pageBreakBefore w:val="0"/>
        <w:widowControl w:val="0"/>
        <w:kinsoku/>
        <w:wordWrap/>
        <w:overflowPunct/>
        <w:topLinePunct w:val="0"/>
        <w:autoSpaceDE/>
        <w:bidi w:val="0"/>
        <w:spacing w:line="592" w:lineRule="exact"/>
        <w:ind w:firstLine="643" w:firstLineChars="200"/>
        <w:jc w:val="both"/>
        <w:textAlignment w:val="auto"/>
        <w:rPr>
          <w:rFonts w:hint="eastAsia" w:ascii="仿宋" w:hAnsi="仿宋" w:eastAsia="仿宋" w:cs="仿宋"/>
          <w:b/>
          <w:bCs/>
          <w:sz w:val="32"/>
          <w:szCs w:val="32"/>
          <w:lang w:val="en-US" w:eastAsia="zh"/>
        </w:rPr>
      </w:pPr>
      <w:r>
        <w:rPr>
          <w:rFonts w:hint="eastAsia" w:ascii="仿宋" w:hAnsi="仿宋" w:eastAsia="仿宋" w:cs="仿宋"/>
          <w:b/>
          <w:bCs/>
          <w:sz w:val="32"/>
          <w:szCs w:val="32"/>
          <w:lang w:val="en-US" w:eastAsia="zh-CN"/>
        </w:rPr>
        <w:t>（一）</w:t>
      </w:r>
      <w:r>
        <w:rPr>
          <w:rFonts w:hint="eastAsia" w:ascii="仿宋" w:hAnsi="仿宋" w:eastAsia="仿宋" w:cs="仿宋"/>
          <w:b/>
          <w:bCs/>
          <w:sz w:val="32"/>
          <w:szCs w:val="32"/>
          <w:lang w:val="en-US" w:eastAsia="zh"/>
        </w:rPr>
        <w:t>建材企业方面</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1.</w:t>
      </w:r>
      <w:r>
        <w:rPr>
          <w:rFonts w:hint="eastAsia" w:ascii="仿宋_GB2312" w:hAnsi="仿宋_GB2312" w:eastAsia="仿宋_GB2312" w:cs="仿宋_GB2312"/>
          <w:color w:val="000000"/>
          <w:sz w:val="32"/>
          <w:szCs w:val="32"/>
          <w:lang w:val="en-US" w:eastAsia="zh-CN"/>
        </w:rPr>
        <w:t>水泥筒型库清库作业外包情况</w:t>
      </w:r>
      <w:r>
        <w:rPr>
          <w:rFonts w:hint="eastAsia" w:ascii="仿宋_GB2312" w:hAnsi="仿宋_GB2312" w:eastAsia="仿宋_GB2312" w:cs="仿宋_GB2312"/>
          <w:color w:val="000000"/>
          <w:sz w:val="32"/>
          <w:szCs w:val="32"/>
          <w:lang w:val="en-US" w:eastAsia="zh"/>
        </w:rPr>
        <w:t>。</w:t>
      </w:r>
      <w:r>
        <w:rPr>
          <w:rFonts w:hint="eastAsia" w:ascii="仿宋_GB2312" w:hAnsi="仿宋_GB2312" w:eastAsia="仿宋_GB2312" w:cs="仿宋_GB2312"/>
          <w:color w:val="000000"/>
          <w:sz w:val="32"/>
          <w:szCs w:val="32"/>
          <w:lang w:val="en-US" w:eastAsia="zh-CN"/>
        </w:rPr>
        <w:t>水泥工厂筒型储存库人工清库作业外包给具有专业承包资质的承包方，签订安全管理协议</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2.</w:t>
      </w:r>
      <w:r>
        <w:rPr>
          <w:rFonts w:hint="eastAsia" w:ascii="仿宋_GB2312" w:hAnsi="仿宋_GB2312" w:eastAsia="仿宋_GB2312" w:cs="仿宋_GB2312"/>
          <w:color w:val="000000"/>
          <w:sz w:val="32"/>
          <w:szCs w:val="32"/>
          <w:lang w:val="en-US" w:eastAsia="zh-CN"/>
        </w:rPr>
        <w:t>水泥工厂监测、报警、灭火及防爆装置的设置情况。煤磨进出口设温度监测装置；在煤粉仓、收尘器上设监测报警装置；煤磨、煤粉仓、煤磨收尘器设置气体灭火系统</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3.</w:t>
      </w:r>
      <w:r>
        <w:rPr>
          <w:rFonts w:hint="eastAsia" w:ascii="仿宋_GB2312" w:hAnsi="仿宋_GB2312" w:eastAsia="仿宋_GB2312" w:cs="仿宋_GB2312"/>
          <w:color w:val="000000"/>
          <w:sz w:val="32"/>
          <w:szCs w:val="32"/>
          <w:lang w:val="en-US" w:eastAsia="zh-CN"/>
        </w:rPr>
        <w:t>燃气窑炉防火、防爆、防一氧化碳中毒措施情况</w:t>
      </w:r>
      <w:r>
        <w:rPr>
          <w:rFonts w:hint="eastAsia" w:ascii="仿宋_GB2312" w:hAnsi="仿宋_GB2312" w:eastAsia="仿宋_GB2312" w:cs="仿宋_GB2312"/>
          <w:color w:val="000000"/>
          <w:sz w:val="32"/>
          <w:szCs w:val="32"/>
          <w:lang w:val="en-US" w:eastAsia="zh"/>
        </w:rPr>
        <w:t>。</w:t>
      </w:r>
      <w:r>
        <w:rPr>
          <w:rFonts w:hint="eastAsia" w:ascii="仿宋_GB2312" w:hAnsi="仿宋_GB2312" w:eastAsia="仿宋_GB2312" w:cs="仿宋_GB2312"/>
          <w:color w:val="000000"/>
          <w:sz w:val="32"/>
          <w:szCs w:val="32"/>
          <w:lang w:val="en-US" w:eastAsia="zh-CN"/>
        </w:rPr>
        <w:t>燃气窑炉设置燃气低压警报器和快速切断阀；发生炉煤气的熔窑烟道采取煤气换向防爆措施；煤气危险区域关键部位设置一氧化碳监测装置</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4.</w:t>
      </w:r>
      <w:r>
        <w:rPr>
          <w:rFonts w:hint="eastAsia" w:ascii="仿宋_GB2312" w:hAnsi="仿宋_GB2312" w:eastAsia="仿宋_GB2312" w:cs="仿宋_GB2312"/>
          <w:color w:val="000000"/>
          <w:sz w:val="32"/>
          <w:szCs w:val="32"/>
          <w:lang w:val="en-US" w:eastAsia="zh-CN"/>
        </w:rPr>
        <w:t>高温熔炉冷却及报警装置的设置情况</w:t>
      </w:r>
      <w:r>
        <w:rPr>
          <w:rFonts w:hint="eastAsia" w:ascii="仿宋_GB2312" w:hAnsi="仿宋_GB2312" w:eastAsia="仿宋_GB2312" w:cs="仿宋_GB2312"/>
          <w:color w:val="000000"/>
          <w:sz w:val="32"/>
          <w:szCs w:val="32"/>
          <w:lang w:val="en-US" w:eastAsia="zh"/>
        </w:rPr>
        <w:t>。</w:t>
      </w:r>
      <w:r>
        <w:rPr>
          <w:rFonts w:hint="eastAsia" w:ascii="仿宋_GB2312" w:hAnsi="仿宋_GB2312" w:eastAsia="仿宋_GB2312" w:cs="仿宋_GB2312"/>
          <w:color w:val="000000"/>
          <w:sz w:val="32"/>
          <w:szCs w:val="32"/>
          <w:lang w:val="en-US" w:eastAsia="zh-CN"/>
        </w:rPr>
        <w:t>玻璃窑炉、纤维制品三相电弧炉、电熔制品电炉等高温熔炉的冷却保护系统满足冷却要求，设置停机报警装置</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5.</w:t>
      </w:r>
      <w:r>
        <w:rPr>
          <w:rFonts w:hint="eastAsia" w:ascii="仿宋_GB2312" w:hAnsi="仿宋_GB2312" w:eastAsia="仿宋_GB2312" w:cs="仿宋_GB2312"/>
          <w:color w:val="000000"/>
          <w:sz w:val="32"/>
          <w:szCs w:val="32"/>
          <w:lang w:val="en-US" w:eastAsia="zh-CN"/>
        </w:rPr>
        <w:t>进入筒型储库、磨机等有限空间作业控制措施落实情况</w:t>
      </w:r>
      <w:r>
        <w:rPr>
          <w:rFonts w:hint="eastAsia" w:ascii="仿宋_GB2312" w:hAnsi="仿宋_GB2312" w:eastAsia="仿宋_GB2312" w:cs="仿宋_GB2312"/>
          <w:color w:val="000000"/>
          <w:sz w:val="32"/>
          <w:szCs w:val="32"/>
          <w:lang w:val="en-US" w:eastAsia="zh"/>
        </w:rPr>
        <w:t>。</w:t>
      </w:r>
      <w:r>
        <w:rPr>
          <w:rFonts w:hint="eastAsia" w:ascii="仿宋_GB2312" w:hAnsi="仿宋_GB2312" w:eastAsia="仿宋_GB2312" w:cs="仿宋_GB2312"/>
          <w:color w:val="000000"/>
          <w:sz w:val="32"/>
          <w:szCs w:val="32"/>
          <w:lang w:val="en-US" w:eastAsia="zh-CN"/>
        </w:rPr>
        <w:t>对可能存在的设备意外启动、热气涌入等风险进行评估，制定有效控制措施，并经审批后作业</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6.</w:t>
      </w:r>
      <w:r>
        <w:rPr>
          <w:rFonts w:hint="eastAsia" w:ascii="仿宋_GB2312" w:hAnsi="仿宋_GB2312" w:eastAsia="仿宋_GB2312" w:cs="仿宋_GB2312"/>
          <w:color w:val="000000"/>
          <w:sz w:val="32"/>
          <w:szCs w:val="32"/>
          <w:lang w:val="en-US" w:eastAsia="zh-CN"/>
        </w:rPr>
        <w:t>煤气发生炉及煤气输送系统的防火、防爆等装置的设置情况</w:t>
      </w:r>
      <w:r>
        <w:rPr>
          <w:rFonts w:hint="eastAsia" w:ascii="仿宋_GB2312" w:hAnsi="仿宋_GB2312" w:eastAsia="仿宋_GB2312" w:cs="仿宋_GB2312"/>
          <w:color w:val="000000"/>
          <w:sz w:val="32"/>
          <w:szCs w:val="32"/>
          <w:lang w:val="en-US" w:eastAsia="zh"/>
        </w:rPr>
        <w:t>。</w:t>
      </w:r>
      <w:r>
        <w:rPr>
          <w:rFonts w:hint="eastAsia" w:ascii="仿宋_GB2312" w:hAnsi="仿宋_GB2312" w:eastAsia="仿宋_GB2312" w:cs="仿宋_GB2312"/>
          <w:color w:val="000000"/>
          <w:sz w:val="32"/>
          <w:szCs w:val="32"/>
          <w:lang w:val="en-US" w:eastAsia="zh-CN"/>
        </w:rPr>
        <w:t>煤气发生炉的进口空气管道上，设有阀门、止回阀和蒸汽吹扫装置；煤气发生炉空气总管末端设有泄爆装置和放散管；设报警装置</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7.</w:t>
      </w:r>
      <w:r>
        <w:rPr>
          <w:rFonts w:hint="eastAsia" w:ascii="仿宋_GB2312" w:hAnsi="仿宋_GB2312" w:eastAsia="仿宋_GB2312" w:cs="仿宋_GB2312"/>
          <w:color w:val="000000"/>
          <w:sz w:val="32"/>
          <w:szCs w:val="32"/>
          <w:lang w:val="en-US" w:eastAsia="zh-CN"/>
        </w:rPr>
        <w:t>输送设备防护、急停等隔离的情况</w:t>
      </w:r>
      <w:r>
        <w:rPr>
          <w:rFonts w:hint="eastAsia" w:ascii="仿宋_GB2312" w:hAnsi="仿宋_GB2312" w:eastAsia="仿宋_GB2312" w:cs="仿宋_GB2312"/>
          <w:color w:val="000000"/>
          <w:sz w:val="32"/>
          <w:szCs w:val="32"/>
          <w:lang w:val="en-US" w:eastAsia="zh"/>
        </w:rPr>
        <w:t>。</w:t>
      </w:r>
      <w:r>
        <w:rPr>
          <w:rFonts w:hint="eastAsia" w:ascii="仿宋_GB2312" w:hAnsi="仿宋_GB2312" w:eastAsia="仿宋_GB2312" w:cs="仿宋_GB2312"/>
          <w:color w:val="000000"/>
          <w:sz w:val="32"/>
          <w:szCs w:val="32"/>
          <w:lang w:val="en-US" w:eastAsia="zh-CN"/>
        </w:rPr>
        <w:t>带式输送机的头部、尾部、拉紧部位和输送带改向部位及夹角等部位设防护装置；滚筒、托辊设防护；各种机械传动装置的外露部分设防护，露出的轴承加护盖</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3" w:firstLineChars="200"/>
        <w:jc w:val="both"/>
        <w:textAlignment w:val="auto"/>
        <w:rPr>
          <w:rFonts w:hint="eastAsia" w:ascii="仿宋_GB2312" w:hAnsi="仿宋_GB2312" w:eastAsia="仿宋_GB2312" w:cs="仿宋_GB2312"/>
          <w:b/>
          <w:bCs/>
          <w:sz w:val="32"/>
          <w:szCs w:val="32"/>
          <w:lang w:val="en-US" w:eastAsia="zh"/>
        </w:rPr>
      </w:pP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lang w:val="en-US" w:eastAsia="zh"/>
        </w:rPr>
        <w:t>机械企业方面</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CN"/>
        </w:rPr>
        <w:t>1.高温熔融金属作业防护情况</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CN"/>
        </w:rPr>
        <w:t>1.1 会议室、活动室、休息室、更衣室等场所严禁设置在熔炼炉、熔融金属吊运和浇注影响范围内</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CN"/>
        </w:rPr>
        <w:t>1.2 吊运熔融金属的起重机应符合冶金铸造起重机技术条件,驱动装置中应设置两套制动器。吊运浇注包的龙门钩横梁、耳轴销和吊钩等零件,应进行定期探伤检查</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CN"/>
        </w:rPr>
        <w:t>1.3 铸造熔炼炉炉底、炉坑及浇注坑等作业坑严禁存在潮湿、积水状况，或者存放易燃易爆物品</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CN"/>
        </w:rPr>
        <w:t>1.4 铸造熔炼炉冷却水系统应配置温度、进出水流量检测及报警装置,设置防止冷却水进入炉内的安全设施</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2.</w:t>
      </w:r>
      <w:r>
        <w:rPr>
          <w:rFonts w:hint="eastAsia" w:ascii="仿宋_GB2312" w:hAnsi="仿宋_GB2312" w:eastAsia="仿宋_GB2312" w:cs="仿宋_GB2312"/>
          <w:color w:val="000000"/>
          <w:sz w:val="32"/>
          <w:szCs w:val="32"/>
          <w:lang w:val="en-US" w:eastAsia="zh-CN"/>
        </w:rPr>
        <w:t>安全风险较高场所监测报警装置和防爆装置设置情况</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CN"/>
        </w:rPr>
        <w:t>2.1 天然气（煤气）加热炉燃烧器操作部位应设置可燃气体泄漏报警装置，燃烧系统应设置防突然熄火或防点火失败的安全装置</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CN"/>
        </w:rPr>
        <w:t>2.2 涂装调漆间和喷漆室应规范设置可燃气体报警装置和防爆电气设备设施</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3.</w:t>
      </w:r>
      <w:r>
        <w:rPr>
          <w:rFonts w:hint="eastAsia" w:ascii="仿宋_GB2312" w:hAnsi="仿宋_GB2312" w:eastAsia="仿宋_GB2312" w:cs="仿宋_GB2312"/>
          <w:color w:val="000000"/>
          <w:sz w:val="32"/>
          <w:szCs w:val="32"/>
          <w:lang w:val="en-US" w:eastAsia="zh-CN"/>
        </w:rPr>
        <w:t>有机溶剂清理清除情况</w:t>
      </w:r>
      <w:r>
        <w:rPr>
          <w:rFonts w:hint="eastAsia" w:ascii="仿宋_GB2312" w:hAnsi="仿宋_GB2312" w:eastAsia="仿宋_GB2312" w:cs="仿宋_GB2312"/>
          <w:color w:val="000000"/>
          <w:sz w:val="32"/>
          <w:szCs w:val="32"/>
          <w:lang w:val="en-US" w:eastAsia="zh"/>
        </w:rPr>
        <w:t>。</w:t>
      </w:r>
      <w:r>
        <w:rPr>
          <w:rFonts w:hint="eastAsia" w:ascii="仿宋_GB2312" w:hAnsi="仿宋_GB2312" w:eastAsia="仿宋_GB2312" w:cs="仿宋_GB2312"/>
          <w:color w:val="000000"/>
          <w:sz w:val="32"/>
          <w:szCs w:val="32"/>
          <w:lang w:val="en-US" w:eastAsia="zh-CN"/>
        </w:rPr>
        <w:t>使用易燃易爆稀释剂（如天拿水）清洗设备设施应采取有效措施及时清除集聚在地沟、地坑等有限空间内的可燃气体</w:t>
      </w:r>
      <w:r>
        <w:rPr>
          <w:rFonts w:hint="eastAsia" w:ascii="仿宋_GB2312" w:hAnsi="仿宋_GB2312" w:eastAsia="仿宋_GB2312" w:cs="仿宋_GB2312"/>
          <w:color w:val="000000"/>
          <w:sz w:val="32"/>
          <w:szCs w:val="32"/>
          <w:lang w:val="en-US" w:eastAsia="zh"/>
        </w:rPr>
        <w:t>。</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3" w:firstLineChars="200"/>
        <w:jc w:val="both"/>
        <w:textAlignment w:val="auto"/>
        <w:rPr>
          <w:rFonts w:hint="eastAsia" w:ascii="仿宋_GB2312" w:hAnsi="仿宋_GB2312" w:eastAsia="仿宋_GB2312" w:cs="仿宋_GB2312"/>
          <w:b/>
          <w:bCs/>
          <w:sz w:val="32"/>
          <w:szCs w:val="32"/>
          <w:lang w:val="en-US" w:eastAsia="zh"/>
        </w:rPr>
      </w:pP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lang w:val="en-US" w:eastAsia="zh"/>
        </w:rPr>
        <w:t>轻工企业方面</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1.高温设备安全保护措施配备情况。食品制造企业涉及烘制、油炸等设施设备，应采取防过热自动报警切断装置和隔热防护措施。</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2.安全风险较高场所监测报警装置和防爆装置设置情况。</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2.1 白酒储存、勾兑场所应规范设置乙醇浓度监测报警装置。</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2.2 日用玻璃、陶瓷制造企业燃气窑炉应设置燃气低压警报器和快速切断阀，易燃易爆气体聚集区域应设置监测报警装置。</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2.3 喷涂车间、调漆间应规范设置通风装置和防爆电气设备设施。</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
        </w:rPr>
        <w:t>3.日用玻璃制造企业炉、窑类设备安全防护情况。日用玻璃制造企业炉、窑类设备本体及附属设施严禁出现开裂、腐蚀、破损、衬砖损坏、壳体发红及明显弯曲变形</w:t>
      </w:r>
      <w:r>
        <w:rPr>
          <w:rFonts w:hint="eastAsia" w:ascii="仿宋_GB2312" w:hAnsi="仿宋_GB2312" w:eastAsia="仿宋_GB2312" w:cs="仿宋_GB2312"/>
          <w:color w:val="00000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4.纸浆制造、造纸企业液氯使用安全。纸浆制造、造纸企业严禁使用水蒸气或明火直接加热钢瓶汽化液氯。</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3" w:firstLineChars="200"/>
        <w:jc w:val="both"/>
        <w:textAlignment w:val="auto"/>
        <w:rPr>
          <w:rFonts w:hint="eastAsia" w:ascii="仿宋_GB2312" w:hAnsi="仿宋_GB2312" w:eastAsia="仿宋_GB2312" w:cs="仿宋_GB2312"/>
          <w:b/>
          <w:bCs/>
          <w:sz w:val="32"/>
          <w:szCs w:val="32"/>
          <w:lang w:val="en-US" w:eastAsia="zh"/>
        </w:rPr>
      </w:pPr>
      <w:r>
        <w:rPr>
          <w:rFonts w:hint="eastAsia" w:ascii="仿宋_GB2312" w:hAnsi="仿宋_GB2312" w:eastAsia="仿宋_GB2312" w:cs="仿宋_GB2312"/>
          <w:b/>
          <w:bCs/>
          <w:sz w:val="32"/>
          <w:szCs w:val="32"/>
          <w:lang w:val="en-US" w:eastAsia="zh-CN"/>
        </w:rPr>
        <w:t>（四）</w:t>
      </w:r>
      <w:r>
        <w:rPr>
          <w:rFonts w:hint="eastAsia" w:ascii="仿宋_GB2312" w:hAnsi="仿宋_GB2312" w:eastAsia="仿宋_GB2312" w:cs="仿宋_GB2312"/>
          <w:b/>
          <w:bCs/>
          <w:sz w:val="32"/>
          <w:szCs w:val="32"/>
          <w:lang w:val="en-US" w:eastAsia="zh"/>
        </w:rPr>
        <w:t>纺织企业方面</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1.汽化室、燃气贮罐、储油罐、热媒炉设置和布局情况。纱、线、织物加工的烧毛、开幅、烘干等热定型工艺使用煤气、石油液化气、天然气和汽油等汽化气烧毛的燃气分配室、储气罐、储油罐、汽油汽化器、热媒炉等设备、装置，必须与生产加工、人员密集场所明确分开，单独设置。</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
        </w:rPr>
      </w:pPr>
      <w:r>
        <w:rPr>
          <w:rFonts w:hint="eastAsia" w:ascii="仿宋_GB2312" w:hAnsi="仿宋_GB2312" w:eastAsia="仿宋_GB2312" w:cs="仿宋_GB2312"/>
          <w:color w:val="000000"/>
          <w:sz w:val="32"/>
          <w:szCs w:val="32"/>
          <w:lang w:val="en-US" w:eastAsia="zh"/>
        </w:rPr>
        <w:t>2.危险品储存安全措施情况。保险粉、双氧水、亚氯酸钠、雕白粉（吊白块）等危险品严禁超存、与禁忌物料混存、露天堆放。保险粉应储存在通风良好、空气干燥的场所。</w:t>
      </w:r>
    </w:p>
    <w:p>
      <w:pPr>
        <w:keepNext w:val="0"/>
        <w:keepLines w:val="0"/>
        <w:pageBreakBefore w:val="0"/>
        <w:widowControl w:val="0"/>
        <w:kinsoku/>
        <w:wordWrap/>
        <w:overflowPunct/>
        <w:topLinePunct w:val="0"/>
        <w:autoSpaceDE/>
        <w:autoSpaceDN w:val="0"/>
        <w:bidi w:val="0"/>
        <w:adjustRightInd w:val="0"/>
        <w:snapToGrid w:val="0"/>
        <w:spacing w:line="592" w:lineRule="exact"/>
        <w:ind w:firstLine="643" w:firstLineChars="200"/>
        <w:jc w:val="both"/>
        <w:textAlignment w:val="auto"/>
        <w:rPr>
          <w:rFonts w:hint="eastAsia" w:ascii="仿宋_GB2312" w:hAnsi="仿宋_GB2312" w:eastAsia="仿宋_GB2312" w:cs="仿宋_GB2312"/>
          <w:b/>
          <w:bCs/>
          <w:sz w:val="32"/>
          <w:szCs w:val="32"/>
          <w:lang w:val="en-US" w:eastAsia="zh"/>
        </w:rPr>
      </w:pPr>
      <w:r>
        <w:rPr>
          <w:rFonts w:hint="eastAsia" w:ascii="仿宋_GB2312" w:hAnsi="仿宋_GB2312" w:eastAsia="仿宋_GB2312" w:cs="仿宋_GB2312"/>
          <w:b/>
          <w:bCs/>
          <w:sz w:val="32"/>
          <w:szCs w:val="32"/>
          <w:lang w:val="en-US" w:eastAsia="zh-CN"/>
        </w:rPr>
        <w:t>（五）</w:t>
      </w:r>
      <w:r>
        <w:rPr>
          <w:rFonts w:hint="eastAsia" w:ascii="仿宋_GB2312" w:hAnsi="仿宋_GB2312" w:eastAsia="仿宋_GB2312" w:cs="仿宋_GB2312"/>
          <w:b/>
          <w:bCs/>
          <w:sz w:val="32"/>
          <w:szCs w:val="32"/>
          <w:lang w:val="en-US" w:eastAsia="zh"/>
        </w:rPr>
        <w:t>涉有限空间作业企业方面</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1.未按照规定制定有限空间作业方案或者方案未经审批擅自作业。</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2.未在有限空间作业场所设置明显的安全警示标志。</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3.未向作业人员提供符合国家标准或者行业标准的安全帽、全身式安全带、三脚架、安全绳，以及与作业环境危险有害因素相适应的检测报警仪器、正压式呼吸器等劳动防护用品。</w:t>
      </w:r>
    </w:p>
    <w:p>
      <w:pPr>
        <w:keepNext w:val="0"/>
        <w:keepLines w:val="0"/>
        <w:pageBreakBefore w:val="0"/>
        <w:widowControl w:val="0"/>
        <w:kinsoku/>
        <w:wordWrap/>
        <w:overflowPunct/>
        <w:topLinePunct w:val="0"/>
        <w:autoSpaceDE/>
        <w:autoSpaceDN/>
        <w:bidi w:val="0"/>
        <w:adjustRightInd/>
        <w:snapToGrid/>
        <w:spacing w:line="592"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sectPr>
          <w:footerReference r:id="rId4" w:type="default"/>
          <w:pgSz w:w="11850" w:h="16783"/>
          <w:pgMar w:top="1587" w:right="1474" w:bottom="1587" w:left="1474"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仿宋_GB2312" w:hAnsi="仿宋_GB2312" w:eastAsia="仿宋_GB2312" w:cs="仿宋_GB2312"/>
          <w:color w:val="000000"/>
          <w:sz w:val="32"/>
          <w:szCs w:val="32"/>
          <w:lang w:val="en-US" w:eastAsia="zh-CN"/>
        </w:rPr>
        <w:t>4.未对承包单位的有限空间作业统一协调、管理。</w:t>
      </w:r>
    </w:p>
    <w:p>
      <w:pPr>
        <w:keepNext w:val="0"/>
        <w:keepLines w:val="0"/>
        <w:pageBreakBefore w:val="0"/>
        <w:widowControl w:val="0"/>
        <w:kinsoku/>
        <w:wordWrap/>
        <w:overflowPunct/>
        <w:topLinePunct w:val="0"/>
        <w:autoSpaceDE/>
        <w:bidi w:val="0"/>
        <w:spacing w:line="592" w:lineRule="exact"/>
        <w:jc w:val="left"/>
        <w:textAlignment w:val="auto"/>
        <w:rPr>
          <w:rFonts w:hint="eastAsia" w:ascii="微软雅黑" w:hAnsi="微软雅黑" w:eastAsia="微软雅黑" w:cs="微软雅黑"/>
          <w:color w:val="auto"/>
          <w:sz w:val="44"/>
          <w:szCs w:val="44"/>
        </w:rPr>
      </w:pPr>
      <w:r>
        <w:rPr>
          <w:rFonts w:hint="eastAsia" w:ascii="仿宋_GB2312" w:hAnsi="仿宋_GB2312" w:eastAsia="仿宋_GB2312" w:cs="仿宋_GB2312"/>
          <w:color w:val="auto"/>
          <w:sz w:val="30"/>
          <w:szCs w:val="30"/>
        </w:rPr>
        <w:t>附件3：</w:t>
      </w:r>
    </w:p>
    <w:p>
      <w:pPr>
        <w:keepNext w:val="0"/>
        <w:keepLines w:val="0"/>
        <w:pageBreakBefore w:val="0"/>
        <w:widowControl w:val="0"/>
        <w:kinsoku/>
        <w:wordWrap/>
        <w:overflowPunct/>
        <w:topLinePunct w:val="0"/>
        <w:autoSpaceDE/>
        <w:bidi w:val="0"/>
        <w:spacing w:afterLines="50" w:line="592" w:lineRule="exact"/>
        <w:jc w:val="center"/>
        <w:textAlignment w:val="auto"/>
        <w:rPr>
          <w:rFonts w:hint="eastAsia" w:ascii="微软雅黑" w:hAnsi="微软雅黑" w:eastAsia="微软雅黑" w:cs="微软雅黑"/>
          <w:color w:val="auto"/>
          <w:sz w:val="44"/>
          <w:szCs w:val="44"/>
        </w:rPr>
      </w:pPr>
      <w:r>
        <w:rPr>
          <w:rFonts w:hint="eastAsia" w:ascii="微软雅黑" w:hAnsi="微软雅黑" w:eastAsia="微软雅黑" w:cs="微软雅黑"/>
          <w:color w:val="auto"/>
          <w:sz w:val="44"/>
          <w:szCs w:val="44"/>
          <w:lang w:eastAsia="zh-CN"/>
        </w:rPr>
        <w:t>202</w:t>
      </w:r>
      <w:r>
        <w:rPr>
          <w:rFonts w:hint="eastAsia" w:ascii="微软雅黑" w:hAnsi="微软雅黑" w:eastAsia="微软雅黑" w:cs="微软雅黑"/>
          <w:color w:val="auto"/>
          <w:sz w:val="44"/>
          <w:szCs w:val="44"/>
          <w:lang w:val="en-US" w:eastAsia="zh-CN"/>
        </w:rPr>
        <w:t>6</w:t>
      </w:r>
      <w:r>
        <w:rPr>
          <w:rFonts w:hint="eastAsia" w:ascii="微软雅黑" w:hAnsi="微软雅黑" w:eastAsia="微软雅黑" w:cs="微软雅黑"/>
          <w:color w:val="auto"/>
          <w:sz w:val="44"/>
          <w:szCs w:val="44"/>
          <w:lang w:eastAsia="zh-CN"/>
        </w:rPr>
        <w:t>年</w:t>
      </w:r>
      <w:r>
        <w:rPr>
          <w:rFonts w:hint="eastAsia" w:ascii="微软雅黑" w:hAnsi="微软雅黑" w:eastAsia="微软雅黑" w:cs="微软雅黑"/>
          <w:color w:val="auto"/>
          <w:sz w:val="44"/>
          <w:szCs w:val="44"/>
        </w:rPr>
        <w:t>监督检查时间及任务分配表</w:t>
      </w:r>
    </w:p>
    <w:tbl>
      <w:tblPr>
        <w:tblStyle w:val="7"/>
        <w:tblW w:w="141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20"/>
        <w:gridCol w:w="1125"/>
        <w:gridCol w:w="1110"/>
        <w:gridCol w:w="1200"/>
        <w:gridCol w:w="1215"/>
        <w:gridCol w:w="1095"/>
        <w:gridCol w:w="1170"/>
        <w:gridCol w:w="1125"/>
        <w:gridCol w:w="1125"/>
        <w:gridCol w:w="8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0" w:type="dxa"/>
            <w:vMerge w:val="restart"/>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8"/>
                <w:szCs w:val="28"/>
                <w:vertAlign w:val="baseline"/>
                <w:lang w:val="en-US" w:eastAsia="zh-CN"/>
              </w:rPr>
            </w:pPr>
            <w:r>
              <w:rPr>
                <w:rFonts w:hint="eastAsia" w:ascii="黑体" w:hAnsi="黑体" w:eastAsia="黑体" w:cs="黑体"/>
                <w:b w:val="0"/>
                <w:bCs w:val="0"/>
                <w:color w:val="auto"/>
                <w:sz w:val="28"/>
                <w:szCs w:val="28"/>
                <w:vertAlign w:val="baseline"/>
                <w:lang w:val="en-US" w:eastAsia="zh-CN"/>
              </w:rPr>
              <w:t>单位</w:t>
            </w:r>
          </w:p>
        </w:tc>
        <w:tc>
          <w:tcPr>
            <w:tcW w:w="2235" w:type="dxa"/>
            <w:gridSpan w:val="2"/>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lang w:eastAsia="zh-CN"/>
              </w:rPr>
            </w:pPr>
            <w:r>
              <w:rPr>
                <w:rFonts w:hint="eastAsia" w:ascii="黑体" w:hAnsi="黑体" w:eastAsia="黑体" w:cs="黑体"/>
                <w:b w:val="0"/>
                <w:bCs w:val="0"/>
                <w:color w:val="auto"/>
                <w:sz w:val="21"/>
                <w:szCs w:val="21"/>
                <w:vertAlign w:val="baseline"/>
                <w:lang w:eastAsia="zh-CN"/>
              </w:rPr>
              <w:t>第一季度</w:t>
            </w:r>
          </w:p>
        </w:tc>
        <w:tc>
          <w:tcPr>
            <w:tcW w:w="2415" w:type="dxa"/>
            <w:gridSpan w:val="2"/>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lang w:eastAsia="zh-CN"/>
              </w:rPr>
            </w:pPr>
            <w:r>
              <w:rPr>
                <w:rFonts w:hint="eastAsia" w:ascii="黑体" w:hAnsi="黑体" w:eastAsia="黑体" w:cs="黑体"/>
                <w:b w:val="0"/>
                <w:bCs w:val="0"/>
                <w:color w:val="auto"/>
                <w:sz w:val="21"/>
                <w:szCs w:val="21"/>
                <w:vertAlign w:val="baseline"/>
                <w:lang w:eastAsia="zh-CN"/>
              </w:rPr>
              <w:t>第二季度</w:t>
            </w:r>
          </w:p>
        </w:tc>
        <w:tc>
          <w:tcPr>
            <w:tcW w:w="2265" w:type="dxa"/>
            <w:gridSpan w:val="2"/>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lang w:eastAsia="zh-CN"/>
              </w:rPr>
            </w:pPr>
            <w:r>
              <w:rPr>
                <w:rFonts w:hint="eastAsia" w:ascii="黑体" w:hAnsi="黑体" w:eastAsia="黑体" w:cs="黑体"/>
                <w:b w:val="0"/>
                <w:bCs w:val="0"/>
                <w:color w:val="auto"/>
                <w:sz w:val="21"/>
                <w:szCs w:val="21"/>
                <w:vertAlign w:val="baseline"/>
                <w:lang w:eastAsia="zh-CN"/>
              </w:rPr>
              <w:t>第三季度</w:t>
            </w:r>
          </w:p>
        </w:tc>
        <w:tc>
          <w:tcPr>
            <w:tcW w:w="2250" w:type="dxa"/>
            <w:gridSpan w:val="2"/>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lang w:eastAsia="zh-CN"/>
              </w:rPr>
            </w:pPr>
            <w:r>
              <w:rPr>
                <w:rFonts w:hint="eastAsia" w:ascii="黑体" w:hAnsi="黑体" w:eastAsia="黑体" w:cs="黑体"/>
                <w:b w:val="0"/>
                <w:bCs w:val="0"/>
                <w:color w:val="auto"/>
                <w:sz w:val="21"/>
                <w:szCs w:val="21"/>
                <w:vertAlign w:val="baseline"/>
                <w:lang w:eastAsia="zh-CN"/>
              </w:rPr>
              <w:t>第四季度</w:t>
            </w:r>
          </w:p>
        </w:tc>
        <w:tc>
          <w:tcPr>
            <w:tcW w:w="834" w:type="dxa"/>
            <w:vMerge w:val="restart"/>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32"/>
                <w:szCs w:val="32"/>
                <w:vertAlign w:val="baseline"/>
                <w:lang w:eastAsia="zh-CN"/>
              </w:rPr>
            </w:pPr>
            <w:r>
              <w:rPr>
                <w:rFonts w:hint="eastAsia" w:ascii="黑体" w:hAnsi="黑体" w:eastAsia="黑体" w:cs="黑体"/>
                <w:color w:val="auto"/>
                <w:sz w:val="32"/>
                <w:szCs w:val="32"/>
                <w:vertAlign w:val="baseline"/>
                <w:lang w:eastAsia="zh-CN"/>
              </w:rPr>
              <w:t>小计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trPr>
        <w:tc>
          <w:tcPr>
            <w:tcW w:w="4120" w:type="dxa"/>
            <w:vMerge w:val="continue"/>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8"/>
                <w:szCs w:val="28"/>
                <w:vertAlign w:val="baseline"/>
              </w:rPr>
            </w:pP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lang w:eastAsia="zh-CN"/>
              </w:rPr>
            </w:pPr>
            <w:r>
              <w:rPr>
                <w:rFonts w:hint="eastAsia" w:ascii="黑体" w:hAnsi="黑体" w:eastAsia="黑体" w:cs="黑体"/>
                <w:b w:val="0"/>
                <w:bCs w:val="0"/>
                <w:color w:val="auto"/>
                <w:sz w:val="21"/>
                <w:szCs w:val="21"/>
                <w:vertAlign w:val="baseline"/>
                <w:lang w:eastAsia="zh-CN"/>
              </w:rPr>
              <w:t>重点检查企业</w:t>
            </w:r>
          </w:p>
        </w:tc>
        <w:tc>
          <w:tcPr>
            <w:tcW w:w="111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lang w:eastAsia="zh-CN"/>
              </w:rPr>
            </w:pPr>
            <w:r>
              <w:rPr>
                <w:rFonts w:hint="eastAsia" w:ascii="黑体" w:hAnsi="黑体" w:eastAsia="黑体" w:cs="黑体"/>
                <w:b w:val="0"/>
                <w:bCs w:val="0"/>
                <w:color w:val="auto"/>
                <w:sz w:val="21"/>
                <w:szCs w:val="21"/>
                <w:vertAlign w:val="baseline"/>
                <w:lang w:eastAsia="zh-CN"/>
              </w:rPr>
              <w:t>一般检查企业</w:t>
            </w:r>
          </w:p>
        </w:tc>
        <w:tc>
          <w:tcPr>
            <w:tcW w:w="120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rPr>
            </w:pPr>
            <w:r>
              <w:rPr>
                <w:rFonts w:hint="eastAsia" w:ascii="黑体" w:hAnsi="黑体" w:eastAsia="黑体" w:cs="黑体"/>
                <w:b w:val="0"/>
                <w:bCs w:val="0"/>
                <w:color w:val="auto"/>
                <w:sz w:val="21"/>
                <w:szCs w:val="21"/>
                <w:vertAlign w:val="baseline"/>
                <w:lang w:eastAsia="zh-CN"/>
              </w:rPr>
              <w:t>重点检查企业</w:t>
            </w:r>
          </w:p>
        </w:tc>
        <w:tc>
          <w:tcPr>
            <w:tcW w:w="121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rPr>
            </w:pPr>
            <w:r>
              <w:rPr>
                <w:rFonts w:hint="eastAsia" w:ascii="黑体" w:hAnsi="黑体" w:eastAsia="黑体" w:cs="黑体"/>
                <w:b w:val="0"/>
                <w:bCs w:val="0"/>
                <w:color w:val="auto"/>
                <w:sz w:val="21"/>
                <w:szCs w:val="21"/>
                <w:vertAlign w:val="baseline"/>
                <w:lang w:eastAsia="zh-CN"/>
              </w:rPr>
              <w:t>一般检查企业</w:t>
            </w:r>
          </w:p>
        </w:tc>
        <w:tc>
          <w:tcPr>
            <w:tcW w:w="109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rPr>
            </w:pPr>
            <w:r>
              <w:rPr>
                <w:rFonts w:hint="eastAsia" w:ascii="黑体" w:hAnsi="黑体" w:eastAsia="黑体" w:cs="黑体"/>
                <w:b w:val="0"/>
                <w:bCs w:val="0"/>
                <w:color w:val="auto"/>
                <w:sz w:val="21"/>
                <w:szCs w:val="21"/>
                <w:vertAlign w:val="baseline"/>
                <w:lang w:eastAsia="zh-CN"/>
              </w:rPr>
              <w:t>重点检查企业</w:t>
            </w:r>
          </w:p>
        </w:tc>
        <w:tc>
          <w:tcPr>
            <w:tcW w:w="117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rPr>
            </w:pPr>
            <w:r>
              <w:rPr>
                <w:rFonts w:hint="eastAsia" w:ascii="黑体" w:hAnsi="黑体" w:eastAsia="黑体" w:cs="黑体"/>
                <w:b w:val="0"/>
                <w:bCs w:val="0"/>
                <w:color w:val="auto"/>
                <w:sz w:val="21"/>
                <w:szCs w:val="21"/>
                <w:vertAlign w:val="baseline"/>
                <w:lang w:eastAsia="zh-CN"/>
              </w:rPr>
              <w:t>一般检查企业</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rPr>
            </w:pPr>
            <w:r>
              <w:rPr>
                <w:rFonts w:hint="eastAsia" w:ascii="黑体" w:hAnsi="黑体" w:eastAsia="黑体" w:cs="黑体"/>
                <w:b w:val="0"/>
                <w:bCs w:val="0"/>
                <w:color w:val="auto"/>
                <w:sz w:val="21"/>
                <w:szCs w:val="21"/>
                <w:vertAlign w:val="baseline"/>
                <w:lang w:eastAsia="zh-CN"/>
              </w:rPr>
              <w:t>重点检查企业</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黑体" w:hAnsi="黑体" w:eastAsia="黑体" w:cs="黑体"/>
                <w:b w:val="0"/>
                <w:bCs w:val="0"/>
                <w:color w:val="auto"/>
                <w:sz w:val="21"/>
                <w:szCs w:val="21"/>
                <w:vertAlign w:val="baseline"/>
              </w:rPr>
            </w:pPr>
            <w:r>
              <w:rPr>
                <w:rFonts w:hint="eastAsia" w:ascii="黑体" w:hAnsi="黑体" w:eastAsia="黑体" w:cs="黑体"/>
                <w:b w:val="0"/>
                <w:bCs w:val="0"/>
                <w:color w:val="auto"/>
                <w:sz w:val="21"/>
                <w:szCs w:val="21"/>
                <w:vertAlign w:val="baseline"/>
                <w:lang w:eastAsia="zh-CN"/>
              </w:rPr>
              <w:t>一般检查企业</w:t>
            </w:r>
          </w:p>
        </w:tc>
        <w:tc>
          <w:tcPr>
            <w:tcW w:w="834" w:type="dxa"/>
            <w:vMerge w:val="continue"/>
          </w:tcPr>
          <w:p>
            <w:pPr>
              <w:keepNext w:val="0"/>
              <w:keepLines w:val="0"/>
              <w:pageBreakBefore w:val="0"/>
              <w:widowControl w:val="0"/>
              <w:kinsoku/>
              <w:wordWrap/>
              <w:overflowPunct/>
              <w:topLinePunct w:val="0"/>
              <w:autoSpaceDE/>
              <w:bidi w:val="0"/>
              <w:spacing w:line="592" w:lineRule="exact"/>
              <w:textAlignment w:val="auto"/>
              <w:rPr>
                <w:rFonts w:hint="eastAsia" w:ascii="仿宋_GB2312" w:hAnsi="仿宋_GB2312" w:eastAsia="仿宋_GB2312" w:cs="仿宋_GB2312"/>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4120" w:type="dxa"/>
            <w:vAlign w:val="center"/>
          </w:tcPr>
          <w:p>
            <w:pPr>
              <w:keepNext w:val="0"/>
              <w:keepLines w:val="0"/>
              <w:pageBreakBefore w:val="0"/>
              <w:widowControl w:val="0"/>
              <w:kinsoku/>
              <w:wordWrap/>
              <w:overflowPunct/>
              <w:topLinePunct w:val="0"/>
              <w:autoSpaceDE/>
              <w:bidi w:val="0"/>
              <w:adjustRightInd w:val="0"/>
              <w:snapToGrid w:val="0"/>
              <w:spacing w:line="592" w:lineRule="exact"/>
              <w:jc w:val="center"/>
              <w:textAlignment w:val="auto"/>
              <w:rPr>
                <w:rFonts w:hint="eastAsia" w:ascii="仿宋_GB2312" w:hAnsi="仿宋_GB2312" w:eastAsia="仿宋_GB2312" w:cs="仿宋_GB2312"/>
                <w:color w:val="auto"/>
                <w:sz w:val="28"/>
                <w:szCs w:val="28"/>
                <w:vertAlign w:val="baseline"/>
                <w:lang w:eastAsia="zh-CN"/>
              </w:rPr>
            </w:pPr>
            <w:r>
              <w:rPr>
                <w:rFonts w:hint="eastAsia" w:ascii="仿宋_GB2312" w:hAnsi="仿宋_GB2312" w:eastAsia="仿宋_GB2312" w:cs="仿宋_GB2312"/>
                <w:bCs/>
                <w:color w:val="auto"/>
                <w:sz w:val="24"/>
              </w:rPr>
              <w:t>开发区中队</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rPr>
            </w:pPr>
            <w:r>
              <w:rPr>
                <w:rFonts w:hint="eastAsia" w:ascii="仿宋_GB2312" w:hAnsi="仿宋_GB2312" w:eastAsia="仿宋_GB2312" w:cs="仿宋_GB2312"/>
                <w:color w:val="auto"/>
                <w:sz w:val="24"/>
                <w:lang w:val="en-US" w:eastAsia="zh-CN"/>
              </w:rPr>
              <w:t>3</w:t>
            </w:r>
          </w:p>
        </w:tc>
        <w:tc>
          <w:tcPr>
            <w:tcW w:w="111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rPr>
            </w:pPr>
          </w:p>
        </w:tc>
        <w:tc>
          <w:tcPr>
            <w:tcW w:w="120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rPr>
            </w:pPr>
            <w:r>
              <w:rPr>
                <w:rFonts w:hint="eastAsia" w:ascii="仿宋_GB2312" w:hAnsi="仿宋_GB2312" w:eastAsia="仿宋_GB2312" w:cs="仿宋_GB2312"/>
                <w:color w:val="auto"/>
                <w:sz w:val="24"/>
                <w:lang w:val="en-US" w:eastAsia="zh-CN"/>
              </w:rPr>
              <w:t>3</w:t>
            </w:r>
          </w:p>
        </w:tc>
        <w:tc>
          <w:tcPr>
            <w:tcW w:w="121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rPr>
            </w:pPr>
          </w:p>
        </w:tc>
        <w:tc>
          <w:tcPr>
            <w:tcW w:w="109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3</w:t>
            </w:r>
          </w:p>
        </w:tc>
        <w:tc>
          <w:tcPr>
            <w:tcW w:w="117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3</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p>
        </w:tc>
        <w:tc>
          <w:tcPr>
            <w:tcW w:w="834"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default"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4120" w:type="dxa"/>
            <w:vAlign w:val="center"/>
          </w:tcPr>
          <w:p>
            <w:pPr>
              <w:keepNext w:val="0"/>
              <w:keepLines w:val="0"/>
              <w:pageBreakBefore w:val="0"/>
              <w:widowControl w:val="0"/>
              <w:kinsoku/>
              <w:wordWrap/>
              <w:overflowPunct/>
              <w:topLinePunct w:val="0"/>
              <w:autoSpaceDE/>
              <w:bidi w:val="0"/>
              <w:adjustRightInd w:val="0"/>
              <w:snapToGrid w:val="0"/>
              <w:spacing w:line="592" w:lineRule="exact"/>
              <w:jc w:val="center"/>
              <w:textAlignment w:val="auto"/>
              <w:rPr>
                <w:rFonts w:hint="eastAsia" w:ascii="仿宋_GB2312" w:hAnsi="仿宋_GB2312" w:eastAsia="仿宋_GB2312" w:cs="仿宋_GB2312"/>
                <w:color w:val="auto"/>
                <w:sz w:val="28"/>
                <w:szCs w:val="28"/>
                <w:vertAlign w:val="baseline"/>
                <w:lang w:eastAsia="zh-CN"/>
              </w:rPr>
            </w:pPr>
            <w:r>
              <w:rPr>
                <w:rFonts w:hint="eastAsia" w:ascii="仿宋_GB2312" w:hAnsi="仿宋_GB2312" w:eastAsia="仿宋_GB2312" w:cs="仿宋_GB2312"/>
                <w:bCs/>
                <w:color w:val="auto"/>
                <w:sz w:val="24"/>
              </w:rPr>
              <w:t>市区中队</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2</w:t>
            </w:r>
          </w:p>
        </w:tc>
        <w:tc>
          <w:tcPr>
            <w:tcW w:w="111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p>
        </w:tc>
        <w:tc>
          <w:tcPr>
            <w:tcW w:w="120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2</w:t>
            </w:r>
          </w:p>
        </w:tc>
        <w:tc>
          <w:tcPr>
            <w:tcW w:w="121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p>
        </w:tc>
        <w:tc>
          <w:tcPr>
            <w:tcW w:w="109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default"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3</w:t>
            </w:r>
          </w:p>
        </w:tc>
        <w:tc>
          <w:tcPr>
            <w:tcW w:w="117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3</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p>
        </w:tc>
        <w:tc>
          <w:tcPr>
            <w:tcW w:w="834"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default"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4120" w:type="dxa"/>
            <w:vAlign w:val="center"/>
          </w:tcPr>
          <w:p>
            <w:pPr>
              <w:keepNext w:val="0"/>
              <w:keepLines w:val="0"/>
              <w:pageBreakBefore w:val="0"/>
              <w:widowControl w:val="0"/>
              <w:kinsoku/>
              <w:wordWrap/>
              <w:overflowPunct/>
              <w:topLinePunct w:val="0"/>
              <w:autoSpaceDE/>
              <w:bidi w:val="0"/>
              <w:adjustRightInd w:val="0"/>
              <w:snapToGrid w:val="0"/>
              <w:spacing w:line="592" w:lineRule="exact"/>
              <w:jc w:val="center"/>
              <w:textAlignment w:val="auto"/>
              <w:rPr>
                <w:rFonts w:hint="eastAsia" w:ascii="仿宋_GB2312" w:hAnsi="仿宋_GB2312" w:eastAsia="仿宋_GB2312" w:cs="仿宋_GB2312"/>
                <w:color w:val="auto"/>
                <w:sz w:val="28"/>
                <w:szCs w:val="28"/>
                <w:vertAlign w:val="baseline"/>
                <w:lang w:eastAsia="zh-CN"/>
              </w:rPr>
            </w:pPr>
            <w:r>
              <w:rPr>
                <w:rFonts w:hint="eastAsia" w:ascii="仿宋_GB2312" w:hAnsi="仿宋_GB2312" w:eastAsia="仿宋_GB2312" w:cs="仿宋_GB2312"/>
                <w:bCs/>
                <w:color w:val="auto"/>
                <w:sz w:val="24"/>
              </w:rPr>
              <w:t>承安中队</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rPr>
            </w:pPr>
            <w:r>
              <w:rPr>
                <w:rFonts w:hint="eastAsia" w:ascii="仿宋_GB2312" w:hAnsi="仿宋_GB2312" w:eastAsia="仿宋_GB2312" w:cs="仿宋_GB2312"/>
                <w:color w:val="auto"/>
                <w:sz w:val="24"/>
                <w:lang w:val="en-US" w:eastAsia="zh-CN"/>
              </w:rPr>
              <w:t>1</w:t>
            </w:r>
          </w:p>
        </w:tc>
        <w:tc>
          <w:tcPr>
            <w:tcW w:w="111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rPr>
            </w:pPr>
          </w:p>
        </w:tc>
        <w:tc>
          <w:tcPr>
            <w:tcW w:w="120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1</w:t>
            </w:r>
          </w:p>
        </w:tc>
        <w:tc>
          <w:tcPr>
            <w:tcW w:w="121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p>
        </w:tc>
        <w:tc>
          <w:tcPr>
            <w:tcW w:w="109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1</w:t>
            </w:r>
          </w:p>
        </w:tc>
        <w:tc>
          <w:tcPr>
            <w:tcW w:w="117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1</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p>
        </w:tc>
        <w:tc>
          <w:tcPr>
            <w:tcW w:w="834"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4120" w:type="dxa"/>
            <w:vAlign w:val="center"/>
          </w:tcPr>
          <w:p>
            <w:pPr>
              <w:keepNext w:val="0"/>
              <w:keepLines w:val="0"/>
              <w:pageBreakBefore w:val="0"/>
              <w:widowControl w:val="0"/>
              <w:kinsoku/>
              <w:wordWrap/>
              <w:overflowPunct/>
              <w:topLinePunct w:val="0"/>
              <w:autoSpaceDE/>
              <w:bidi w:val="0"/>
              <w:adjustRightInd w:val="0"/>
              <w:snapToGrid w:val="0"/>
              <w:spacing w:line="592" w:lineRule="exact"/>
              <w:jc w:val="center"/>
              <w:textAlignment w:val="auto"/>
              <w:rPr>
                <w:rFonts w:hint="eastAsia" w:ascii="仿宋_GB2312" w:hAnsi="仿宋_GB2312" w:eastAsia="仿宋_GB2312" w:cs="仿宋_GB2312"/>
                <w:color w:val="auto"/>
                <w:sz w:val="28"/>
                <w:szCs w:val="28"/>
                <w:vertAlign w:val="baseline"/>
                <w:lang w:eastAsia="zh-CN"/>
              </w:rPr>
            </w:pPr>
            <w:r>
              <w:rPr>
                <w:rFonts w:hint="eastAsia" w:ascii="仿宋_GB2312" w:hAnsi="仿宋_GB2312" w:eastAsia="仿宋_GB2312" w:cs="仿宋_GB2312"/>
                <w:bCs/>
                <w:color w:val="auto"/>
                <w:sz w:val="24"/>
              </w:rPr>
              <w:t>邯邰中队</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1</w:t>
            </w:r>
          </w:p>
        </w:tc>
        <w:tc>
          <w:tcPr>
            <w:tcW w:w="111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p>
        </w:tc>
        <w:tc>
          <w:tcPr>
            <w:tcW w:w="120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1</w:t>
            </w:r>
          </w:p>
        </w:tc>
        <w:tc>
          <w:tcPr>
            <w:tcW w:w="121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p>
        </w:tc>
        <w:tc>
          <w:tcPr>
            <w:tcW w:w="109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1</w:t>
            </w:r>
          </w:p>
        </w:tc>
        <w:tc>
          <w:tcPr>
            <w:tcW w:w="117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1</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val="en-US" w:eastAsia="zh-CN"/>
              </w:rPr>
            </w:pPr>
          </w:p>
        </w:tc>
        <w:tc>
          <w:tcPr>
            <w:tcW w:w="834"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default" w:ascii="仿宋_GB2312" w:hAnsi="仿宋_GB2312" w:eastAsia="仿宋_GB2312" w:cs="仿宋_GB2312"/>
                <w:color w:val="auto"/>
                <w:sz w:val="28"/>
                <w:szCs w:val="28"/>
                <w:vertAlign w:val="baseline"/>
                <w:lang w:val="en-US" w:eastAsia="zh-CN"/>
              </w:rPr>
            </w:pPr>
            <w:r>
              <w:rPr>
                <w:rFonts w:hint="eastAsia" w:ascii="仿宋_GB2312" w:hAnsi="仿宋_GB2312" w:eastAsia="仿宋_GB2312" w:cs="仿宋_GB2312"/>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8"/>
                <w:szCs w:val="28"/>
                <w:vertAlign w:val="baseline"/>
                <w:lang w:eastAsia="zh-CN"/>
              </w:rPr>
            </w:pPr>
            <w:r>
              <w:rPr>
                <w:rFonts w:hint="eastAsia" w:ascii="仿宋_GB2312" w:hAnsi="仿宋_GB2312" w:eastAsia="仿宋_GB2312" w:cs="仿宋_GB2312"/>
                <w:color w:val="auto"/>
                <w:sz w:val="28"/>
                <w:szCs w:val="28"/>
                <w:vertAlign w:val="baseline"/>
                <w:lang w:eastAsia="zh-CN"/>
              </w:rPr>
              <w:t>合计</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7</w:t>
            </w:r>
          </w:p>
        </w:tc>
        <w:tc>
          <w:tcPr>
            <w:tcW w:w="111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p>
        </w:tc>
        <w:tc>
          <w:tcPr>
            <w:tcW w:w="120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default"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7</w:t>
            </w:r>
          </w:p>
        </w:tc>
        <w:tc>
          <w:tcPr>
            <w:tcW w:w="121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p>
        </w:tc>
        <w:tc>
          <w:tcPr>
            <w:tcW w:w="109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default"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8</w:t>
            </w:r>
          </w:p>
        </w:tc>
        <w:tc>
          <w:tcPr>
            <w:tcW w:w="1170"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default"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8</w:t>
            </w:r>
          </w:p>
        </w:tc>
        <w:tc>
          <w:tcPr>
            <w:tcW w:w="1125"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eastAsia" w:ascii="仿宋_GB2312" w:hAnsi="仿宋_GB2312" w:eastAsia="仿宋_GB2312" w:cs="仿宋_GB2312"/>
                <w:color w:val="auto"/>
                <w:sz w:val="24"/>
                <w:lang w:val="en-US" w:eastAsia="zh-CN"/>
              </w:rPr>
            </w:pPr>
          </w:p>
        </w:tc>
        <w:tc>
          <w:tcPr>
            <w:tcW w:w="834" w:type="dxa"/>
            <w:vAlign w:val="center"/>
          </w:tcPr>
          <w:p>
            <w:pPr>
              <w:keepNext w:val="0"/>
              <w:keepLines w:val="0"/>
              <w:pageBreakBefore w:val="0"/>
              <w:widowControl w:val="0"/>
              <w:kinsoku/>
              <w:wordWrap/>
              <w:overflowPunct/>
              <w:topLinePunct w:val="0"/>
              <w:autoSpaceDE/>
              <w:bidi w:val="0"/>
              <w:spacing w:line="592" w:lineRule="exact"/>
              <w:jc w:val="center"/>
              <w:textAlignment w:val="auto"/>
              <w:rPr>
                <w:rFonts w:hint="default" w:ascii="仿宋_GB2312" w:hAnsi="仿宋_GB2312" w:eastAsia="仿宋_GB2312" w:cs="仿宋_GB2312"/>
                <w:color w:val="auto"/>
                <w:sz w:val="24"/>
                <w:lang w:val="en-US" w:eastAsia="zh-CN"/>
              </w:rPr>
            </w:pPr>
            <w:r>
              <w:rPr>
                <w:rFonts w:hint="eastAsia" w:ascii="仿宋_GB2312" w:hAnsi="仿宋_GB2312" w:eastAsia="仿宋_GB2312" w:cs="仿宋_GB2312"/>
                <w:color w:val="auto"/>
                <w:sz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19" w:type="dxa"/>
            <w:gridSpan w:val="10"/>
          </w:tcPr>
          <w:p>
            <w:pPr>
              <w:keepNext w:val="0"/>
              <w:keepLines w:val="0"/>
              <w:pageBreakBefore w:val="0"/>
              <w:widowControl w:val="0"/>
              <w:kinsoku/>
              <w:wordWrap/>
              <w:overflowPunct/>
              <w:topLinePunct w:val="0"/>
              <w:autoSpaceDE/>
              <w:bidi w:val="0"/>
              <w:spacing w:line="592" w:lineRule="exact"/>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eastAsia="zh-CN"/>
              </w:rPr>
              <w:t>备注：重点检查企业</w:t>
            </w:r>
            <w:r>
              <w:rPr>
                <w:rFonts w:hint="eastAsia" w:ascii="仿宋_GB2312" w:hAnsi="仿宋_GB2312" w:eastAsia="仿宋_GB2312" w:cs="仿宋_GB2312"/>
                <w:color w:val="auto"/>
                <w:sz w:val="32"/>
                <w:szCs w:val="32"/>
                <w:vertAlign w:val="baseline"/>
                <w:lang w:val="en-US" w:eastAsia="zh-CN"/>
              </w:rPr>
              <w:t>30家，一般检查13家，重点检查占计划总数的70%</w:t>
            </w:r>
          </w:p>
        </w:tc>
      </w:tr>
    </w:tbl>
    <w:p>
      <w:pPr>
        <w:keepNext w:val="0"/>
        <w:keepLines w:val="0"/>
        <w:pageBreakBefore w:val="0"/>
        <w:widowControl w:val="0"/>
        <w:kinsoku/>
        <w:wordWrap/>
        <w:overflowPunct/>
        <w:topLinePunct w:val="0"/>
        <w:autoSpaceDE/>
        <w:bidi w:val="0"/>
        <w:spacing w:line="592" w:lineRule="exact"/>
        <w:textAlignment w:val="auto"/>
        <w:rPr>
          <w:rFonts w:hint="eastAsia" w:ascii="仿宋_GB2312" w:hAnsi="仿宋_GB2312" w:eastAsia="仿宋_GB2312" w:cs="仿宋_GB2312"/>
          <w:color w:val="auto"/>
          <w:sz w:val="32"/>
          <w:szCs w:val="32"/>
        </w:rPr>
      </w:pPr>
    </w:p>
    <w:p>
      <w:pPr>
        <w:keepNext w:val="0"/>
        <w:keepLines w:val="0"/>
        <w:pageBreakBefore w:val="0"/>
        <w:kinsoku/>
        <w:wordWrap/>
        <w:overflowPunct/>
        <w:topLinePunct w:val="0"/>
        <w:autoSpaceDE/>
        <w:bidi w:val="0"/>
        <w:spacing w:line="592" w:lineRule="exact"/>
        <w:textAlignment w:val="auto"/>
        <w:rPr>
          <w:rFonts w:hint="eastAsia" w:eastAsia="宋体"/>
          <w:lang w:eastAsia="zh-CN"/>
        </w:rPr>
      </w:pPr>
    </w:p>
    <w:sectPr>
      <w:footerReference r:id="rId5" w:type="default"/>
      <w:pgSz w:w="16783" w:h="11850" w:orient="landscape"/>
      <w:pgMar w:top="1800" w:right="1440" w:bottom="1800" w:left="144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85A9F30-1749-414D-A3A5-600EE1CC2A5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embedRegular r:id="rId2" w:fontKey="{253010A8-C6DC-464B-807B-1471C93235F2}"/>
  </w:font>
  <w:font w:name="仿宋_GB2312">
    <w:panose1 w:val="02010609030101010101"/>
    <w:charset w:val="86"/>
    <w:family w:val="auto"/>
    <w:pitch w:val="default"/>
    <w:sig w:usb0="00000001" w:usb1="080E0000" w:usb2="00000000" w:usb3="00000000" w:csb0="00040000" w:csb1="00000000"/>
    <w:embedRegular r:id="rId3" w:fontKey="{A721E822-D956-4B7E-8611-4B038B807B9A}"/>
  </w:font>
  <w:font w:name="微软雅黑">
    <w:panose1 w:val="020B0503020204020204"/>
    <w:charset w:val="86"/>
    <w:family w:val="auto"/>
    <w:pitch w:val="default"/>
    <w:sig w:usb0="80000287" w:usb1="2ACF3C50" w:usb2="00000016" w:usb3="00000000" w:csb0="0004001F" w:csb1="00000000"/>
    <w:embedRegular r:id="rId4" w:fontKey="{BFEE6C3A-9079-4FF2-AF44-569B321468FB}"/>
  </w:font>
  <w:font w:name="楷体_GB2312">
    <w:panose1 w:val="02010609030101010101"/>
    <w:charset w:val="86"/>
    <w:family w:val="auto"/>
    <w:pitch w:val="default"/>
    <w:sig w:usb0="00000001" w:usb1="080E0000" w:usb2="00000000" w:usb3="00000000" w:csb0="00040000" w:csb1="00000000"/>
    <w:embedRegular r:id="rId5" w:fontKey="{803ABE57-FC4D-4C6F-8A5F-3AAB6AC0F47C}"/>
  </w:font>
  <w:font w:name="方正大标宋_GBK">
    <w:altName w:val="宋体"/>
    <w:panose1 w:val="00000000000000000000"/>
    <w:charset w:val="86"/>
    <w:family w:val="auto"/>
    <w:pitch w:val="default"/>
    <w:sig w:usb0="00000000" w:usb1="00000000" w:usb2="00000010" w:usb3="00000000" w:csb0="00040000" w:csb1="00000000"/>
    <w:embedRegular r:id="rId6" w:fontKey="{340EF392-1E8A-41BC-99EF-82096719B0EE}"/>
  </w:font>
  <w:font w:name="方正仿宋_GBK">
    <w:altName w:val="微软雅黑"/>
    <w:panose1 w:val="03000509000000000000"/>
    <w:charset w:val="86"/>
    <w:family w:val="script"/>
    <w:pitch w:val="default"/>
    <w:sig w:usb0="00000000" w:usb1="00000000" w:usb2="00000010" w:usb3="00000000" w:csb0="00040000" w:csb1="00000000"/>
    <w:embedRegular r:id="rId7" w:fontKey="{76B2BA19-CF0B-4154-A0DB-90ED253D172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4573"/>
      </w:tabs>
      <w:spacing w:before="1" w:line="176" w:lineRule="auto"/>
      <w:ind w:left="7285"/>
      <w:rPr>
        <w:rFonts w:ascii="宋体" w:hAnsi="宋体" w:eastAsia="宋体" w:cs="宋体"/>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r>
      <w:rPr>
        <w:rFonts w:hint="eastAsia" w:ascii="宋体" w:hAnsi="宋体" w:cs="宋体"/>
        <w:sz w:val="28"/>
        <w:szCs w:val="28"/>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 </w:t>
                          </w:r>
                          <w:r>
                            <w:fldChar w:fldCharType="begin"/>
                          </w:r>
                          <w:r>
                            <w:instrText xml:space="preserve"> PAGE  \* MERGEFORMAT </w:instrText>
                          </w:r>
                          <w:r>
                            <w:fldChar w:fldCharType="separate"/>
                          </w:r>
                          <w:r>
                            <w:t>10</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t xml:space="preserve">— </w:t>
                    </w:r>
                    <w:r>
                      <w:fldChar w:fldCharType="begin"/>
                    </w:r>
                    <w:r>
                      <w:instrText xml:space="preserve"> PAGE  \* MERGEFORMAT </w:instrText>
                    </w:r>
                    <w:r>
                      <w:fldChar w:fldCharType="separate"/>
                    </w:r>
                    <w:r>
                      <w:t>10</w:t>
                    </w:r>
                    <w:r>
                      <w:fldChar w:fldCharType="end"/>
                    </w:r>
                    <w:r>
                      <w:t xml:space="preserve"> —</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asciiTheme="minorEastAsia" w:hAnsiTheme="minorEastAsia" w:cstheme="minorEastAsia"/>
                              <w:sz w:val="24"/>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pPr>
                      <w:snapToGrid w:val="0"/>
                      <w:rPr>
                        <w:rFonts w:asciiTheme="minorEastAsia" w:hAnsiTheme="minorEastAsia" w:cstheme="minorEastAsia"/>
                        <w:sz w:val="24"/>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eastAsiaTheme="minorEastAsia"/>
                              <w:lang w:eastAsia="zh-CN"/>
                            </w:rPr>
                            <w:t xml:space="preserve">— </w:t>
                          </w:r>
                          <w:r>
                            <w:rPr>
                              <w:rFonts w:hint="eastAsia" w:eastAsiaTheme="minorEastAsia"/>
                              <w:lang w:eastAsia="zh-CN"/>
                            </w:rPr>
                            <w:fldChar w:fldCharType="begin"/>
                          </w:r>
                          <w:r>
                            <w:rPr>
                              <w:rFonts w:hint="eastAsia" w:eastAsiaTheme="minorEastAsia"/>
                              <w:lang w:eastAsia="zh-CN"/>
                            </w:rPr>
                            <w:instrText xml:space="preserve"> PAGE  \* MERGEFORMAT </w:instrText>
                          </w:r>
                          <w:r>
                            <w:rPr>
                              <w:rFonts w:hint="eastAsia" w:eastAsiaTheme="minorEastAsia"/>
                              <w:lang w:eastAsia="zh-CN"/>
                            </w:rPr>
                            <w:fldChar w:fldCharType="separate"/>
                          </w:r>
                          <w:r>
                            <w:rPr>
                              <w:rFonts w:hint="eastAsia" w:eastAsiaTheme="minorEastAsia"/>
                              <w:lang w:eastAsia="zh-CN"/>
                            </w:rPr>
                            <w:t>23</w:t>
                          </w:r>
                          <w:r>
                            <w:rPr>
                              <w:rFonts w:hint="eastAsia" w:eastAsiaTheme="minorEastAsia"/>
                              <w:lang w:eastAsia="zh-CN"/>
                            </w:rPr>
                            <w:fldChar w:fldCharType="end"/>
                          </w:r>
                          <w:r>
                            <w:rPr>
                              <w:rFonts w:hint="eastAsia" w:eastAsiaTheme="minorEastAsia"/>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eastAsiaTheme="minorEastAsia"/>
                        <w:lang w:eastAsia="zh-CN"/>
                      </w:rPr>
                      <w:t xml:space="preserve">— </w:t>
                    </w:r>
                    <w:r>
                      <w:rPr>
                        <w:rFonts w:hint="eastAsia" w:eastAsiaTheme="minorEastAsia"/>
                        <w:lang w:eastAsia="zh-CN"/>
                      </w:rPr>
                      <w:fldChar w:fldCharType="begin"/>
                    </w:r>
                    <w:r>
                      <w:rPr>
                        <w:rFonts w:hint="eastAsia" w:eastAsiaTheme="minorEastAsia"/>
                        <w:lang w:eastAsia="zh-CN"/>
                      </w:rPr>
                      <w:instrText xml:space="preserve"> PAGE  \* MERGEFORMAT </w:instrText>
                    </w:r>
                    <w:r>
                      <w:rPr>
                        <w:rFonts w:hint="eastAsia" w:eastAsiaTheme="minorEastAsia"/>
                        <w:lang w:eastAsia="zh-CN"/>
                      </w:rPr>
                      <w:fldChar w:fldCharType="separate"/>
                    </w:r>
                    <w:r>
                      <w:rPr>
                        <w:rFonts w:hint="eastAsia" w:eastAsiaTheme="minorEastAsia"/>
                        <w:lang w:eastAsia="zh-CN"/>
                      </w:rPr>
                      <w:t>23</w:t>
                    </w:r>
                    <w:r>
                      <w:rPr>
                        <w:rFonts w:hint="eastAsia" w:eastAsiaTheme="minorEastAsia"/>
                        <w:lang w:eastAsia="zh-CN"/>
                      </w:rPr>
                      <w:fldChar w:fldCharType="end"/>
                    </w:r>
                    <w:r>
                      <w:rPr>
                        <w:rFonts w:hint="eastAsia" w:eastAsiaTheme="minorEastAsia"/>
                        <w:lang w:eastAsia="zh-CN"/>
                      </w:rPr>
                      <w:t xml:space="preserve"> —</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asciiTheme="minorEastAsia" w:hAnsiTheme="minorEastAsia" w:cstheme="minorEastAsia"/>
                              <w:sz w:val="24"/>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pPr>
                      <w:snapToGrid w:val="0"/>
                      <w:rPr>
                        <w:rFonts w:asciiTheme="minorEastAsia" w:hAnsiTheme="minorEastAsia" w:cstheme="minorEastAsia"/>
                        <w:sz w:val="24"/>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6F3FAD"/>
    <w:multiLevelType w:val="singleLevel"/>
    <w:tmpl w:val="8E6F3FAD"/>
    <w:lvl w:ilvl="0" w:tentative="0">
      <w:start w:val="3"/>
      <w:numFmt w:val="chineseCounting"/>
      <w:suff w:val="nothing"/>
      <w:lvlText w:val="（%1）"/>
      <w:lvlJc w:val="left"/>
      <w:rPr>
        <w:rFonts w:hint="eastAsia"/>
      </w:rPr>
    </w:lvl>
  </w:abstractNum>
  <w:abstractNum w:abstractNumId="1">
    <w:nsid w:val="1441272C"/>
    <w:multiLevelType w:val="singleLevel"/>
    <w:tmpl w:val="1441272C"/>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1NDVkZTEyMTJjM2UwOTg2NWM4YjVkOGQyMTAyMzEifQ=="/>
  </w:docVars>
  <w:rsids>
    <w:rsidRoot w:val="34E75E72"/>
    <w:rsid w:val="004C24F9"/>
    <w:rsid w:val="009739AC"/>
    <w:rsid w:val="00D336A4"/>
    <w:rsid w:val="00F7720E"/>
    <w:rsid w:val="00F94428"/>
    <w:rsid w:val="01027B72"/>
    <w:rsid w:val="011D5634"/>
    <w:rsid w:val="01556B99"/>
    <w:rsid w:val="015D0CF0"/>
    <w:rsid w:val="015E4F96"/>
    <w:rsid w:val="016603C3"/>
    <w:rsid w:val="01AB22BE"/>
    <w:rsid w:val="01B90C41"/>
    <w:rsid w:val="01DB7178"/>
    <w:rsid w:val="01E96EC9"/>
    <w:rsid w:val="01F36BF9"/>
    <w:rsid w:val="021860CF"/>
    <w:rsid w:val="0220652A"/>
    <w:rsid w:val="023F3191"/>
    <w:rsid w:val="02765598"/>
    <w:rsid w:val="029537EE"/>
    <w:rsid w:val="02B4342B"/>
    <w:rsid w:val="02DF79F6"/>
    <w:rsid w:val="02E07BB7"/>
    <w:rsid w:val="02EB6E7B"/>
    <w:rsid w:val="032B4E5C"/>
    <w:rsid w:val="036220D3"/>
    <w:rsid w:val="03771B6D"/>
    <w:rsid w:val="037975CE"/>
    <w:rsid w:val="037F3A31"/>
    <w:rsid w:val="03A56AFC"/>
    <w:rsid w:val="03E5510A"/>
    <w:rsid w:val="03E96A61"/>
    <w:rsid w:val="03F16915"/>
    <w:rsid w:val="03F329E5"/>
    <w:rsid w:val="03FF772B"/>
    <w:rsid w:val="04131EBF"/>
    <w:rsid w:val="04314D74"/>
    <w:rsid w:val="04503D36"/>
    <w:rsid w:val="04781ACE"/>
    <w:rsid w:val="0491416A"/>
    <w:rsid w:val="0491526B"/>
    <w:rsid w:val="04AB33FA"/>
    <w:rsid w:val="050106B6"/>
    <w:rsid w:val="0574392A"/>
    <w:rsid w:val="05791EDF"/>
    <w:rsid w:val="05831A05"/>
    <w:rsid w:val="058732AD"/>
    <w:rsid w:val="0596466B"/>
    <w:rsid w:val="05BD7C07"/>
    <w:rsid w:val="05E81FA6"/>
    <w:rsid w:val="05EF7B9B"/>
    <w:rsid w:val="05F8421B"/>
    <w:rsid w:val="06166783"/>
    <w:rsid w:val="061F2E20"/>
    <w:rsid w:val="06261820"/>
    <w:rsid w:val="063A4502"/>
    <w:rsid w:val="065814F1"/>
    <w:rsid w:val="066E32B7"/>
    <w:rsid w:val="067E3243"/>
    <w:rsid w:val="069A4928"/>
    <w:rsid w:val="069C28C3"/>
    <w:rsid w:val="069C2A6F"/>
    <w:rsid w:val="06EE41F4"/>
    <w:rsid w:val="075501FC"/>
    <w:rsid w:val="077F089C"/>
    <w:rsid w:val="079E3C45"/>
    <w:rsid w:val="07B04756"/>
    <w:rsid w:val="07B50DE3"/>
    <w:rsid w:val="07D465A1"/>
    <w:rsid w:val="082513C7"/>
    <w:rsid w:val="08552E04"/>
    <w:rsid w:val="088318C2"/>
    <w:rsid w:val="08C466DE"/>
    <w:rsid w:val="08E200DF"/>
    <w:rsid w:val="08EE04EE"/>
    <w:rsid w:val="09317B3B"/>
    <w:rsid w:val="097E1D1B"/>
    <w:rsid w:val="09836421"/>
    <w:rsid w:val="09952AD9"/>
    <w:rsid w:val="09A002A6"/>
    <w:rsid w:val="09A31B3F"/>
    <w:rsid w:val="0A0371CE"/>
    <w:rsid w:val="0A0D7472"/>
    <w:rsid w:val="0A4E13C8"/>
    <w:rsid w:val="0A6027F1"/>
    <w:rsid w:val="0A6A62B4"/>
    <w:rsid w:val="0A873D6D"/>
    <w:rsid w:val="0A933E5A"/>
    <w:rsid w:val="0AA25292"/>
    <w:rsid w:val="0AA72B60"/>
    <w:rsid w:val="0ABC3CBF"/>
    <w:rsid w:val="0AF14A93"/>
    <w:rsid w:val="0B2D30EA"/>
    <w:rsid w:val="0B36691C"/>
    <w:rsid w:val="0B532EA4"/>
    <w:rsid w:val="0B737BAA"/>
    <w:rsid w:val="0BDD0A16"/>
    <w:rsid w:val="0BE27D5C"/>
    <w:rsid w:val="0BF7670C"/>
    <w:rsid w:val="0C2220D0"/>
    <w:rsid w:val="0C492DB7"/>
    <w:rsid w:val="0C5B0590"/>
    <w:rsid w:val="0C6960FC"/>
    <w:rsid w:val="0CCE2C6B"/>
    <w:rsid w:val="0D107068"/>
    <w:rsid w:val="0D276558"/>
    <w:rsid w:val="0D29706D"/>
    <w:rsid w:val="0D6F266A"/>
    <w:rsid w:val="0DA50428"/>
    <w:rsid w:val="0DC52EB6"/>
    <w:rsid w:val="0DE442A6"/>
    <w:rsid w:val="0E11004A"/>
    <w:rsid w:val="0E3518A3"/>
    <w:rsid w:val="0E7A213F"/>
    <w:rsid w:val="0EA56F45"/>
    <w:rsid w:val="0EBC5C54"/>
    <w:rsid w:val="0EC03E55"/>
    <w:rsid w:val="0F2253FF"/>
    <w:rsid w:val="0F6B6387"/>
    <w:rsid w:val="0FF642CA"/>
    <w:rsid w:val="100952F0"/>
    <w:rsid w:val="10140F2D"/>
    <w:rsid w:val="1026535B"/>
    <w:rsid w:val="10361FE8"/>
    <w:rsid w:val="107A066F"/>
    <w:rsid w:val="10B307C6"/>
    <w:rsid w:val="10B56597"/>
    <w:rsid w:val="10C111CB"/>
    <w:rsid w:val="10D3115B"/>
    <w:rsid w:val="11460C35"/>
    <w:rsid w:val="11754D10"/>
    <w:rsid w:val="1182166F"/>
    <w:rsid w:val="119C2FD9"/>
    <w:rsid w:val="11D36F4F"/>
    <w:rsid w:val="11F96700"/>
    <w:rsid w:val="121A0FCF"/>
    <w:rsid w:val="123E0CB3"/>
    <w:rsid w:val="124318AA"/>
    <w:rsid w:val="127F7336"/>
    <w:rsid w:val="12981A27"/>
    <w:rsid w:val="12A47C92"/>
    <w:rsid w:val="12B42F58"/>
    <w:rsid w:val="12F164B9"/>
    <w:rsid w:val="130D11EC"/>
    <w:rsid w:val="1398205B"/>
    <w:rsid w:val="13AE369B"/>
    <w:rsid w:val="13CC388D"/>
    <w:rsid w:val="13E34CFC"/>
    <w:rsid w:val="13E52B4A"/>
    <w:rsid w:val="13EA50DA"/>
    <w:rsid w:val="13F56BD4"/>
    <w:rsid w:val="14225F29"/>
    <w:rsid w:val="14241C0D"/>
    <w:rsid w:val="14605BF5"/>
    <w:rsid w:val="14956C72"/>
    <w:rsid w:val="14CF23E3"/>
    <w:rsid w:val="14D51B92"/>
    <w:rsid w:val="14D83F83"/>
    <w:rsid w:val="152E17D2"/>
    <w:rsid w:val="15341992"/>
    <w:rsid w:val="15372884"/>
    <w:rsid w:val="156F56F9"/>
    <w:rsid w:val="15711A0F"/>
    <w:rsid w:val="157D3D5D"/>
    <w:rsid w:val="15C522DF"/>
    <w:rsid w:val="15DC0075"/>
    <w:rsid w:val="162679A0"/>
    <w:rsid w:val="164D6D02"/>
    <w:rsid w:val="16A30DF8"/>
    <w:rsid w:val="16B710EB"/>
    <w:rsid w:val="16EE433B"/>
    <w:rsid w:val="17266B05"/>
    <w:rsid w:val="17327E61"/>
    <w:rsid w:val="175A1F81"/>
    <w:rsid w:val="17BA65D3"/>
    <w:rsid w:val="17E17DF9"/>
    <w:rsid w:val="17F85636"/>
    <w:rsid w:val="18024F7F"/>
    <w:rsid w:val="1821340D"/>
    <w:rsid w:val="182E1A8C"/>
    <w:rsid w:val="18454424"/>
    <w:rsid w:val="18486510"/>
    <w:rsid w:val="18700F1F"/>
    <w:rsid w:val="18711565"/>
    <w:rsid w:val="187C7C1C"/>
    <w:rsid w:val="188956A9"/>
    <w:rsid w:val="18D313E6"/>
    <w:rsid w:val="192B62B6"/>
    <w:rsid w:val="193B6F12"/>
    <w:rsid w:val="195357A6"/>
    <w:rsid w:val="19785695"/>
    <w:rsid w:val="19CD17FF"/>
    <w:rsid w:val="19D51209"/>
    <w:rsid w:val="1A2210ED"/>
    <w:rsid w:val="1A3F38AC"/>
    <w:rsid w:val="1A616A27"/>
    <w:rsid w:val="1A9E0EC8"/>
    <w:rsid w:val="1AA72B48"/>
    <w:rsid w:val="1AB970B2"/>
    <w:rsid w:val="1AD418CB"/>
    <w:rsid w:val="1B010E8C"/>
    <w:rsid w:val="1B1C0B12"/>
    <w:rsid w:val="1B637377"/>
    <w:rsid w:val="1B7F04C0"/>
    <w:rsid w:val="1B863898"/>
    <w:rsid w:val="1B945939"/>
    <w:rsid w:val="1BB23617"/>
    <w:rsid w:val="1BCB4004"/>
    <w:rsid w:val="1BEC34A9"/>
    <w:rsid w:val="1C3377FC"/>
    <w:rsid w:val="1C53369F"/>
    <w:rsid w:val="1C746262"/>
    <w:rsid w:val="1CDF4387"/>
    <w:rsid w:val="1D2304DB"/>
    <w:rsid w:val="1D5B6F25"/>
    <w:rsid w:val="1D6265FA"/>
    <w:rsid w:val="1D6A633B"/>
    <w:rsid w:val="1D8E43E2"/>
    <w:rsid w:val="1D9E7693"/>
    <w:rsid w:val="1DAE1A8B"/>
    <w:rsid w:val="1DCB4726"/>
    <w:rsid w:val="1DD91FEA"/>
    <w:rsid w:val="1E0240B6"/>
    <w:rsid w:val="1E0A2929"/>
    <w:rsid w:val="1E1705F7"/>
    <w:rsid w:val="1E7E2EFD"/>
    <w:rsid w:val="1E813D37"/>
    <w:rsid w:val="1E8E4CF9"/>
    <w:rsid w:val="1EA06614"/>
    <w:rsid w:val="1EC90401"/>
    <w:rsid w:val="1ECC1BBC"/>
    <w:rsid w:val="1ECF1F8F"/>
    <w:rsid w:val="1EEA7436"/>
    <w:rsid w:val="1F12660F"/>
    <w:rsid w:val="1F252A78"/>
    <w:rsid w:val="1F3F1CEE"/>
    <w:rsid w:val="1F482B3D"/>
    <w:rsid w:val="1F5E5EDA"/>
    <w:rsid w:val="1F685522"/>
    <w:rsid w:val="1FD75A40"/>
    <w:rsid w:val="20071226"/>
    <w:rsid w:val="20095843"/>
    <w:rsid w:val="200E6F27"/>
    <w:rsid w:val="204145D6"/>
    <w:rsid w:val="207E6155"/>
    <w:rsid w:val="209C42A2"/>
    <w:rsid w:val="20AF3D2D"/>
    <w:rsid w:val="20B14594"/>
    <w:rsid w:val="20F44684"/>
    <w:rsid w:val="210F42C8"/>
    <w:rsid w:val="214D321D"/>
    <w:rsid w:val="215C5FEF"/>
    <w:rsid w:val="219946B4"/>
    <w:rsid w:val="21BC75E3"/>
    <w:rsid w:val="21C134EA"/>
    <w:rsid w:val="21CD5DDF"/>
    <w:rsid w:val="22457FAB"/>
    <w:rsid w:val="225C5BE5"/>
    <w:rsid w:val="225D5AFD"/>
    <w:rsid w:val="226C08E2"/>
    <w:rsid w:val="226D54CA"/>
    <w:rsid w:val="22D02270"/>
    <w:rsid w:val="22D91422"/>
    <w:rsid w:val="22EF47D7"/>
    <w:rsid w:val="230A42C3"/>
    <w:rsid w:val="231824D7"/>
    <w:rsid w:val="23965F8B"/>
    <w:rsid w:val="23A86BA5"/>
    <w:rsid w:val="23AA5898"/>
    <w:rsid w:val="23FD7DE8"/>
    <w:rsid w:val="240A4BEF"/>
    <w:rsid w:val="246608FE"/>
    <w:rsid w:val="24934FAF"/>
    <w:rsid w:val="249B6A7E"/>
    <w:rsid w:val="24B84536"/>
    <w:rsid w:val="24D86404"/>
    <w:rsid w:val="25323ED6"/>
    <w:rsid w:val="25485D16"/>
    <w:rsid w:val="25524666"/>
    <w:rsid w:val="255E5EC8"/>
    <w:rsid w:val="25823058"/>
    <w:rsid w:val="258E217D"/>
    <w:rsid w:val="25A637AB"/>
    <w:rsid w:val="25B13598"/>
    <w:rsid w:val="25DA3267"/>
    <w:rsid w:val="25F1223D"/>
    <w:rsid w:val="26317C1A"/>
    <w:rsid w:val="26435047"/>
    <w:rsid w:val="267971AA"/>
    <w:rsid w:val="269A479F"/>
    <w:rsid w:val="26A57DA5"/>
    <w:rsid w:val="26B73405"/>
    <w:rsid w:val="26E27AA7"/>
    <w:rsid w:val="26FF15D2"/>
    <w:rsid w:val="27555051"/>
    <w:rsid w:val="275D7993"/>
    <w:rsid w:val="277B0918"/>
    <w:rsid w:val="27A41541"/>
    <w:rsid w:val="27CF1AA2"/>
    <w:rsid w:val="27F5502B"/>
    <w:rsid w:val="280503D1"/>
    <w:rsid w:val="28151394"/>
    <w:rsid w:val="28341C80"/>
    <w:rsid w:val="283F7937"/>
    <w:rsid w:val="286710A3"/>
    <w:rsid w:val="28F73B9E"/>
    <w:rsid w:val="28FD3D6D"/>
    <w:rsid w:val="29057462"/>
    <w:rsid w:val="29077D27"/>
    <w:rsid w:val="29151CDC"/>
    <w:rsid w:val="292E3760"/>
    <w:rsid w:val="2935237A"/>
    <w:rsid w:val="294C25C6"/>
    <w:rsid w:val="2962353F"/>
    <w:rsid w:val="2987624C"/>
    <w:rsid w:val="29A07154"/>
    <w:rsid w:val="29A34563"/>
    <w:rsid w:val="29AA7216"/>
    <w:rsid w:val="29F95CF3"/>
    <w:rsid w:val="2A6D1F9B"/>
    <w:rsid w:val="2A7958D5"/>
    <w:rsid w:val="2A811BE3"/>
    <w:rsid w:val="2A941A5B"/>
    <w:rsid w:val="2AB64A7F"/>
    <w:rsid w:val="2ABC75BA"/>
    <w:rsid w:val="2AD50B7B"/>
    <w:rsid w:val="2AD83AC6"/>
    <w:rsid w:val="2ADB4E83"/>
    <w:rsid w:val="2AE06E97"/>
    <w:rsid w:val="2B0E3794"/>
    <w:rsid w:val="2B54039E"/>
    <w:rsid w:val="2B875073"/>
    <w:rsid w:val="2BA308F2"/>
    <w:rsid w:val="2BC7358B"/>
    <w:rsid w:val="2BCF4BAB"/>
    <w:rsid w:val="2BD72836"/>
    <w:rsid w:val="2BDC7BDC"/>
    <w:rsid w:val="2C477AEA"/>
    <w:rsid w:val="2C481D5F"/>
    <w:rsid w:val="2C6D3886"/>
    <w:rsid w:val="2CAD69F6"/>
    <w:rsid w:val="2CBB6C2F"/>
    <w:rsid w:val="2CF843A5"/>
    <w:rsid w:val="2D0E2DDB"/>
    <w:rsid w:val="2D0F644C"/>
    <w:rsid w:val="2D773D94"/>
    <w:rsid w:val="2DCC62FF"/>
    <w:rsid w:val="2DD167C4"/>
    <w:rsid w:val="2DD94804"/>
    <w:rsid w:val="2DF33F63"/>
    <w:rsid w:val="2E000F6F"/>
    <w:rsid w:val="2E1429E4"/>
    <w:rsid w:val="2E2F3596"/>
    <w:rsid w:val="2E824914"/>
    <w:rsid w:val="2E8725B5"/>
    <w:rsid w:val="2E8D6EDD"/>
    <w:rsid w:val="2EDA5405"/>
    <w:rsid w:val="2EE62816"/>
    <w:rsid w:val="2EEC31A2"/>
    <w:rsid w:val="2F1F18A7"/>
    <w:rsid w:val="2F1F500A"/>
    <w:rsid w:val="2F512104"/>
    <w:rsid w:val="2F8B526A"/>
    <w:rsid w:val="2FB503B4"/>
    <w:rsid w:val="2FC24DFA"/>
    <w:rsid w:val="2FF10100"/>
    <w:rsid w:val="30051584"/>
    <w:rsid w:val="30104145"/>
    <w:rsid w:val="30261BFB"/>
    <w:rsid w:val="3026262B"/>
    <w:rsid w:val="302B3D30"/>
    <w:rsid w:val="30776734"/>
    <w:rsid w:val="30812587"/>
    <w:rsid w:val="30820AE2"/>
    <w:rsid w:val="30853B32"/>
    <w:rsid w:val="3088506B"/>
    <w:rsid w:val="30933C0D"/>
    <w:rsid w:val="30A21A31"/>
    <w:rsid w:val="30E52AF9"/>
    <w:rsid w:val="30FE4BB5"/>
    <w:rsid w:val="31BD0868"/>
    <w:rsid w:val="31CD7C0C"/>
    <w:rsid w:val="31E121E8"/>
    <w:rsid w:val="31E46462"/>
    <w:rsid w:val="3214081A"/>
    <w:rsid w:val="32384DCC"/>
    <w:rsid w:val="32471332"/>
    <w:rsid w:val="32713375"/>
    <w:rsid w:val="32A31A96"/>
    <w:rsid w:val="32A32C97"/>
    <w:rsid w:val="32F65D09"/>
    <w:rsid w:val="33016BB1"/>
    <w:rsid w:val="33686693"/>
    <w:rsid w:val="33E432F2"/>
    <w:rsid w:val="342E62DD"/>
    <w:rsid w:val="34494AF0"/>
    <w:rsid w:val="34642A6B"/>
    <w:rsid w:val="34910D54"/>
    <w:rsid w:val="34B265AC"/>
    <w:rsid w:val="34D33972"/>
    <w:rsid w:val="34E75E72"/>
    <w:rsid w:val="353D3A8B"/>
    <w:rsid w:val="35502ECD"/>
    <w:rsid w:val="3579307F"/>
    <w:rsid w:val="36246C46"/>
    <w:rsid w:val="366264FD"/>
    <w:rsid w:val="36641AFA"/>
    <w:rsid w:val="369441A3"/>
    <w:rsid w:val="36B35E4F"/>
    <w:rsid w:val="36C9369B"/>
    <w:rsid w:val="36E97248"/>
    <w:rsid w:val="36FD3E14"/>
    <w:rsid w:val="370B4D37"/>
    <w:rsid w:val="372041A7"/>
    <w:rsid w:val="372D5726"/>
    <w:rsid w:val="3741502D"/>
    <w:rsid w:val="37700908"/>
    <w:rsid w:val="377C02BE"/>
    <w:rsid w:val="3781707C"/>
    <w:rsid w:val="379A2575"/>
    <w:rsid w:val="37A30261"/>
    <w:rsid w:val="37B21F46"/>
    <w:rsid w:val="37B712AF"/>
    <w:rsid w:val="37F02E7D"/>
    <w:rsid w:val="381A2ADE"/>
    <w:rsid w:val="38295D87"/>
    <w:rsid w:val="38974720"/>
    <w:rsid w:val="389B421C"/>
    <w:rsid w:val="39047736"/>
    <w:rsid w:val="391B15A6"/>
    <w:rsid w:val="39396710"/>
    <w:rsid w:val="39436693"/>
    <w:rsid w:val="395525C3"/>
    <w:rsid w:val="396D2172"/>
    <w:rsid w:val="396E40BC"/>
    <w:rsid w:val="39AD2C39"/>
    <w:rsid w:val="3A335A0C"/>
    <w:rsid w:val="3A392F00"/>
    <w:rsid w:val="3A762B55"/>
    <w:rsid w:val="3AB43A05"/>
    <w:rsid w:val="3ABA50F8"/>
    <w:rsid w:val="3AD70B7F"/>
    <w:rsid w:val="3ADC362D"/>
    <w:rsid w:val="3AF66C5C"/>
    <w:rsid w:val="3B392752"/>
    <w:rsid w:val="3B3933E4"/>
    <w:rsid w:val="3B3F6845"/>
    <w:rsid w:val="3B88578E"/>
    <w:rsid w:val="3BE233AC"/>
    <w:rsid w:val="3BE2400D"/>
    <w:rsid w:val="3BF21361"/>
    <w:rsid w:val="3BF4613E"/>
    <w:rsid w:val="3C02126E"/>
    <w:rsid w:val="3C184D57"/>
    <w:rsid w:val="3C2D034E"/>
    <w:rsid w:val="3C8E76EF"/>
    <w:rsid w:val="3CF04862"/>
    <w:rsid w:val="3D156045"/>
    <w:rsid w:val="3D7E2011"/>
    <w:rsid w:val="3DC76CED"/>
    <w:rsid w:val="3E0041E5"/>
    <w:rsid w:val="3E431CBF"/>
    <w:rsid w:val="3E6F2A6C"/>
    <w:rsid w:val="3EAA7F90"/>
    <w:rsid w:val="3EAF14BF"/>
    <w:rsid w:val="3EF85E6C"/>
    <w:rsid w:val="3F5E306E"/>
    <w:rsid w:val="3F911A05"/>
    <w:rsid w:val="3FAE158D"/>
    <w:rsid w:val="3FCB34EF"/>
    <w:rsid w:val="40023BB6"/>
    <w:rsid w:val="40072EA8"/>
    <w:rsid w:val="400C2C8E"/>
    <w:rsid w:val="405B6441"/>
    <w:rsid w:val="40B71732"/>
    <w:rsid w:val="40CD4AB4"/>
    <w:rsid w:val="414C1232"/>
    <w:rsid w:val="41687EFC"/>
    <w:rsid w:val="416B1B56"/>
    <w:rsid w:val="417A3CC1"/>
    <w:rsid w:val="418A1219"/>
    <w:rsid w:val="41914313"/>
    <w:rsid w:val="41F976E1"/>
    <w:rsid w:val="42073F25"/>
    <w:rsid w:val="42230D1B"/>
    <w:rsid w:val="422C5AEF"/>
    <w:rsid w:val="424C6930"/>
    <w:rsid w:val="42BC2224"/>
    <w:rsid w:val="42CB1AB2"/>
    <w:rsid w:val="42E830A6"/>
    <w:rsid w:val="43215E6B"/>
    <w:rsid w:val="432307B8"/>
    <w:rsid w:val="432F7C5B"/>
    <w:rsid w:val="438828F5"/>
    <w:rsid w:val="43BD3463"/>
    <w:rsid w:val="43E6284A"/>
    <w:rsid w:val="443627BA"/>
    <w:rsid w:val="444B268C"/>
    <w:rsid w:val="44AD3051"/>
    <w:rsid w:val="44AE12D5"/>
    <w:rsid w:val="44BF4927"/>
    <w:rsid w:val="44E65F6D"/>
    <w:rsid w:val="44EF15AC"/>
    <w:rsid w:val="44F72A2A"/>
    <w:rsid w:val="450A3E39"/>
    <w:rsid w:val="454D733B"/>
    <w:rsid w:val="455603EF"/>
    <w:rsid w:val="45970B9C"/>
    <w:rsid w:val="45ED4173"/>
    <w:rsid w:val="46877DA2"/>
    <w:rsid w:val="46C0000A"/>
    <w:rsid w:val="470969AE"/>
    <w:rsid w:val="470E2918"/>
    <w:rsid w:val="470E3CED"/>
    <w:rsid w:val="4764661F"/>
    <w:rsid w:val="47694209"/>
    <w:rsid w:val="476F53C3"/>
    <w:rsid w:val="477D4FD3"/>
    <w:rsid w:val="47862C2E"/>
    <w:rsid w:val="47885B9F"/>
    <w:rsid w:val="47900BAD"/>
    <w:rsid w:val="47987646"/>
    <w:rsid w:val="47A771DC"/>
    <w:rsid w:val="47E4464C"/>
    <w:rsid w:val="47F04785"/>
    <w:rsid w:val="484B58BF"/>
    <w:rsid w:val="48670EF3"/>
    <w:rsid w:val="48693163"/>
    <w:rsid w:val="486F6A21"/>
    <w:rsid w:val="48903B79"/>
    <w:rsid w:val="48A9288E"/>
    <w:rsid w:val="48D6643A"/>
    <w:rsid w:val="48D8743D"/>
    <w:rsid w:val="48E035D2"/>
    <w:rsid w:val="4910065C"/>
    <w:rsid w:val="49126097"/>
    <w:rsid w:val="495B16F8"/>
    <w:rsid w:val="499918FA"/>
    <w:rsid w:val="499F0150"/>
    <w:rsid w:val="49AF4E76"/>
    <w:rsid w:val="49BE3E08"/>
    <w:rsid w:val="49D91EA1"/>
    <w:rsid w:val="49E97538"/>
    <w:rsid w:val="49ED484E"/>
    <w:rsid w:val="4A28782A"/>
    <w:rsid w:val="4A2B6211"/>
    <w:rsid w:val="4A9E42B6"/>
    <w:rsid w:val="4AC022E5"/>
    <w:rsid w:val="4AC92CF5"/>
    <w:rsid w:val="4ADB7B8C"/>
    <w:rsid w:val="4AE64414"/>
    <w:rsid w:val="4B4751D1"/>
    <w:rsid w:val="4B92481D"/>
    <w:rsid w:val="4B9D32B2"/>
    <w:rsid w:val="4BA67E39"/>
    <w:rsid w:val="4BE47234"/>
    <w:rsid w:val="4C005E1F"/>
    <w:rsid w:val="4C1C5467"/>
    <w:rsid w:val="4C2C6F23"/>
    <w:rsid w:val="4C9C5AEA"/>
    <w:rsid w:val="4CA06F60"/>
    <w:rsid w:val="4CEF6EF1"/>
    <w:rsid w:val="4D2E0039"/>
    <w:rsid w:val="4D325464"/>
    <w:rsid w:val="4D5C1E9F"/>
    <w:rsid w:val="4D8C7C7B"/>
    <w:rsid w:val="4D98018A"/>
    <w:rsid w:val="4D9957B7"/>
    <w:rsid w:val="4DB24D87"/>
    <w:rsid w:val="4E8B5424"/>
    <w:rsid w:val="4EE2358A"/>
    <w:rsid w:val="4EE9552E"/>
    <w:rsid w:val="4F2264DE"/>
    <w:rsid w:val="4F656F24"/>
    <w:rsid w:val="4F714F3E"/>
    <w:rsid w:val="4F7F146C"/>
    <w:rsid w:val="4F841F2D"/>
    <w:rsid w:val="4F9C15FE"/>
    <w:rsid w:val="4FB50750"/>
    <w:rsid w:val="4FB542D4"/>
    <w:rsid w:val="4FBF708B"/>
    <w:rsid w:val="4FD70AE4"/>
    <w:rsid w:val="4FE979BE"/>
    <w:rsid w:val="4FEA1D12"/>
    <w:rsid w:val="4FFC34FE"/>
    <w:rsid w:val="50274756"/>
    <w:rsid w:val="50376906"/>
    <w:rsid w:val="50560ADF"/>
    <w:rsid w:val="506B5FB7"/>
    <w:rsid w:val="50731132"/>
    <w:rsid w:val="50F82B74"/>
    <w:rsid w:val="511A2D46"/>
    <w:rsid w:val="51366E55"/>
    <w:rsid w:val="51377683"/>
    <w:rsid w:val="515579B9"/>
    <w:rsid w:val="515F0971"/>
    <w:rsid w:val="51872938"/>
    <w:rsid w:val="51D00B30"/>
    <w:rsid w:val="522E4ACF"/>
    <w:rsid w:val="527245EB"/>
    <w:rsid w:val="53187E00"/>
    <w:rsid w:val="5351530E"/>
    <w:rsid w:val="53532C52"/>
    <w:rsid w:val="53535C6E"/>
    <w:rsid w:val="538C4158"/>
    <w:rsid w:val="53A532EF"/>
    <w:rsid w:val="53AD7604"/>
    <w:rsid w:val="53AF43BA"/>
    <w:rsid w:val="53E13C8C"/>
    <w:rsid w:val="541773B4"/>
    <w:rsid w:val="542779D4"/>
    <w:rsid w:val="54342DA9"/>
    <w:rsid w:val="5445087D"/>
    <w:rsid w:val="54533DD1"/>
    <w:rsid w:val="5456438C"/>
    <w:rsid w:val="54DA0D4E"/>
    <w:rsid w:val="54E2149E"/>
    <w:rsid w:val="54EF639F"/>
    <w:rsid w:val="54FA2814"/>
    <w:rsid w:val="5504765D"/>
    <w:rsid w:val="55142930"/>
    <w:rsid w:val="55202044"/>
    <w:rsid w:val="552E3C55"/>
    <w:rsid w:val="5532561F"/>
    <w:rsid w:val="55650657"/>
    <w:rsid w:val="55806073"/>
    <w:rsid w:val="55BD100D"/>
    <w:rsid w:val="55BE0EC4"/>
    <w:rsid w:val="55D17232"/>
    <w:rsid w:val="55DA73FC"/>
    <w:rsid w:val="55E83572"/>
    <w:rsid w:val="56091792"/>
    <w:rsid w:val="5610582C"/>
    <w:rsid w:val="56240B7F"/>
    <w:rsid w:val="563B7D14"/>
    <w:rsid w:val="56501F01"/>
    <w:rsid w:val="566768DA"/>
    <w:rsid w:val="566B27BE"/>
    <w:rsid w:val="56C112C6"/>
    <w:rsid w:val="56E60318"/>
    <w:rsid w:val="56EE135F"/>
    <w:rsid w:val="56EE24B3"/>
    <w:rsid w:val="57035C78"/>
    <w:rsid w:val="573F760E"/>
    <w:rsid w:val="57526447"/>
    <w:rsid w:val="5762273B"/>
    <w:rsid w:val="578B35C0"/>
    <w:rsid w:val="57EE6F5A"/>
    <w:rsid w:val="58501DB3"/>
    <w:rsid w:val="585F226A"/>
    <w:rsid w:val="586A3B6C"/>
    <w:rsid w:val="587576D8"/>
    <w:rsid w:val="58E83576"/>
    <w:rsid w:val="59024B69"/>
    <w:rsid w:val="590521F0"/>
    <w:rsid w:val="591C50A2"/>
    <w:rsid w:val="59422560"/>
    <w:rsid w:val="595E43E6"/>
    <w:rsid w:val="596C3696"/>
    <w:rsid w:val="598A56A8"/>
    <w:rsid w:val="5994396F"/>
    <w:rsid w:val="59976231"/>
    <w:rsid w:val="59AF510A"/>
    <w:rsid w:val="59D53D45"/>
    <w:rsid w:val="59DB47FD"/>
    <w:rsid w:val="59F42C02"/>
    <w:rsid w:val="5A186C74"/>
    <w:rsid w:val="5AF25847"/>
    <w:rsid w:val="5B1A1EC8"/>
    <w:rsid w:val="5B510EE3"/>
    <w:rsid w:val="5B7C28B7"/>
    <w:rsid w:val="5BA80502"/>
    <w:rsid w:val="5BAF5E31"/>
    <w:rsid w:val="5BCD7451"/>
    <w:rsid w:val="5BF84A80"/>
    <w:rsid w:val="5C5B0884"/>
    <w:rsid w:val="5D0F3FB6"/>
    <w:rsid w:val="5D330555"/>
    <w:rsid w:val="5D57205D"/>
    <w:rsid w:val="5D6C0BC6"/>
    <w:rsid w:val="5D803BA3"/>
    <w:rsid w:val="5D984A20"/>
    <w:rsid w:val="5DCB6C93"/>
    <w:rsid w:val="5DD87BB1"/>
    <w:rsid w:val="5DDD4C25"/>
    <w:rsid w:val="5DED5679"/>
    <w:rsid w:val="5E162D56"/>
    <w:rsid w:val="5E2D2DCB"/>
    <w:rsid w:val="5E5C0A5E"/>
    <w:rsid w:val="5E682BEA"/>
    <w:rsid w:val="5E9A350D"/>
    <w:rsid w:val="5E9B5566"/>
    <w:rsid w:val="5EA10842"/>
    <w:rsid w:val="5EA83B69"/>
    <w:rsid w:val="5EB723CF"/>
    <w:rsid w:val="5F0F1F6C"/>
    <w:rsid w:val="5F1D1BD6"/>
    <w:rsid w:val="5F3479A1"/>
    <w:rsid w:val="5F517622"/>
    <w:rsid w:val="5F792FD9"/>
    <w:rsid w:val="5F81619C"/>
    <w:rsid w:val="5F81623A"/>
    <w:rsid w:val="5FA10041"/>
    <w:rsid w:val="5FBD4730"/>
    <w:rsid w:val="5FC0785E"/>
    <w:rsid w:val="60417F89"/>
    <w:rsid w:val="604E7552"/>
    <w:rsid w:val="60952A0D"/>
    <w:rsid w:val="60A33B50"/>
    <w:rsid w:val="60F02F21"/>
    <w:rsid w:val="61585DBF"/>
    <w:rsid w:val="619628D0"/>
    <w:rsid w:val="61C7443B"/>
    <w:rsid w:val="61D06D14"/>
    <w:rsid w:val="61D2030C"/>
    <w:rsid w:val="61D85BBB"/>
    <w:rsid w:val="622B5367"/>
    <w:rsid w:val="622C5BB0"/>
    <w:rsid w:val="62936E6E"/>
    <w:rsid w:val="62A50D21"/>
    <w:rsid w:val="62C75DAD"/>
    <w:rsid w:val="62FF61C8"/>
    <w:rsid w:val="63093C53"/>
    <w:rsid w:val="631A1780"/>
    <w:rsid w:val="632E3B85"/>
    <w:rsid w:val="63363BA8"/>
    <w:rsid w:val="63450AD5"/>
    <w:rsid w:val="635552CE"/>
    <w:rsid w:val="639B61C3"/>
    <w:rsid w:val="63BB6F57"/>
    <w:rsid w:val="63EB4019"/>
    <w:rsid w:val="640C0320"/>
    <w:rsid w:val="64184515"/>
    <w:rsid w:val="641D5531"/>
    <w:rsid w:val="64287932"/>
    <w:rsid w:val="6460797A"/>
    <w:rsid w:val="648559B0"/>
    <w:rsid w:val="64CE5AD1"/>
    <w:rsid w:val="64E336DF"/>
    <w:rsid w:val="6522519D"/>
    <w:rsid w:val="65613A48"/>
    <w:rsid w:val="65712E51"/>
    <w:rsid w:val="657F0C17"/>
    <w:rsid w:val="658C7718"/>
    <w:rsid w:val="6598361E"/>
    <w:rsid w:val="65AF68E4"/>
    <w:rsid w:val="65B324A8"/>
    <w:rsid w:val="65E97451"/>
    <w:rsid w:val="66140CBF"/>
    <w:rsid w:val="661D78B0"/>
    <w:rsid w:val="66496612"/>
    <w:rsid w:val="66632989"/>
    <w:rsid w:val="66C727E6"/>
    <w:rsid w:val="66E11471"/>
    <w:rsid w:val="66F238A6"/>
    <w:rsid w:val="670B2A64"/>
    <w:rsid w:val="671E5AC3"/>
    <w:rsid w:val="674A2679"/>
    <w:rsid w:val="675C5961"/>
    <w:rsid w:val="67644CB0"/>
    <w:rsid w:val="68481AEE"/>
    <w:rsid w:val="684D6B49"/>
    <w:rsid w:val="6873264C"/>
    <w:rsid w:val="68A65293"/>
    <w:rsid w:val="68BD46FA"/>
    <w:rsid w:val="68E90430"/>
    <w:rsid w:val="692F0918"/>
    <w:rsid w:val="69320F56"/>
    <w:rsid w:val="69335A72"/>
    <w:rsid w:val="693E5FD6"/>
    <w:rsid w:val="69604998"/>
    <w:rsid w:val="69627068"/>
    <w:rsid w:val="696C35F9"/>
    <w:rsid w:val="69992CD3"/>
    <w:rsid w:val="69B55510"/>
    <w:rsid w:val="69EB3192"/>
    <w:rsid w:val="6A43576A"/>
    <w:rsid w:val="6A60179C"/>
    <w:rsid w:val="6A8F3167"/>
    <w:rsid w:val="6AD027CE"/>
    <w:rsid w:val="6AE70193"/>
    <w:rsid w:val="6AEB28BA"/>
    <w:rsid w:val="6B213AD0"/>
    <w:rsid w:val="6B8B5D7D"/>
    <w:rsid w:val="6BB1004E"/>
    <w:rsid w:val="6C462244"/>
    <w:rsid w:val="6C500F71"/>
    <w:rsid w:val="6C507E98"/>
    <w:rsid w:val="6C69440A"/>
    <w:rsid w:val="6C8B307D"/>
    <w:rsid w:val="6C8C0BDB"/>
    <w:rsid w:val="6CA67472"/>
    <w:rsid w:val="6CB110D8"/>
    <w:rsid w:val="6CC017F1"/>
    <w:rsid w:val="6CD84671"/>
    <w:rsid w:val="6D3623E8"/>
    <w:rsid w:val="6D3E1C6A"/>
    <w:rsid w:val="6D4F1943"/>
    <w:rsid w:val="6D615124"/>
    <w:rsid w:val="6D667370"/>
    <w:rsid w:val="6D865B88"/>
    <w:rsid w:val="6DB64F37"/>
    <w:rsid w:val="6DC02DED"/>
    <w:rsid w:val="6DF05EE9"/>
    <w:rsid w:val="6E3B1B6D"/>
    <w:rsid w:val="6E3B7D7C"/>
    <w:rsid w:val="6E5064B3"/>
    <w:rsid w:val="6E6550F2"/>
    <w:rsid w:val="6E74533A"/>
    <w:rsid w:val="6E7E3225"/>
    <w:rsid w:val="6E92317D"/>
    <w:rsid w:val="6E954298"/>
    <w:rsid w:val="6ED01CFD"/>
    <w:rsid w:val="6EE312B8"/>
    <w:rsid w:val="6EFB6720"/>
    <w:rsid w:val="6F7933B4"/>
    <w:rsid w:val="6FB4040C"/>
    <w:rsid w:val="7036698E"/>
    <w:rsid w:val="706D455D"/>
    <w:rsid w:val="70963039"/>
    <w:rsid w:val="70A761BB"/>
    <w:rsid w:val="70CD35E8"/>
    <w:rsid w:val="70D202CC"/>
    <w:rsid w:val="70E04CBC"/>
    <w:rsid w:val="70EE6769"/>
    <w:rsid w:val="710260B0"/>
    <w:rsid w:val="711D70C9"/>
    <w:rsid w:val="713965AD"/>
    <w:rsid w:val="71513970"/>
    <w:rsid w:val="716E1C1D"/>
    <w:rsid w:val="71702084"/>
    <w:rsid w:val="71A51ED4"/>
    <w:rsid w:val="71D0561F"/>
    <w:rsid w:val="71E05943"/>
    <w:rsid w:val="71F546E6"/>
    <w:rsid w:val="71FC6492"/>
    <w:rsid w:val="724A375B"/>
    <w:rsid w:val="7279092B"/>
    <w:rsid w:val="727A5AD0"/>
    <w:rsid w:val="72881DD6"/>
    <w:rsid w:val="728821D5"/>
    <w:rsid w:val="72915223"/>
    <w:rsid w:val="73263829"/>
    <w:rsid w:val="733919D5"/>
    <w:rsid w:val="734F14BC"/>
    <w:rsid w:val="73610C5D"/>
    <w:rsid w:val="73630C43"/>
    <w:rsid w:val="73702CF6"/>
    <w:rsid w:val="7372696E"/>
    <w:rsid w:val="73873544"/>
    <w:rsid w:val="738930F5"/>
    <w:rsid w:val="739316E6"/>
    <w:rsid w:val="740653D6"/>
    <w:rsid w:val="74347666"/>
    <w:rsid w:val="743A7EAA"/>
    <w:rsid w:val="748456E2"/>
    <w:rsid w:val="74B46F89"/>
    <w:rsid w:val="74CE6CD7"/>
    <w:rsid w:val="74E63AC0"/>
    <w:rsid w:val="74F30BA4"/>
    <w:rsid w:val="75657CF0"/>
    <w:rsid w:val="75886F60"/>
    <w:rsid w:val="758918F1"/>
    <w:rsid w:val="75E21A7B"/>
    <w:rsid w:val="761168F8"/>
    <w:rsid w:val="76353167"/>
    <w:rsid w:val="765063F0"/>
    <w:rsid w:val="765D21A9"/>
    <w:rsid w:val="76645EBB"/>
    <w:rsid w:val="76713BFB"/>
    <w:rsid w:val="7673411C"/>
    <w:rsid w:val="76A94019"/>
    <w:rsid w:val="76D3570B"/>
    <w:rsid w:val="77170571"/>
    <w:rsid w:val="77282A09"/>
    <w:rsid w:val="772C7BC8"/>
    <w:rsid w:val="772D424D"/>
    <w:rsid w:val="773F7FA1"/>
    <w:rsid w:val="77762F70"/>
    <w:rsid w:val="77877839"/>
    <w:rsid w:val="77A31E83"/>
    <w:rsid w:val="782212A8"/>
    <w:rsid w:val="784A7F63"/>
    <w:rsid w:val="786747DC"/>
    <w:rsid w:val="786D7C7C"/>
    <w:rsid w:val="789C633C"/>
    <w:rsid w:val="78E72898"/>
    <w:rsid w:val="78FA6C55"/>
    <w:rsid w:val="790B68D3"/>
    <w:rsid w:val="792B4C85"/>
    <w:rsid w:val="794836B5"/>
    <w:rsid w:val="79B85F96"/>
    <w:rsid w:val="79C22511"/>
    <w:rsid w:val="79CB61C0"/>
    <w:rsid w:val="79D75F9C"/>
    <w:rsid w:val="79EE509A"/>
    <w:rsid w:val="79FF486C"/>
    <w:rsid w:val="7A102836"/>
    <w:rsid w:val="7A335AD2"/>
    <w:rsid w:val="7A411496"/>
    <w:rsid w:val="7A565DE9"/>
    <w:rsid w:val="7B456AD1"/>
    <w:rsid w:val="7B4A1018"/>
    <w:rsid w:val="7B8A283C"/>
    <w:rsid w:val="7B9D1277"/>
    <w:rsid w:val="7BA34345"/>
    <w:rsid w:val="7BB15B0F"/>
    <w:rsid w:val="7BCE6A73"/>
    <w:rsid w:val="7BD2086C"/>
    <w:rsid w:val="7C39722D"/>
    <w:rsid w:val="7C492842"/>
    <w:rsid w:val="7C541C8B"/>
    <w:rsid w:val="7C5D7BEC"/>
    <w:rsid w:val="7C73636A"/>
    <w:rsid w:val="7CD16729"/>
    <w:rsid w:val="7CEC0EED"/>
    <w:rsid w:val="7CED402B"/>
    <w:rsid w:val="7CFD3813"/>
    <w:rsid w:val="7CFF5A9C"/>
    <w:rsid w:val="7D1316D8"/>
    <w:rsid w:val="7D2C72D1"/>
    <w:rsid w:val="7D46418C"/>
    <w:rsid w:val="7D83782F"/>
    <w:rsid w:val="7D8D0FE9"/>
    <w:rsid w:val="7DFC36DE"/>
    <w:rsid w:val="7E266041"/>
    <w:rsid w:val="7E45197C"/>
    <w:rsid w:val="7E6C1CF7"/>
    <w:rsid w:val="7E6D67FE"/>
    <w:rsid w:val="7E70220F"/>
    <w:rsid w:val="7EC738C7"/>
    <w:rsid w:val="7EDD5155"/>
    <w:rsid w:val="7EE93B67"/>
    <w:rsid w:val="7EEB3B79"/>
    <w:rsid w:val="7F11601D"/>
    <w:rsid w:val="7F394838"/>
    <w:rsid w:val="7F5C1BAF"/>
    <w:rsid w:val="7F63129E"/>
    <w:rsid w:val="7FBD425C"/>
    <w:rsid w:val="7FC872AE"/>
    <w:rsid w:val="7FCE7F77"/>
    <w:rsid w:val="7FEA5D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widowControl/>
      <w:spacing w:before="100" w:beforeLines="0" w:beforeAutospacing="1" w:after="100" w:afterLines="0" w:afterAutospacing="1"/>
      <w:jc w:val="left"/>
    </w:pPr>
    <w:rPr>
      <w:rFonts w:ascii="宋体" w:hAnsi="宋体"/>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qFormat/>
    <w:uiPriority w:val="0"/>
    <w:rPr>
      <w:color w:val="0000FF"/>
      <w:u w:val="single"/>
    </w:rPr>
  </w:style>
  <w:style w:type="paragraph" w:customStyle="1" w:styleId="10">
    <w:name w:val="正文缩进1"/>
    <w:basedOn w:val="1"/>
    <w:qFormat/>
    <w:uiPriority w:val="0"/>
    <w:pPr>
      <w:ind w:firstLine="420"/>
    </w:pPr>
    <w:rPr>
      <w:szCs w:val="20"/>
    </w:rPr>
  </w:style>
  <w:style w:type="paragraph" w:customStyle="1" w:styleId="11">
    <w:name w:val="p0"/>
    <w:basedOn w:val="1"/>
    <w:qFormat/>
    <w:uiPriority w:val="0"/>
    <w:pPr>
      <w:widowControl/>
    </w:pPr>
  </w:style>
  <w:style w:type="paragraph" w:customStyle="1" w:styleId="12">
    <w:name w:val="HTML 地址1"/>
    <w:basedOn w:val="1"/>
    <w:qFormat/>
    <w:uiPriority w:val="99"/>
    <w:pPr>
      <w:widowControl/>
      <w:spacing w:before="100" w:beforeAutospacing="1" w:after="100" w:afterAutospacing="1"/>
      <w:jc w:val="left"/>
    </w:pPr>
    <w:rPr>
      <w:rFonts w:ascii="宋体" w:hAnsi="宋体" w:cs="黑体"/>
      <w:kern w:val="0"/>
      <w:sz w:val="24"/>
    </w:rPr>
  </w:style>
  <w:style w:type="paragraph" w:customStyle="1" w:styleId="13">
    <w:name w:val="List Paragraph"/>
    <w:basedOn w:val="1"/>
    <w:qFormat/>
    <w:uiPriority w:val="34"/>
    <w:pPr>
      <w:ind w:firstLine="420" w:firstLineChars="200"/>
    </w:pPr>
    <w:rPr>
      <w:rFonts w:ascii="Calibri" w:hAnsi="Calibri" w:cs="黑体"/>
    </w:rPr>
  </w:style>
  <w:style w:type="paragraph" w:customStyle="1" w:styleId="14">
    <w:name w:val="正文-公1"/>
    <w:basedOn w:val="1"/>
    <w:next w:val="1"/>
    <w:qFormat/>
    <w:uiPriority w:val="0"/>
    <w:pPr>
      <w:ind w:firstLine="200" w:firstLineChars="200"/>
      <w:jc w:val="left"/>
    </w:pPr>
    <w:rPr>
      <w:rFonts w:eastAsia="仿宋_GB2312"/>
    </w:rPr>
  </w:style>
  <w:style w:type="paragraph" w:customStyle="1" w:styleId="15">
    <w:name w:val="UserStyle_0"/>
    <w:basedOn w:val="1"/>
    <w:next w:val="1"/>
    <w:qFormat/>
    <w:uiPriority w:val="0"/>
    <w:pPr>
      <w:ind w:firstLine="200" w:firstLineChars="200"/>
      <w:jc w:val="left"/>
    </w:pPr>
    <w:rPr>
      <w:rFonts w:ascii="Times New Roman" w:hAnsi="Times New Roman" w:eastAsia="仿宋_GB231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9868</Words>
  <Characters>10113</Characters>
  <Lines>1</Lines>
  <Paragraphs>1</Paragraphs>
  <TotalTime>0</TotalTime>
  <ScaleCrop>false</ScaleCrop>
  <LinksUpToDate>false</LinksUpToDate>
  <CharactersWithSpaces>10153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2019-03-10T23:25:00Z</dcterms:created>
  <dc:creator>Administrator</dc:creator>
  <cp:lastModifiedBy>Administrator</cp:lastModifiedBy>
  <cp:lastPrinted>2026-01-19T03:03:00Z</cp:lastPrinted>
  <dcterms:modified xsi:type="dcterms:W3CDTF">2026-01-27T01:29:04Z</dcterms:modified>
  <dc:title>附件：</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A0DE03EDB85C4B4F8912DEEDAB8D7023_13</vt:lpwstr>
  </property>
  <property fmtid="{D5CDD505-2E9C-101B-9397-08002B2CF9AE}" pid="4" name="KSOTemplateDocerSaveRecord">
    <vt:lpwstr>eyJoZGlkIjoiYjI4ZGE1MmRjNzhlZDA5NGY2N2FkMTkzY2FlYzU4ZWUiLCJ1c2VySWQiOiIzMDI0NTUwMTMifQ==</vt:lpwstr>
  </property>
</Properties>
</file>