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r>
        <w:rPr>
          <w:rFonts w:ascii="黑体" w:hAnsi="黑体" w:eastAsia="黑体" w:cs="黑体"/>
          <w:b/>
          <w:color w:val="000000"/>
          <w:sz w:val="44"/>
        </w:rPr>
        <w:t>2026年单位预算信息公开目录</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6</w:t>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8</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2"/>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w:t>
      </w:r>
      <w:r>
        <w:fldChar w:fldCharType="end"/>
      </w:r>
      <w:r>
        <w:rPr>
          <w:rFonts w:hint="eastAsia"/>
          <w:lang w:eastAsia="zh-CN"/>
        </w:rPr>
        <w:t>单位</w:t>
      </w:r>
      <w:r>
        <w:t>项目预算安排情况及绩效目标</w:t>
      </w:r>
      <w:r>
        <w:tab/>
      </w:r>
      <w:r>
        <w:rPr>
          <w:rFonts w:hint="eastAsia"/>
          <w:lang w:val="en-US" w:eastAsia="zh-CN"/>
        </w:rPr>
        <w:t>20</w:t>
      </w:r>
    </w:p>
    <w:p>
      <w:pPr>
        <w:pStyle w:val="2"/>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w:t>
      </w:r>
      <w:r>
        <w:fldChar w:fldCharType="end"/>
      </w:r>
      <w:r>
        <w:t>政府采购预算情况</w:t>
      </w:r>
      <w:r>
        <w:tab/>
      </w:r>
      <w:r>
        <w:rPr>
          <w:rFonts w:hint="eastAsia"/>
          <w:lang w:val="en-US" w:eastAsia="zh-CN"/>
        </w:rPr>
        <w:t>24</w:t>
      </w:r>
    </w:p>
    <w:p>
      <w:pPr>
        <w:pStyle w:val="2"/>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w:t>
      </w:r>
      <w:r>
        <w:fldChar w:fldCharType="end"/>
      </w:r>
      <w:r>
        <w:t>国有资产信息</w:t>
      </w:r>
      <w:r>
        <w:tab/>
      </w:r>
      <w:r>
        <w:rPr>
          <w:rFonts w:hint="eastAsia"/>
          <w:lang w:val="en-US" w:eastAsia="zh-CN"/>
        </w:rPr>
        <w:t>24</w:t>
      </w:r>
    </w:p>
    <w:p>
      <w:pPr>
        <w:pStyle w:val="2"/>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w:t>
      </w:r>
      <w:r>
        <w:fldChar w:fldCharType="end"/>
      </w:r>
      <w:r>
        <w:t>名词解释</w:t>
      </w:r>
      <w:r>
        <w:tab/>
      </w:r>
      <w:r>
        <w:rPr>
          <w:rFonts w:hint="eastAsia"/>
          <w:lang w:val="en-US" w:eastAsia="zh-CN"/>
        </w:rPr>
        <w:t>25</w:t>
      </w:r>
    </w:p>
    <w:p>
      <w:pPr>
        <w:pStyle w:val="2"/>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w:t>
      </w:r>
      <w:r>
        <w:fldChar w:fldCharType="end"/>
      </w:r>
      <w:r>
        <w:t>其他需要说明的事项</w:t>
      </w:r>
      <w:r>
        <w:tab/>
      </w:r>
      <w:r>
        <w:rPr>
          <w:rFonts w:hint="eastAsia"/>
          <w:lang w:val="en-US" w:eastAsia="zh-CN"/>
        </w:rPr>
        <w:t>26</w:t>
      </w:r>
    </w:p>
    <w:p>
      <w:pPr>
        <w:sectPr>
          <w:pgSz w:w="16840" w:h="11900" w:orient="landscape"/>
          <w:pgMar w:top="1587" w:right="1134" w:bottom="1361" w:left="1134" w:header="720" w:footer="720" w:gutter="0"/>
          <w:pgNumType w:start="1"/>
          <w:cols w:space="720" w:num="1"/>
        </w:sectPr>
      </w:pPr>
      <w:r>
        <w:fldChar w:fldCharType="end"/>
      </w:r>
      <w:bookmarkStart w:id="1" w:name="_GoBack"/>
      <w:bookmarkEnd w:id="1"/>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一、中国共产党新乐市委员会组织部本级收支预算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203001中国共产党新乐市委员会组织部本级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997.61</w:t>
            </w:r>
          </w:p>
        </w:tc>
        <w:tc>
          <w:tcPr>
            <w:tcW w:w="4535" w:type="dxa"/>
            <w:vAlign w:val="center"/>
          </w:tcPr>
          <w:p>
            <w:pPr>
              <w:pStyle w:val="12"/>
            </w:pPr>
            <w:r>
              <w:t>一、一般公共服务支出</w:t>
            </w:r>
          </w:p>
        </w:tc>
        <w:tc>
          <w:tcPr>
            <w:tcW w:w="2126" w:type="dxa"/>
            <w:vAlign w:val="center"/>
          </w:tcPr>
          <w:p>
            <w:pPr>
              <w:pStyle w:val="11"/>
            </w:pPr>
            <w:r>
              <w:t>810.14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997.61</w:t>
            </w:r>
          </w:p>
        </w:tc>
        <w:tc>
          <w:tcPr>
            <w:tcW w:w="4535" w:type="dxa"/>
            <w:vAlign w:val="center"/>
          </w:tcPr>
          <w:p>
            <w:pPr>
              <w:pStyle w:val="14"/>
            </w:pPr>
            <w:r>
              <w:t>本年支出合计</w:t>
            </w:r>
          </w:p>
        </w:tc>
        <w:tc>
          <w:tcPr>
            <w:tcW w:w="2126" w:type="dxa"/>
            <w:vAlign w:val="center"/>
          </w:tcPr>
          <w:p>
            <w:pPr>
              <w:pStyle w:val="15"/>
            </w:pPr>
            <w:r>
              <w:t>997.61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997.61</w:t>
            </w:r>
          </w:p>
        </w:tc>
        <w:tc>
          <w:tcPr>
            <w:tcW w:w="4535" w:type="dxa"/>
            <w:vAlign w:val="center"/>
          </w:tcPr>
          <w:p>
            <w:pPr>
              <w:pStyle w:val="14"/>
            </w:pPr>
            <w:r>
              <w:t>支出总计</w:t>
            </w:r>
          </w:p>
        </w:tc>
        <w:tc>
          <w:tcPr>
            <w:tcW w:w="2126" w:type="dxa"/>
            <w:vAlign w:val="center"/>
          </w:tcPr>
          <w:p>
            <w:pPr>
              <w:pStyle w:val="15"/>
            </w:pPr>
            <w:r>
              <w:t>997.61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203001中国共产党新乐市委员会组织部本级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997.61</w:t>
            </w:r>
          </w:p>
        </w:tc>
        <w:tc>
          <w:tcPr>
            <w:tcW w:w="1134" w:type="dxa"/>
            <w:vAlign w:val="center"/>
          </w:tcPr>
          <w:p>
            <w:pPr>
              <w:pStyle w:val="15"/>
            </w:pPr>
            <w:r>
              <w:t>997.61</w:t>
            </w:r>
          </w:p>
        </w:tc>
        <w:tc>
          <w:tcPr>
            <w:tcW w:w="1134" w:type="dxa"/>
            <w:vAlign w:val="center"/>
          </w:tcPr>
          <w:p>
            <w:pPr>
              <w:pStyle w:val="15"/>
            </w:pPr>
            <w:r>
              <w:t>997.61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810.14</w:t>
            </w:r>
          </w:p>
        </w:tc>
        <w:tc>
          <w:tcPr>
            <w:tcW w:w="1134" w:type="dxa"/>
            <w:vAlign w:val="center"/>
          </w:tcPr>
          <w:p>
            <w:pPr>
              <w:pStyle w:val="11"/>
            </w:pPr>
            <w:r>
              <w:t>810.14</w:t>
            </w:r>
          </w:p>
        </w:tc>
        <w:tc>
          <w:tcPr>
            <w:tcW w:w="1134" w:type="dxa"/>
            <w:vAlign w:val="center"/>
          </w:tcPr>
          <w:p>
            <w:pPr>
              <w:pStyle w:val="11"/>
            </w:pPr>
            <w:r>
              <w:t>810.14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810.14</w:t>
            </w:r>
          </w:p>
        </w:tc>
        <w:tc>
          <w:tcPr>
            <w:tcW w:w="1134" w:type="dxa"/>
            <w:vAlign w:val="center"/>
          </w:tcPr>
          <w:p>
            <w:pPr>
              <w:pStyle w:val="11"/>
            </w:pPr>
            <w:r>
              <w:t>810.14</w:t>
            </w:r>
          </w:p>
        </w:tc>
        <w:tc>
          <w:tcPr>
            <w:tcW w:w="1134" w:type="dxa"/>
            <w:vAlign w:val="center"/>
          </w:tcPr>
          <w:p>
            <w:pPr>
              <w:pStyle w:val="11"/>
            </w:pPr>
            <w:r>
              <w:t>810.14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2013201</w:t>
            </w:r>
          </w:p>
        </w:tc>
        <w:tc>
          <w:tcPr>
            <w:tcW w:w="1559" w:type="dxa"/>
            <w:vAlign w:val="center"/>
          </w:tcPr>
          <w:p>
            <w:pPr>
              <w:pStyle w:val="12"/>
            </w:pPr>
            <w:r>
              <w:t>行政运行</w:t>
            </w:r>
          </w:p>
        </w:tc>
        <w:tc>
          <w:tcPr>
            <w:tcW w:w="1134" w:type="dxa"/>
            <w:vAlign w:val="center"/>
          </w:tcPr>
          <w:p>
            <w:pPr>
              <w:pStyle w:val="11"/>
            </w:pPr>
            <w:r>
              <w:t>399.89</w:t>
            </w:r>
          </w:p>
        </w:tc>
        <w:tc>
          <w:tcPr>
            <w:tcW w:w="1134" w:type="dxa"/>
            <w:vAlign w:val="center"/>
          </w:tcPr>
          <w:p>
            <w:pPr>
              <w:pStyle w:val="11"/>
            </w:pPr>
            <w:r>
              <w:t>399.89</w:t>
            </w:r>
          </w:p>
        </w:tc>
        <w:tc>
          <w:tcPr>
            <w:tcW w:w="1134" w:type="dxa"/>
            <w:vAlign w:val="center"/>
          </w:tcPr>
          <w:p>
            <w:pPr>
              <w:pStyle w:val="11"/>
            </w:pPr>
            <w:r>
              <w:t>399.89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2013202</w:t>
            </w:r>
          </w:p>
        </w:tc>
        <w:tc>
          <w:tcPr>
            <w:tcW w:w="1559" w:type="dxa"/>
            <w:vAlign w:val="center"/>
          </w:tcPr>
          <w:p>
            <w:pPr>
              <w:pStyle w:val="12"/>
            </w:pPr>
            <w:r>
              <w:t>一般行政管理事务</w:t>
            </w:r>
          </w:p>
        </w:tc>
        <w:tc>
          <w:tcPr>
            <w:tcW w:w="1134" w:type="dxa"/>
            <w:vAlign w:val="center"/>
          </w:tcPr>
          <w:p>
            <w:pPr>
              <w:pStyle w:val="11"/>
            </w:pPr>
            <w:r>
              <w:t>352.93</w:t>
            </w:r>
          </w:p>
        </w:tc>
        <w:tc>
          <w:tcPr>
            <w:tcW w:w="1134" w:type="dxa"/>
            <w:vAlign w:val="center"/>
          </w:tcPr>
          <w:p>
            <w:pPr>
              <w:pStyle w:val="11"/>
            </w:pPr>
            <w:r>
              <w:t>352.93</w:t>
            </w:r>
          </w:p>
        </w:tc>
        <w:tc>
          <w:tcPr>
            <w:tcW w:w="1134" w:type="dxa"/>
            <w:vAlign w:val="center"/>
          </w:tcPr>
          <w:p>
            <w:pPr>
              <w:pStyle w:val="11"/>
            </w:pPr>
            <w:r>
              <w:t>352.93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2013299</w:t>
            </w:r>
          </w:p>
        </w:tc>
        <w:tc>
          <w:tcPr>
            <w:tcW w:w="1559" w:type="dxa"/>
            <w:vAlign w:val="center"/>
          </w:tcPr>
          <w:p>
            <w:pPr>
              <w:pStyle w:val="12"/>
            </w:pPr>
            <w:r>
              <w:t>其他组织事务支出</w:t>
            </w:r>
          </w:p>
        </w:tc>
        <w:tc>
          <w:tcPr>
            <w:tcW w:w="1134" w:type="dxa"/>
            <w:vAlign w:val="center"/>
          </w:tcPr>
          <w:p>
            <w:pPr>
              <w:pStyle w:val="11"/>
            </w:pPr>
            <w:r>
              <w:t>57.32</w:t>
            </w:r>
          </w:p>
        </w:tc>
        <w:tc>
          <w:tcPr>
            <w:tcW w:w="1134" w:type="dxa"/>
            <w:vAlign w:val="center"/>
          </w:tcPr>
          <w:p>
            <w:pPr>
              <w:pStyle w:val="11"/>
            </w:pPr>
            <w:r>
              <w:t>57.32</w:t>
            </w:r>
          </w:p>
        </w:tc>
        <w:tc>
          <w:tcPr>
            <w:tcW w:w="1134" w:type="dxa"/>
            <w:vAlign w:val="center"/>
          </w:tcPr>
          <w:p>
            <w:pPr>
              <w:pStyle w:val="11"/>
            </w:pPr>
            <w:r>
              <w:t>57.32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116.97</w:t>
            </w:r>
          </w:p>
        </w:tc>
        <w:tc>
          <w:tcPr>
            <w:tcW w:w="1134" w:type="dxa"/>
            <w:vAlign w:val="center"/>
          </w:tcPr>
          <w:p>
            <w:pPr>
              <w:pStyle w:val="11"/>
            </w:pPr>
            <w:r>
              <w:t>116.97</w:t>
            </w:r>
          </w:p>
        </w:tc>
        <w:tc>
          <w:tcPr>
            <w:tcW w:w="1134" w:type="dxa"/>
            <w:vAlign w:val="center"/>
          </w:tcPr>
          <w:p>
            <w:pPr>
              <w:pStyle w:val="11"/>
            </w:pPr>
            <w:r>
              <w:t>116.97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113.17</w:t>
            </w:r>
          </w:p>
        </w:tc>
        <w:tc>
          <w:tcPr>
            <w:tcW w:w="1134" w:type="dxa"/>
            <w:vAlign w:val="center"/>
          </w:tcPr>
          <w:p>
            <w:pPr>
              <w:pStyle w:val="11"/>
            </w:pPr>
            <w:r>
              <w:t>113.17</w:t>
            </w:r>
          </w:p>
        </w:tc>
        <w:tc>
          <w:tcPr>
            <w:tcW w:w="1134" w:type="dxa"/>
            <w:vAlign w:val="center"/>
          </w:tcPr>
          <w:p>
            <w:pPr>
              <w:pStyle w:val="11"/>
            </w:pPr>
            <w:r>
              <w:t>113.17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50.27</w:t>
            </w:r>
          </w:p>
        </w:tc>
        <w:tc>
          <w:tcPr>
            <w:tcW w:w="1134" w:type="dxa"/>
            <w:vAlign w:val="center"/>
          </w:tcPr>
          <w:p>
            <w:pPr>
              <w:pStyle w:val="11"/>
            </w:pPr>
            <w:r>
              <w:t>50.27</w:t>
            </w:r>
          </w:p>
        </w:tc>
        <w:tc>
          <w:tcPr>
            <w:tcW w:w="1134" w:type="dxa"/>
            <w:vAlign w:val="center"/>
          </w:tcPr>
          <w:p>
            <w:pPr>
              <w:pStyle w:val="11"/>
            </w:pPr>
            <w:r>
              <w:t>50.27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52.70</w:t>
            </w:r>
          </w:p>
        </w:tc>
        <w:tc>
          <w:tcPr>
            <w:tcW w:w="1134" w:type="dxa"/>
            <w:vAlign w:val="center"/>
          </w:tcPr>
          <w:p>
            <w:pPr>
              <w:pStyle w:val="11"/>
            </w:pPr>
            <w:r>
              <w:t>52.70</w:t>
            </w:r>
          </w:p>
        </w:tc>
        <w:tc>
          <w:tcPr>
            <w:tcW w:w="1134" w:type="dxa"/>
            <w:vAlign w:val="center"/>
          </w:tcPr>
          <w:p>
            <w:pPr>
              <w:pStyle w:val="11"/>
            </w:pPr>
            <w:r>
              <w:t>52.70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26.61</w:t>
            </w:r>
          </w:p>
        </w:tc>
        <w:tc>
          <w:tcPr>
            <w:tcW w:w="1134" w:type="dxa"/>
            <w:vAlign w:val="center"/>
          </w:tcPr>
          <w:p>
            <w:pPr>
              <w:pStyle w:val="11"/>
            </w:pPr>
            <w:r>
              <w:t>26.61</w:t>
            </w:r>
          </w:p>
        </w:tc>
        <w:tc>
          <w:tcPr>
            <w:tcW w:w="1134" w:type="dxa"/>
            <w:vAlign w:val="center"/>
          </w:tcPr>
          <w:p>
            <w:pPr>
              <w:pStyle w:val="11"/>
            </w:pPr>
            <w:r>
              <w:t>26.61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26.61</w:t>
            </w:r>
          </w:p>
        </w:tc>
        <w:tc>
          <w:tcPr>
            <w:tcW w:w="1134" w:type="dxa"/>
            <w:vAlign w:val="center"/>
          </w:tcPr>
          <w:p>
            <w:pPr>
              <w:pStyle w:val="11"/>
            </w:pPr>
            <w:r>
              <w:t>26.61</w:t>
            </w:r>
          </w:p>
        </w:tc>
        <w:tc>
          <w:tcPr>
            <w:tcW w:w="1134" w:type="dxa"/>
            <w:vAlign w:val="center"/>
          </w:tcPr>
          <w:p>
            <w:pPr>
              <w:pStyle w:val="11"/>
            </w:pPr>
            <w:r>
              <w:t>26.61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26.61</w:t>
            </w:r>
          </w:p>
        </w:tc>
        <w:tc>
          <w:tcPr>
            <w:tcW w:w="1134" w:type="dxa"/>
            <w:vAlign w:val="center"/>
          </w:tcPr>
          <w:p>
            <w:pPr>
              <w:pStyle w:val="11"/>
            </w:pPr>
            <w:r>
              <w:t>26.61</w:t>
            </w:r>
          </w:p>
        </w:tc>
        <w:tc>
          <w:tcPr>
            <w:tcW w:w="1134" w:type="dxa"/>
            <w:vAlign w:val="center"/>
          </w:tcPr>
          <w:p>
            <w:pPr>
              <w:pStyle w:val="11"/>
            </w:pPr>
            <w:r>
              <w:t>26.61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43.89</w:t>
            </w:r>
          </w:p>
        </w:tc>
        <w:tc>
          <w:tcPr>
            <w:tcW w:w="1134" w:type="dxa"/>
            <w:vAlign w:val="center"/>
          </w:tcPr>
          <w:p>
            <w:pPr>
              <w:pStyle w:val="11"/>
            </w:pPr>
            <w:r>
              <w:t>43.89</w:t>
            </w:r>
          </w:p>
        </w:tc>
        <w:tc>
          <w:tcPr>
            <w:tcW w:w="1134" w:type="dxa"/>
            <w:vAlign w:val="center"/>
          </w:tcPr>
          <w:p>
            <w:pPr>
              <w:pStyle w:val="11"/>
            </w:pPr>
            <w:r>
              <w:t>43.89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43.89</w:t>
            </w:r>
          </w:p>
        </w:tc>
        <w:tc>
          <w:tcPr>
            <w:tcW w:w="1134" w:type="dxa"/>
            <w:vAlign w:val="center"/>
          </w:tcPr>
          <w:p>
            <w:pPr>
              <w:pStyle w:val="11"/>
            </w:pPr>
            <w:r>
              <w:t>43.89</w:t>
            </w:r>
          </w:p>
        </w:tc>
        <w:tc>
          <w:tcPr>
            <w:tcW w:w="1134" w:type="dxa"/>
            <w:vAlign w:val="center"/>
          </w:tcPr>
          <w:p>
            <w:pPr>
              <w:pStyle w:val="11"/>
            </w:pPr>
            <w:r>
              <w:t>43.89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43.89</w:t>
            </w:r>
          </w:p>
        </w:tc>
        <w:tc>
          <w:tcPr>
            <w:tcW w:w="1134" w:type="dxa"/>
            <w:vAlign w:val="center"/>
          </w:tcPr>
          <w:p>
            <w:pPr>
              <w:pStyle w:val="11"/>
            </w:pPr>
            <w:r>
              <w:t>43.89</w:t>
            </w:r>
          </w:p>
        </w:tc>
        <w:tc>
          <w:tcPr>
            <w:tcW w:w="1134" w:type="dxa"/>
            <w:vAlign w:val="center"/>
          </w:tcPr>
          <w:p>
            <w:pPr>
              <w:pStyle w:val="11"/>
            </w:pPr>
            <w:r>
              <w:t>43.89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203001中国共产党新乐市委员会组织部本级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997.61</w:t>
            </w:r>
          </w:p>
        </w:tc>
        <w:tc>
          <w:tcPr>
            <w:tcW w:w="1361" w:type="dxa"/>
            <w:vAlign w:val="center"/>
          </w:tcPr>
          <w:p>
            <w:pPr>
              <w:pStyle w:val="15"/>
            </w:pPr>
            <w:r>
              <w:t>587.36</w:t>
            </w:r>
          </w:p>
        </w:tc>
        <w:tc>
          <w:tcPr>
            <w:tcW w:w="1361" w:type="dxa"/>
            <w:vAlign w:val="center"/>
          </w:tcPr>
          <w:p>
            <w:pPr>
              <w:pStyle w:val="15"/>
            </w:pPr>
            <w:r>
              <w:t>410.25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810.14</w:t>
            </w:r>
          </w:p>
        </w:tc>
        <w:tc>
          <w:tcPr>
            <w:tcW w:w="1361" w:type="dxa"/>
            <w:vAlign w:val="center"/>
          </w:tcPr>
          <w:p>
            <w:pPr>
              <w:pStyle w:val="11"/>
            </w:pPr>
            <w:r>
              <w:t>399.89</w:t>
            </w:r>
          </w:p>
        </w:tc>
        <w:tc>
          <w:tcPr>
            <w:tcW w:w="1361" w:type="dxa"/>
            <w:vAlign w:val="center"/>
          </w:tcPr>
          <w:p>
            <w:pPr>
              <w:pStyle w:val="11"/>
            </w:pPr>
            <w:r>
              <w:t>410.25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810.14</w:t>
            </w:r>
          </w:p>
        </w:tc>
        <w:tc>
          <w:tcPr>
            <w:tcW w:w="1361" w:type="dxa"/>
            <w:vAlign w:val="center"/>
          </w:tcPr>
          <w:p>
            <w:pPr>
              <w:pStyle w:val="11"/>
            </w:pPr>
            <w:r>
              <w:t>399.89</w:t>
            </w:r>
          </w:p>
        </w:tc>
        <w:tc>
          <w:tcPr>
            <w:tcW w:w="1361" w:type="dxa"/>
            <w:vAlign w:val="center"/>
          </w:tcPr>
          <w:p>
            <w:pPr>
              <w:pStyle w:val="11"/>
            </w:pPr>
            <w:r>
              <w:t>410.25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2013201</w:t>
            </w:r>
          </w:p>
        </w:tc>
        <w:tc>
          <w:tcPr>
            <w:tcW w:w="4535" w:type="dxa"/>
            <w:vAlign w:val="center"/>
          </w:tcPr>
          <w:p>
            <w:pPr>
              <w:pStyle w:val="12"/>
            </w:pPr>
            <w:r>
              <w:t>行政运行</w:t>
            </w:r>
          </w:p>
        </w:tc>
        <w:tc>
          <w:tcPr>
            <w:tcW w:w="1361" w:type="dxa"/>
            <w:vAlign w:val="center"/>
          </w:tcPr>
          <w:p>
            <w:pPr>
              <w:pStyle w:val="11"/>
            </w:pPr>
            <w:r>
              <w:t>399.89</w:t>
            </w:r>
          </w:p>
        </w:tc>
        <w:tc>
          <w:tcPr>
            <w:tcW w:w="1361" w:type="dxa"/>
            <w:vAlign w:val="center"/>
          </w:tcPr>
          <w:p>
            <w:pPr>
              <w:pStyle w:val="11"/>
            </w:pPr>
            <w:r>
              <w:t>399.89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2013202</w:t>
            </w:r>
          </w:p>
        </w:tc>
        <w:tc>
          <w:tcPr>
            <w:tcW w:w="4535" w:type="dxa"/>
            <w:vAlign w:val="center"/>
          </w:tcPr>
          <w:p>
            <w:pPr>
              <w:pStyle w:val="12"/>
            </w:pPr>
            <w:r>
              <w:t>一般行政管理事务</w:t>
            </w:r>
          </w:p>
        </w:tc>
        <w:tc>
          <w:tcPr>
            <w:tcW w:w="1361" w:type="dxa"/>
            <w:vAlign w:val="center"/>
          </w:tcPr>
          <w:p>
            <w:pPr>
              <w:pStyle w:val="11"/>
            </w:pPr>
            <w:r>
              <w:t>352.93</w:t>
            </w:r>
          </w:p>
        </w:tc>
        <w:tc>
          <w:tcPr>
            <w:tcW w:w="1361" w:type="dxa"/>
            <w:vAlign w:val="center"/>
          </w:tcPr>
          <w:p>
            <w:pPr>
              <w:pStyle w:val="11"/>
            </w:pPr>
          </w:p>
        </w:tc>
        <w:tc>
          <w:tcPr>
            <w:tcW w:w="1361" w:type="dxa"/>
            <w:vAlign w:val="center"/>
          </w:tcPr>
          <w:p>
            <w:pPr>
              <w:pStyle w:val="11"/>
            </w:pPr>
            <w:r>
              <w:t>352.93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2013299</w:t>
            </w:r>
          </w:p>
        </w:tc>
        <w:tc>
          <w:tcPr>
            <w:tcW w:w="4535" w:type="dxa"/>
            <w:vAlign w:val="center"/>
          </w:tcPr>
          <w:p>
            <w:pPr>
              <w:pStyle w:val="12"/>
            </w:pPr>
            <w:r>
              <w:t>其他组织事务支出</w:t>
            </w:r>
          </w:p>
        </w:tc>
        <w:tc>
          <w:tcPr>
            <w:tcW w:w="1361" w:type="dxa"/>
            <w:vAlign w:val="center"/>
          </w:tcPr>
          <w:p>
            <w:pPr>
              <w:pStyle w:val="11"/>
            </w:pPr>
            <w:r>
              <w:t>57.32</w:t>
            </w:r>
          </w:p>
        </w:tc>
        <w:tc>
          <w:tcPr>
            <w:tcW w:w="1361" w:type="dxa"/>
            <w:vAlign w:val="center"/>
          </w:tcPr>
          <w:p>
            <w:pPr>
              <w:pStyle w:val="11"/>
            </w:pPr>
          </w:p>
        </w:tc>
        <w:tc>
          <w:tcPr>
            <w:tcW w:w="1361" w:type="dxa"/>
            <w:vAlign w:val="center"/>
          </w:tcPr>
          <w:p>
            <w:pPr>
              <w:pStyle w:val="11"/>
            </w:pPr>
            <w:r>
              <w:t>57.32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116.97</w:t>
            </w:r>
          </w:p>
        </w:tc>
        <w:tc>
          <w:tcPr>
            <w:tcW w:w="1361" w:type="dxa"/>
            <w:vAlign w:val="center"/>
          </w:tcPr>
          <w:p>
            <w:pPr>
              <w:pStyle w:val="11"/>
            </w:pPr>
            <w:r>
              <w:t>116.97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113.17</w:t>
            </w:r>
          </w:p>
        </w:tc>
        <w:tc>
          <w:tcPr>
            <w:tcW w:w="1361" w:type="dxa"/>
            <w:vAlign w:val="center"/>
          </w:tcPr>
          <w:p>
            <w:pPr>
              <w:pStyle w:val="11"/>
            </w:pPr>
            <w:r>
              <w:t>113.17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50.27</w:t>
            </w:r>
          </w:p>
        </w:tc>
        <w:tc>
          <w:tcPr>
            <w:tcW w:w="1361" w:type="dxa"/>
            <w:vAlign w:val="center"/>
          </w:tcPr>
          <w:p>
            <w:pPr>
              <w:pStyle w:val="11"/>
            </w:pPr>
            <w:r>
              <w:t>50.27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52.70</w:t>
            </w:r>
          </w:p>
        </w:tc>
        <w:tc>
          <w:tcPr>
            <w:tcW w:w="1361" w:type="dxa"/>
            <w:vAlign w:val="center"/>
          </w:tcPr>
          <w:p>
            <w:pPr>
              <w:pStyle w:val="11"/>
            </w:pPr>
            <w:r>
              <w:t>52.70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10.20</w:t>
            </w: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3.80</w:t>
            </w:r>
          </w:p>
        </w:tc>
        <w:tc>
          <w:tcPr>
            <w:tcW w:w="1361" w:type="dxa"/>
            <w:vAlign w:val="center"/>
          </w:tcPr>
          <w:p>
            <w:pPr>
              <w:pStyle w:val="11"/>
            </w:pPr>
            <w:r>
              <w:t>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3.80</w:t>
            </w:r>
          </w:p>
        </w:tc>
        <w:tc>
          <w:tcPr>
            <w:tcW w:w="1361" w:type="dxa"/>
            <w:vAlign w:val="center"/>
          </w:tcPr>
          <w:p>
            <w:pPr>
              <w:pStyle w:val="11"/>
            </w:pPr>
            <w:r>
              <w:t>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26.61</w:t>
            </w:r>
          </w:p>
        </w:tc>
        <w:tc>
          <w:tcPr>
            <w:tcW w:w="1361" w:type="dxa"/>
            <w:vAlign w:val="center"/>
          </w:tcPr>
          <w:p>
            <w:pPr>
              <w:pStyle w:val="11"/>
            </w:pPr>
            <w:r>
              <w:t>26.61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26.61</w:t>
            </w:r>
          </w:p>
        </w:tc>
        <w:tc>
          <w:tcPr>
            <w:tcW w:w="1361" w:type="dxa"/>
            <w:vAlign w:val="center"/>
          </w:tcPr>
          <w:p>
            <w:pPr>
              <w:pStyle w:val="11"/>
            </w:pPr>
            <w:r>
              <w:t>26.61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26.61</w:t>
            </w:r>
          </w:p>
        </w:tc>
        <w:tc>
          <w:tcPr>
            <w:tcW w:w="1361" w:type="dxa"/>
            <w:vAlign w:val="center"/>
          </w:tcPr>
          <w:p>
            <w:pPr>
              <w:pStyle w:val="11"/>
            </w:pPr>
            <w:r>
              <w:t>26.61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43.89</w:t>
            </w:r>
          </w:p>
        </w:tc>
        <w:tc>
          <w:tcPr>
            <w:tcW w:w="1361" w:type="dxa"/>
            <w:vAlign w:val="center"/>
          </w:tcPr>
          <w:p>
            <w:pPr>
              <w:pStyle w:val="11"/>
            </w:pPr>
            <w:r>
              <w:t>43.89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43.89</w:t>
            </w:r>
          </w:p>
        </w:tc>
        <w:tc>
          <w:tcPr>
            <w:tcW w:w="1361" w:type="dxa"/>
            <w:vAlign w:val="center"/>
          </w:tcPr>
          <w:p>
            <w:pPr>
              <w:pStyle w:val="11"/>
            </w:pPr>
            <w:r>
              <w:t>43.89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43.89</w:t>
            </w:r>
          </w:p>
        </w:tc>
        <w:tc>
          <w:tcPr>
            <w:tcW w:w="1361" w:type="dxa"/>
            <w:vAlign w:val="center"/>
          </w:tcPr>
          <w:p>
            <w:pPr>
              <w:pStyle w:val="11"/>
            </w:pPr>
            <w:r>
              <w:t>43.89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203001中国共产党新乐市委员会组织部本级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997.61</w:t>
            </w:r>
          </w:p>
        </w:tc>
        <w:tc>
          <w:tcPr>
            <w:tcW w:w="3402" w:type="dxa"/>
            <w:vAlign w:val="center"/>
          </w:tcPr>
          <w:p>
            <w:pPr>
              <w:pStyle w:val="12"/>
            </w:pPr>
            <w:r>
              <w:t>一、一般公共服务支出</w:t>
            </w:r>
          </w:p>
        </w:tc>
        <w:tc>
          <w:tcPr>
            <w:tcW w:w="1474" w:type="dxa"/>
            <w:vAlign w:val="center"/>
          </w:tcPr>
          <w:p>
            <w:pPr>
              <w:pStyle w:val="11"/>
            </w:pPr>
            <w:r>
              <w:t>810.14</w:t>
            </w:r>
          </w:p>
        </w:tc>
        <w:tc>
          <w:tcPr>
            <w:tcW w:w="1474" w:type="dxa"/>
            <w:vAlign w:val="center"/>
          </w:tcPr>
          <w:p>
            <w:pPr>
              <w:pStyle w:val="11"/>
            </w:pPr>
            <w:r>
              <w:t>810.14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116.97</w:t>
            </w:r>
          </w:p>
        </w:tc>
        <w:tc>
          <w:tcPr>
            <w:tcW w:w="1474" w:type="dxa"/>
            <w:vAlign w:val="center"/>
          </w:tcPr>
          <w:p>
            <w:pPr>
              <w:pStyle w:val="11"/>
            </w:pPr>
            <w:r>
              <w:t>116.97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26.61</w:t>
            </w:r>
          </w:p>
        </w:tc>
        <w:tc>
          <w:tcPr>
            <w:tcW w:w="1474" w:type="dxa"/>
            <w:vAlign w:val="center"/>
          </w:tcPr>
          <w:p>
            <w:pPr>
              <w:pStyle w:val="11"/>
            </w:pPr>
            <w:r>
              <w:t>26.61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43.89</w:t>
            </w:r>
          </w:p>
        </w:tc>
        <w:tc>
          <w:tcPr>
            <w:tcW w:w="1474" w:type="dxa"/>
            <w:vAlign w:val="center"/>
          </w:tcPr>
          <w:p>
            <w:pPr>
              <w:pStyle w:val="11"/>
            </w:pPr>
            <w:r>
              <w:t>43.89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997.61</w:t>
            </w:r>
          </w:p>
        </w:tc>
        <w:tc>
          <w:tcPr>
            <w:tcW w:w="3402" w:type="dxa"/>
            <w:vAlign w:val="center"/>
          </w:tcPr>
          <w:p>
            <w:pPr>
              <w:pStyle w:val="14"/>
            </w:pPr>
            <w:r>
              <w:t>本年支出合计</w:t>
            </w:r>
          </w:p>
        </w:tc>
        <w:tc>
          <w:tcPr>
            <w:tcW w:w="1474" w:type="dxa"/>
            <w:vAlign w:val="center"/>
          </w:tcPr>
          <w:p>
            <w:pPr>
              <w:pStyle w:val="15"/>
            </w:pPr>
            <w:r>
              <w:t>997.61</w:t>
            </w:r>
          </w:p>
        </w:tc>
        <w:tc>
          <w:tcPr>
            <w:tcW w:w="1474" w:type="dxa"/>
            <w:vAlign w:val="center"/>
          </w:tcPr>
          <w:p>
            <w:pPr>
              <w:pStyle w:val="15"/>
            </w:pPr>
            <w:r>
              <w:t>997.61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997.61</w:t>
            </w:r>
          </w:p>
        </w:tc>
        <w:tc>
          <w:tcPr>
            <w:tcW w:w="3402" w:type="dxa"/>
            <w:vAlign w:val="center"/>
          </w:tcPr>
          <w:p>
            <w:pPr>
              <w:pStyle w:val="14"/>
            </w:pPr>
            <w:r>
              <w:t>支出总计</w:t>
            </w:r>
          </w:p>
        </w:tc>
        <w:tc>
          <w:tcPr>
            <w:tcW w:w="1474" w:type="dxa"/>
            <w:vAlign w:val="center"/>
          </w:tcPr>
          <w:p>
            <w:pPr>
              <w:pStyle w:val="15"/>
            </w:pPr>
            <w:r>
              <w:t>997.61</w:t>
            </w:r>
          </w:p>
        </w:tc>
        <w:tc>
          <w:tcPr>
            <w:tcW w:w="1474" w:type="dxa"/>
            <w:vAlign w:val="center"/>
          </w:tcPr>
          <w:p>
            <w:pPr>
              <w:pStyle w:val="15"/>
            </w:pPr>
            <w:r>
              <w:t>997.61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203001中国共产党新乐市委员会组织部本级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997.61</w:t>
            </w:r>
          </w:p>
        </w:tc>
        <w:tc>
          <w:tcPr>
            <w:tcW w:w="2551" w:type="dxa"/>
            <w:vAlign w:val="center"/>
          </w:tcPr>
          <w:p>
            <w:pPr>
              <w:pStyle w:val="15"/>
            </w:pPr>
            <w:r>
              <w:t>587.36</w:t>
            </w:r>
          </w:p>
        </w:tc>
        <w:tc>
          <w:tcPr>
            <w:tcW w:w="2551" w:type="dxa"/>
            <w:vAlign w:val="center"/>
          </w:tcPr>
          <w:p>
            <w:pPr>
              <w:pStyle w:val="15"/>
            </w:pPr>
            <w:r>
              <w:t>410.25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810.14</w:t>
            </w:r>
          </w:p>
        </w:tc>
        <w:tc>
          <w:tcPr>
            <w:tcW w:w="2551" w:type="dxa"/>
            <w:vAlign w:val="center"/>
          </w:tcPr>
          <w:p>
            <w:pPr>
              <w:pStyle w:val="11"/>
            </w:pPr>
            <w:r>
              <w:t>399.89</w:t>
            </w:r>
          </w:p>
        </w:tc>
        <w:tc>
          <w:tcPr>
            <w:tcW w:w="2551" w:type="dxa"/>
            <w:vAlign w:val="center"/>
          </w:tcPr>
          <w:p>
            <w:pPr>
              <w:pStyle w:val="11"/>
            </w:pPr>
            <w:r>
              <w:t>410.25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810.14</w:t>
            </w:r>
          </w:p>
        </w:tc>
        <w:tc>
          <w:tcPr>
            <w:tcW w:w="2551" w:type="dxa"/>
            <w:vAlign w:val="center"/>
          </w:tcPr>
          <w:p>
            <w:pPr>
              <w:pStyle w:val="11"/>
            </w:pPr>
            <w:r>
              <w:t>399.89</w:t>
            </w:r>
          </w:p>
        </w:tc>
        <w:tc>
          <w:tcPr>
            <w:tcW w:w="2551" w:type="dxa"/>
            <w:vAlign w:val="center"/>
          </w:tcPr>
          <w:p>
            <w:pPr>
              <w:pStyle w:val="11"/>
            </w:pPr>
            <w:r>
              <w:t>410.25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2013201</w:t>
            </w:r>
          </w:p>
        </w:tc>
        <w:tc>
          <w:tcPr>
            <w:tcW w:w="4535" w:type="dxa"/>
            <w:vAlign w:val="center"/>
          </w:tcPr>
          <w:p>
            <w:pPr>
              <w:pStyle w:val="12"/>
            </w:pPr>
            <w:r>
              <w:t>行政运行</w:t>
            </w:r>
          </w:p>
        </w:tc>
        <w:tc>
          <w:tcPr>
            <w:tcW w:w="2551" w:type="dxa"/>
            <w:vAlign w:val="center"/>
          </w:tcPr>
          <w:p>
            <w:pPr>
              <w:pStyle w:val="11"/>
            </w:pPr>
            <w:r>
              <w:t>399.89</w:t>
            </w:r>
          </w:p>
        </w:tc>
        <w:tc>
          <w:tcPr>
            <w:tcW w:w="2551" w:type="dxa"/>
            <w:vAlign w:val="center"/>
          </w:tcPr>
          <w:p>
            <w:pPr>
              <w:pStyle w:val="11"/>
            </w:pPr>
            <w:r>
              <w:t>399.89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2013202</w:t>
            </w:r>
          </w:p>
        </w:tc>
        <w:tc>
          <w:tcPr>
            <w:tcW w:w="4535" w:type="dxa"/>
            <w:vAlign w:val="center"/>
          </w:tcPr>
          <w:p>
            <w:pPr>
              <w:pStyle w:val="12"/>
            </w:pPr>
            <w:r>
              <w:t>一般行政管理事务</w:t>
            </w:r>
          </w:p>
        </w:tc>
        <w:tc>
          <w:tcPr>
            <w:tcW w:w="2551" w:type="dxa"/>
            <w:vAlign w:val="center"/>
          </w:tcPr>
          <w:p>
            <w:pPr>
              <w:pStyle w:val="11"/>
            </w:pPr>
            <w:r>
              <w:t>352.93</w:t>
            </w:r>
          </w:p>
        </w:tc>
        <w:tc>
          <w:tcPr>
            <w:tcW w:w="2551" w:type="dxa"/>
            <w:vAlign w:val="center"/>
          </w:tcPr>
          <w:p>
            <w:pPr>
              <w:pStyle w:val="11"/>
            </w:pPr>
          </w:p>
        </w:tc>
        <w:tc>
          <w:tcPr>
            <w:tcW w:w="2551" w:type="dxa"/>
            <w:vAlign w:val="center"/>
          </w:tcPr>
          <w:p>
            <w:pPr>
              <w:pStyle w:val="11"/>
            </w:pPr>
            <w:r>
              <w:t>352.93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2013299</w:t>
            </w:r>
          </w:p>
        </w:tc>
        <w:tc>
          <w:tcPr>
            <w:tcW w:w="4535" w:type="dxa"/>
            <w:vAlign w:val="center"/>
          </w:tcPr>
          <w:p>
            <w:pPr>
              <w:pStyle w:val="12"/>
            </w:pPr>
            <w:r>
              <w:t>其他组织事务支出</w:t>
            </w:r>
          </w:p>
        </w:tc>
        <w:tc>
          <w:tcPr>
            <w:tcW w:w="2551" w:type="dxa"/>
            <w:vAlign w:val="center"/>
          </w:tcPr>
          <w:p>
            <w:pPr>
              <w:pStyle w:val="11"/>
            </w:pPr>
            <w:r>
              <w:t>57.32</w:t>
            </w:r>
          </w:p>
        </w:tc>
        <w:tc>
          <w:tcPr>
            <w:tcW w:w="2551" w:type="dxa"/>
            <w:vAlign w:val="center"/>
          </w:tcPr>
          <w:p>
            <w:pPr>
              <w:pStyle w:val="11"/>
            </w:pPr>
          </w:p>
        </w:tc>
        <w:tc>
          <w:tcPr>
            <w:tcW w:w="2551" w:type="dxa"/>
            <w:vAlign w:val="center"/>
          </w:tcPr>
          <w:p>
            <w:pPr>
              <w:pStyle w:val="11"/>
            </w:pPr>
            <w:r>
              <w:t>57.32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116.97</w:t>
            </w:r>
          </w:p>
        </w:tc>
        <w:tc>
          <w:tcPr>
            <w:tcW w:w="2551" w:type="dxa"/>
            <w:vAlign w:val="center"/>
          </w:tcPr>
          <w:p>
            <w:pPr>
              <w:pStyle w:val="11"/>
            </w:pPr>
            <w:r>
              <w:t>116.97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113.17</w:t>
            </w:r>
          </w:p>
        </w:tc>
        <w:tc>
          <w:tcPr>
            <w:tcW w:w="2551" w:type="dxa"/>
            <w:vAlign w:val="center"/>
          </w:tcPr>
          <w:p>
            <w:pPr>
              <w:pStyle w:val="11"/>
            </w:pPr>
            <w:r>
              <w:t>113.17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50.27</w:t>
            </w:r>
          </w:p>
        </w:tc>
        <w:tc>
          <w:tcPr>
            <w:tcW w:w="2551" w:type="dxa"/>
            <w:vAlign w:val="center"/>
          </w:tcPr>
          <w:p>
            <w:pPr>
              <w:pStyle w:val="11"/>
            </w:pPr>
            <w:r>
              <w:t>50.27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52.70</w:t>
            </w:r>
          </w:p>
        </w:tc>
        <w:tc>
          <w:tcPr>
            <w:tcW w:w="2551" w:type="dxa"/>
            <w:vAlign w:val="center"/>
          </w:tcPr>
          <w:p>
            <w:pPr>
              <w:pStyle w:val="11"/>
            </w:pPr>
            <w:r>
              <w:t>52.70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10.20</w:t>
            </w:r>
          </w:p>
        </w:tc>
        <w:tc>
          <w:tcPr>
            <w:tcW w:w="2551" w:type="dxa"/>
            <w:vAlign w:val="center"/>
          </w:tcPr>
          <w:p>
            <w:pPr>
              <w:pStyle w:val="11"/>
            </w:pPr>
            <w:r>
              <w:t>10.20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26.61</w:t>
            </w:r>
          </w:p>
        </w:tc>
        <w:tc>
          <w:tcPr>
            <w:tcW w:w="2551" w:type="dxa"/>
            <w:vAlign w:val="center"/>
          </w:tcPr>
          <w:p>
            <w:pPr>
              <w:pStyle w:val="11"/>
            </w:pPr>
            <w:r>
              <w:t>26.61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26.61</w:t>
            </w:r>
          </w:p>
        </w:tc>
        <w:tc>
          <w:tcPr>
            <w:tcW w:w="2551" w:type="dxa"/>
            <w:vAlign w:val="center"/>
          </w:tcPr>
          <w:p>
            <w:pPr>
              <w:pStyle w:val="11"/>
            </w:pPr>
            <w:r>
              <w:t>26.61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26.61</w:t>
            </w:r>
          </w:p>
        </w:tc>
        <w:tc>
          <w:tcPr>
            <w:tcW w:w="2551" w:type="dxa"/>
            <w:vAlign w:val="center"/>
          </w:tcPr>
          <w:p>
            <w:pPr>
              <w:pStyle w:val="11"/>
            </w:pPr>
            <w:r>
              <w:t>26.61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43.89</w:t>
            </w:r>
          </w:p>
        </w:tc>
        <w:tc>
          <w:tcPr>
            <w:tcW w:w="2551" w:type="dxa"/>
            <w:vAlign w:val="center"/>
          </w:tcPr>
          <w:p>
            <w:pPr>
              <w:pStyle w:val="11"/>
            </w:pPr>
            <w:r>
              <w:t>43.89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43.89</w:t>
            </w:r>
          </w:p>
        </w:tc>
        <w:tc>
          <w:tcPr>
            <w:tcW w:w="2551" w:type="dxa"/>
            <w:vAlign w:val="center"/>
          </w:tcPr>
          <w:p>
            <w:pPr>
              <w:pStyle w:val="11"/>
            </w:pPr>
            <w:r>
              <w:t>43.89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43.89</w:t>
            </w:r>
          </w:p>
        </w:tc>
        <w:tc>
          <w:tcPr>
            <w:tcW w:w="2551" w:type="dxa"/>
            <w:vAlign w:val="center"/>
          </w:tcPr>
          <w:p>
            <w:pPr>
              <w:pStyle w:val="11"/>
            </w:pPr>
            <w:r>
              <w:t>43.89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203001中国共产党新乐市委员会组织部本级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587.36</w:t>
            </w:r>
          </w:p>
        </w:tc>
        <w:tc>
          <w:tcPr>
            <w:tcW w:w="2551" w:type="dxa"/>
            <w:vAlign w:val="center"/>
          </w:tcPr>
          <w:p>
            <w:pPr>
              <w:pStyle w:val="15"/>
            </w:pPr>
            <w:r>
              <w:t>541.30</w:t>
            </w:r>
          </w:p>
        </w:tc>
        <w:tc>
          <w:tcPr>
            <w:tcW w:w="2551" w:type="dxa"/>
            <w:vAlign w:val="center"/>
          </w:tcPr>
          <w:p>
            <w:pPr>
              <w:pStyle w:val="15"/>
            </w:pPr>
            <w:r>
              <w:t>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491.03</w:t>
            </w:r>
          </w:p>
        </w:tc>
        <w:tc>
          <w:tcPr>
            <w:tcW w:w="2551" w:type="dxa"/>
            <w:vAlign w:val="center"/>
          </w:tcPr>
          <w:p>
            <w:pPr>
              <w:pStyle w:val="11"/>
            </w:pPr>
            <w:r>
              <w:t>491.03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176.55</w:t>
            </w:r>
          </w:p>
        </w:tc>
        <w:tc>
          <w:tcPr>
            <w:tcW w:w="2551" w:type="dxa"/>
            <w:vAlign w:val="center"/>
          </w:tcPr>
          <w:p>
            <w:pPr>
              <w:pStyle w:val="11"/>
            </w:pPr>
            <w:r>
              <w:t>176.55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61.76</w:t>
            </w:r>
          </w:p>
        </w:tc>
        <w:tc>
          <w:tcPr>
            <w:tcW w:w="2551" w:type="dxa"/>
            <w:vAlign w:val="center"/>
          </w:tcPr>
          <w:p>
            <w:pPr>
              <w:pStyle w:val="11"/>
            </w:pPr>
            <w:r>
              <w:t>61.76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51.38</w:t>
            </w:r>
          </w:p>
        </w:tc>
        <w:tc>
          <w:tcPr>
            <w:tcW w:w="2551" w:type="dxa"/>
            <w:vAlign w:val="center"/>
          </w:tcPr>
          <w:p>
            <w:pPr>
              <w:pStyle w:val="11"/>
            </w:pPr>
            <w:r>
              <w:t>51.38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64.14</w:t>
            </w:r>
          </w:p>
        </w:tc>
        <w:tc>
          <w:tcPr>
            <w:tcW w:w="2551" w:type="dxa"/>
            <w:vAlign w:val="center"/>
          </w:tcPr>
          <w:p>
            <w:pPr>
              <w:pStyle w:val="11"/>
            </w:pPr>
            <w:r>
              <w:t>64.14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52.70</w:t>
            </w:r>
          </w:p>
        </w:tc>
        <w:tc>
          <w:tcPr>
            <w:tcW w:w="2551" w:type="dxa"/>
            <w:vAlign w:val="center"/>
          </w:tcPr>
          <w:p>
            <w:pPr>
              <w:pStyle w:val="11"/>
            </w:pPr>
            <w:r>
              <w:t>52.70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10.20</w:t>
            </w:r>
          </w:p>
        </w:tc>
        <w:tc>
          <w:tcPr>
            <w:tcW w:w="2551" w:type="dxa"/>
            <w:vAlign w:val="center"/>
          </w:tcPr>
          <w:p>
            <w:pPr>
              <w:pStyle w:val="11"/>
            </w:pPr>
            <w:r>
              <w:t>10.20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26.61</w:t>
            </w:r>
          </w:p>
        </w:tc>
        <w:tc>
          <w:tcPr>
            <w:tcW w:w="2551" w:type="dxa"/>
            <w:vAlign w:val="center"/>
          </w:tcPr>
          <w:p>
            <w:pPr>
              <w:pStyle w:val="11"/>
            </w:pPr>
            <w:r>
              <w:t>26.61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43.89</w:t>
            </w:r>
          </w:p>
        </w:tc>
        <w:tc>
          <w:tcPr>
            <w:tcW w:w="2551" w:type="dxa"/>
            <w:vAlign w:val="center"/>
          </w:tcPr>
          <w:p>
            <w:pPr>
              <w:pStyle w:val="11"/>
            </w:pPr>
            <w:r>
              <w:t>43.89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46.06</w:t>
            </w:r>
          </w:p>
        </w:tc>
        <w:tc>
          <w:tcPr>
            <w:tcW w:w="2551" w:type="dxa"/>
            <w:vAlign w:val="center"/>
          </w:tcPr>
          <w:p>
            <w:pPr>
              <w:pStyle w:val="11"/>
            </w:pPr>
          </w:p>
        </w:tc>
        <w:tc>
          <w:tcPr>
            <w:tcW w:w="2551" w:type="dxa"/>
            <w:vAlign w:val="center"/>
          </w:tcPr>
          <w:p>
            <w:pPr>
              <w:pStyle w:val="11"/>
            </w:pPr>
            <w:r>
              <w:t>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4.17</w:t>
            </w:r>
          </w:p>
        </w:tc>
        <w:tc>
          <w:tcPr>
            <w:tcW w:w="2551" w:type="dxa"/>
            <w:vAlign w:val="center"/>
          </w:tcPr>
          <w:p>
            <w:pPr>
              <w:pStyle w:val="11"/>
            </w:pPr>
          </w:p>
        </w:tc>
        <w:tc>
          <w:tcPr>
            <w:tcW w:w="2551" w:type="dxa"/>
            <w:vAlign w:val="center"/>
          </w:tcPr>
          <w:p>
            <w:pPr>
              <w:pStyle w:val="11"/>
            </w:pPr>
            <w:r>
              <w:t>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10.92</w:t>
            </w:r>
          </w:p>
        </w:tc>
        <w:tc>
          <w:tcPr>
            <w:tcW w:w="2551" w:type="dxa"/>
            <w:vAlign w:val="center"/>
          </w:tcPr>
          <w:p>
            <w:pPr>
              <w:pStyle w:val="11"/>
            </w:pPr>
          </w:p>
        </w:tc>
        <w:tc>
          <w:tcPr>
            <w:tcW w:w="2551" w:type="dxa"/>
            <w:vAlign w:val="center"/>
          </w:tcPr>
          <w:p>
            <w:pPr>
              <w:pStyle w:val="11"/>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2.33</w:t>
            </w:r>
          </w:p>
        </w:tc>
        <w:tc>
          <w:tcPr>
            <w:tcW w:w="2551" w:type="dxa"/>
            <w:vAlign w:val="center"/>
          </w:tcPr>
          <w:p>
            <w:pPr>
              <w:pStyle w:val="11"/>
            </w:pPr>
          </w:p>
        </w:tc>
        <w:tc>
          <w:tcPr>
            <w:tcW w:w="2551" w:type="dxa"/>
            <w:vAlign w:val="center"/>
          </w:tcPr>
          <w:p>
            <w:pPr>
              <w:pStyle w:val="11"/>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15.42</w:t>
            </w:r>
          </w:p>
        </w:tc>
        <w:tc>
          <w:tcPr>
            <w:tcW w:w="2551" w:type="dxa"/>
            <w:vAlign w:val="center"/>
          </w:tcPr>
          <w:p>
            <w:pPr>
              <w:pStyle w:val="11"/>
            </w:pPr>
          </w:p>
        </w:tc>
        <w:tc>
          <w:tcPr>
            <w:tcW w:w="2551" w:type="dxa"/>
            <w:vAlign w:val="center"/>
          </w:tcPr>
          <w:p>
            <w:pPr>
              <w:pStyle w:val="11"/>
            </w:pPr>
            <w:r>
              <w:t>15.42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9.62</w:t>
            </w:r>
          </w:p>
        </w:tc>
        <w:tc>
          <w:tcPr>
            <w:tcW w:w="2551" w:type="dxa"/>
            <w:vAlign w:val="center"/>
          </w:tcPr>
          <w:p>
            <w:pPr>
              <w:pStyle w:val="11"/>
            </w:pPr>
          </w:p>
        </w:tc>
        <w:tc>
          <w:tcPr>
            <w:tcW w:w="2551" w:type="dxa"/>
            <w:vAlign w:val="center"/>
          </w:tcPr>
          <w:p>
            <w:pPr>
              <w:pStyle w:val="11"/>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50.27</w:t>
            </w:r>
          </w:p>
        </w:tc>
        <w:tc>
          <w:tcPr>
            <w:tcW w:w="2551" w:type="dxa"/>
            <w:vAlign w:val="center"/>
          </w:tcPr>
          <w:p>
            <w:pPr>
              <w:pStyle w:val="11"/>
            </w:pPr>
            <w:r>
              <w:t>50.27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50.27</w:t>
            </w:r>
          </w:p>
        </w:tc>
        <w:tc>
          <w:tcPr>
            <w:tcW w:w="2551" w:type="dxa"/>
            <w:vAlign w:val="center"/>
          </w:tcPr>
          <w:p>
            <w:pPr>
              <w:pStyle w:val="11"/>
            </w:pPr>
            <w:r>
              <w:t>50.27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203001中国共产党新乐市委员会组织部本级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203001中国共产党新乐市委员会组织部本级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203001中国共产党新乐市委员会组织部本级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2.33</w:t>
            </w:r>
          </w:p>
        </w:tc>
        <w:tc>
          <w:tcPr>
            <w:tcW w:w="2381" w:type="dxa"/>
            <w:vAlign w:val="center"/>
          </w:tcPr>
          <w:p>
            <w:pPr>
              <w:pStyle w:val="15"/>
            </w:pPr>
            <w:r>
              <w:t>2.33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中国共产党新乐市委员会组织部本级2026年单位预算信息公开情况说明</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按照《中华人民共和国预算法》、《地方预决算公开操作规程》和《关于进一步推进预算公开工作的实施意见》规定，现将中国共产党新乐市委员会组织部本级2026年单位预算公开如下：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承担市委党的建设（基层组织建设）工作领导小组办公室工作职责。围绕党的重大理论和实践问题调查研究，提出加强全市党的建设的建议；负责党的建设制度改革的宏观指导，研究党的组织工作、干部工作、人才工作的贯彻落实措施，制定或参与制定全市性重要政策和制度；负责“市委基层组织建设联系会议”牵头抓总工作。</w:t>
      </w:r>
    </w:p>
    <w:p>
      <w:pPr>
        <w:pStyle w:val="17"/>
      </w:pPr>
      <w:r>
        <w:t>（二）负责党员队伍建设、组织员队伍建设以及党员发展、教育、管理工作，负责党的组织制度、党内生活制度建设；组织协调全市党代表大会、党代表会议、人民代表大会的选举工作，负责全市党代表大会代表的日常管理和服务工作；负责党组织建设特别是党的基层组织建设的调查研究，负责谋划指导和组织推动全市抓党建促脱贫攻坚工作；承担市委非公有制经济组织和社会组织工作委员会职责。</w:t>
      </w:r>
    </w:p>
    <w:p>
      <w:pPr>
        <w:pStyle w:val="17"/>
      </w:pPr>
      <w:r>
        <w:t>（三）负责各级领导班子和干部队伍建设的宏观管理。研究提出领导班子和领导干部队伍建设规划以及干部管理体制的建议，指导领导班子思想作风建设；负责提出各乡镇（街道）和市直各部门以及其他列入市委管理的领导班子调整、配备的建议；负责市委管理干部的考察、综合分析研判，办理职务任免、工资、待遇、退休审批手续；综合管理优秀年轻干部队伍，统筹选育管用工作，组织协调女干部、少数民族干部和党外干部培养选拔工作；负责援藏、援疆等援外干部的选派、管理工作；负责各乡镇（街道）和市直部门股级干部的宏观管理和备案工作；负责全市干部档案管理工作；负责省派选调生、大学生村官的培养、使用和管理；承办有关干部的调配、交流安置事宜。</w:t>
      </w:r>
    </w:p>
    <w:p>
      <w:pPr>
        <w:pStyle w:val="17"/>
      </w:pPr>
      <w:r>
        <w:t>（四）负责全市干部教育、培训工作；拟订干部教育培训工作规划，组织实施市委管理干部和一定层次其他干部的培训；负责组织系统干部监督工作，组织开展选人用人和执行干部监督制度规定情况的监督检查，处理反映选人用人问题及领导干部相关问题的举报；负责全市干部考核工作，组织实施对市委管理领导班子和领导干部的考核工作，负责全市机关目标绩效管理，组织实施全市职能绩效目标考核；承担市委干部考核委员会日常工作。</w:t>
      </w:r>
    </w:p>
    <w:p>
      <w:pPr>
        <w:pStyle w:val="17"/>
      </w:pPr>
      <w:r>
        <w:t>（五）负责公务员、参照公务员法管理事业单位工作人员录用调配、考核奖惩、培训和工资福利等工作；研究拟订公务员管理办法并组织实施；指导全市公务员、参照公务员法管理事业单位工作人员队伍建设。</w:t>
      </w:r>
    </w:p>
    <w:p>
      <w:pPr>
        <w:pStyle w:val="17"/>
      </w:pPr>
      <w:r>
        <w:t>（六）负责全市人才工作和人才队伍建设的牵头抓总、统筹协调、推进落实；负责做好国家、省、石家庄市各类人才的推荐申报、联系服务、日常管理工作；负责市管拔尖人才的选拔管理；负责人才绿卡服务管理工作；承担市委人才工作领导小组日常工作。</w:t>
      </w:r>
    </w:p>
    <w:p>
      <w:pPr>
        <w:pStyle w:val="17"/>
      </w:pPr>
      <w:r>
        <w:t>（七）负责组织系统新闻宣传、信息化建设和组织史编纂工作。</w:t>
      </w:r>
    </w:p>
    <w:p>
      <w:pPr>
        <w:pStyle w:val="17"/>
      </w:pPr>
      <w:r>
        <w:t>（八）负责全市组织工作的检查督促，及时向市委反映重要情况并提出建议。</w:t>
      </w:r>
    </w:p>
    <w:p>
      <w:pPr>
        <w:pStyle w:val="17"/>
      </w:pPr>
      <w:r>
        <w:t>（九）统一管理市委机构编制委员会办公室，归口管理市委老干部局。</w:t>
      </w:r>
    </w:p>
    <w:p>
      <w:pPr>
        <w:pStyle w:val="17"/>
      </w:pPr>
      <w:r>
        <w:t>（十）完成市委交办的其他任务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中国共产党新乐市委员会组织部本级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997.61万元，其中：一般公共预算收入997.61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新乐市委员会组织部本级年度单位预算中支出预算的总体情况。2026年支出预算997.61万元，其中基本支出587.36万元，包括人员经费541.30万元和日常公用经费46.06万元；项目支出410.25万元，主要为2025年第四季度人才房租补贴；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997.61万元，较2025年预算增加129.71万元，其中：基本支出减少0.45万元，主要为由于人员减少，基本支出随之减少。项目支出增加130.16万元，主要为人才房租补贴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46.06</w:t>
      </w:r>
      <w:r>
        <w:t>万元，主要用于日常维修、办公用房水电费、办公用房取暖费、办公用房物业管理费等日常运行支出。</w:t>
      </w:r>
    </w:p>
    <w:p>
      <w:pPr>
        <w:pStyle w:val="19"/>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财政紧张，节俭开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1、2026本级支出-人才补贴绩效目标表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13018426P00525010006J</w:t>
            </w:r>
          </w:p>
        </w:tc>
        <w:tc>
          <w:tcPr>
            <w:tcW w:w="2835" w:type="dxa"/>
            <w:vAlign w:val="center"/>
          </w:tcPr>
          <w:p>
            <w:pPr>
              <w:pStyle w:val="10"/>
            </w:pPr>
            <w:r>
              <w:t>项目名称</w:t>
            </w:r>
          </w:p>
        </w:tc>
        <w:tc>
          <w:tcPr>
            <w:tcW w:w="6095" w:type="dxa"/>
            <w:gridSpan w:val="3"/>
            <w:vAlign w:val="center"/>
          </w:tcPr>
          <w:p>
            <w:pPr>
              <w:pStyle w:val="12"/>
            </w:pPr>
            <w:r>
              <w:t>2026本级支出-人才补贴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352.93</w:t>
            </w:r>
          </w:p>
        </w:tc>
        <w:tc>
          <w:tcPr>
            <w:tcW w:w="2835" w:type="dxa"/>
            <w:vAlign w:val="center"/>
          </w:tcPr>
          <w:p>
            <w:pPr>
              <w:pStyle w:val="10"/>
            </w:pPr>
            <w:r>
              <w:t>其中：财政    资金</w:t>
            </w:r>
          </w:p>
        </w:tc>
        <w:tc>
          <w:tcPr>
            <w:tcW w:w="2551" w:type="dxa"/>
            <w:vAlign w:val="center"/>
          </w:tcPr>
          <w:p>
            <w:pPr>
              <w:pStyle w:val="12"/>
            </w:pPr>
            <w:r>
              <w:t>352.93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发放人才房租补贴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1.按照石家庄市统一要求，按时足额发放房租补贴。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发放数量</w:t>
            </w:r>
          </w:p>
        </w:tc>
        <w:tc>
          <w:tcPr>
            <w:tcW w:w="5386" w:type="dxa"/>
            <w:vAlign w:val="center"/>
          </w:tcPr>
          <w:p>
            <w:pPr>
              <w:pStyle w:val="12"/>
            </w:pPr>
            <w:r>
              <w:t>实发人数占应发人数的比例</w:t>
            </w:r>
          </w:p>
        </w:tc>
        <w:tc>
          <w:tcPr>
            <w:tcW w:w="2268" w:type="dxa"/>
            <w:vAlign w:val="center"/>
          </w:tcPr>
          <w:p>
            <w:pPr>
              <w:pStyle w:val="12"/>
            </w:pPr>
            <w:r>
              <w:t>100百分比</w:t>
            </w:r>
          </w:p>
        </w:tc>
        <w:tc>
          <w:tcPr>
            <w:tcW w:w="1276" w:type="dxa"/>
            <w:vAlign w:val="center"/>
          </w:tcPr>
          <w:p>
            <w:pPr>
              <w:pStyle w:val="12"/>
            </w:pPr>
            <w:r>
              <w:t>文件及实际情况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运营质量</w:t>
            </w:r>
          </w:p>
        </w:tc>
        <w:tc>
          <w:tcPr>
            <w:tcW w:w="5386" w:type="dxa"/>
            <w:vAlign w:val="center"/>
          </w:tcPr>
          <w:p>
            <w:pPr>
              <w:pStyle w:val="12"/>
            </w:pPr>
            <w:r>
              <w:t>每季度至少发放一次补贴。</w:t>
            </w:r>
          </w:p>
        </w:tc>
        <w:tc>
          <w:tcPr>
            <w:tcW w:w="2268" w:type="dxa"/>
            <w:vAlign w:val="center"/>
          </w:tcPr>
          <w:p>
            <w:pPr>
              <w:pStyle w:val="12"/>
            </w:pPr>
            <w:r>
              <w:t>1次</w:t>
            </w:r>
          </w:p>
        </w:tc>
        <w:tc>
          <w:tcPr>
            <w:tcW w:w="1276" w:type="dxa"/>
            <w:vAlign w:val="center"/>
          </w:tcPr>
          <w:p>
            <w:pPr>
              <w:pStyle w:val="12"/>
            </w:pPr>
            <w:r>
              <w:t>文件及实际情况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运营质量</w:t>
            </w:r>
          </w:p>
        </w:tc>
        <w:tc>
          <w:tcPr>
            <w:tcW w:w="5386" w:type="dxa"/>
            <w:vAlign w:val="center"/>
          </w:tcPr>
          <w:p>
            <w:pPr>
              <w:pStyle w:val="12"/>
            </w:pPr>
            <w:r>
              <w:t>按时发放补贴</w:t>
            </w:r>
          </w:p>
        </w:tc>
        <w:tc>
          <w:tcPr>
            <w:tcW w:w="2268" w:type="dxa"/>
            <w:vAlign w:val="center"/>
          </w:tcPr>
          <w:p>
            <w:pPr>
              <w:pStyle w:val="12"/>
            </w:pPr>
            <w:r>
              <w:t>100百分比</w:t>
            </w:r>
          </w:p>
        </w:tc>
        <w:tc>
          <w:tcPr>
            <w:tcW w:w="1276" w:type="dxa"/>
            <w:vAlign w:val="center"/>
          </w:tcPr>
          <w:p>
            <w:pPr>
              <w:pStyle w:val="12"/>
            </w:pPr>
            <w:r>
              <w:t>文件及实际情况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总成本控制率</w:t>
            </w:r>
          </w:p>
        </w:tc>
        <w:tc>
          <w:tcPr>
            <w:tcW w:w="5386" w:type="dxa"/>
            <w:vAlign w:val="center"/>
          </w:tcPr>
          <w:p>
            <w:pPr>
              <w:pStyle w:val="12"/>
            </w:pPr>
            <w:r>
              <w:t>不超预算资金</w:t>
            </w:r>
          </w:p>
        </w:tc>
        <w:tc>
          <w:tcPr>
            <w:tcW w:w="2268" w:type="dxa"/>
            <w:vAlign w:val="center"/>
          </w:tcPr>
          <w:p>
            <w:pPr>
              <w:pStyle w:val="12"/>
            </w:pPr>
            <w:r>
              <w:t>≤100百分比</w:t>
            </w:r>
          </w:p>
        </w:tc>
        <w:tc>
          <w:tcPr>
            <w:tcW w:w="1276" w:type="dxa"/>
            <w:vAlign w:val="center"/>
          </w:tcPr>
          <w:p>
            <w:pPr>
              <w:pStyle w:val="12"/>
            </w:pPr>
            <w:r>
              <w:t>文件及实际情况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为全市人才提供高效优质服务。</w:t>
            </w:r>
          </w:p>
        </w:tc>
        <w:tc>
          <w:tcPr>
            <w:tcW w:w="2268" w:type="dxa"/>
            <w:vAlign w:val="center"/>
          </w:tcPr>
          <w:p>
            <w:pPr>
              <w:pStyle w:val="12"/>
            </w:pPr>
            <w:r>
              <w:t>100百分比</w:t>
            </w:r>
          </w:p>
        </w:tc>
        <w:tc>
          <w:tcPr>
            <w:tcW w:w="1276" w:type="dxa"/>
            <w:vAlign w:val="center"/>
          </w:tcPr>
          <w:p>
            <w:pPr>
              <w:pStyle w:val="12"/>
            </w:pPr>
            <w:r>
              <w:t>文件及实际情况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全市人才工作满意度</w:t>
            </w:r>
          </w:p>
        </w:tc>
        <w:tc>
          <w:tcPr>
            <w:tcW w:w="2268" w:type="dxa"/>
            <w:vAlign w:val="center"/>
          </w:tcPr>
          <w:p>
            <w:pPr>
              <w:pStyle w:val="12"/>
            </w:pPr>
            <w:r>
              <w:t>100百分比</w:t>
            </w:r>
          </w:p>
        </w:tc>
        <w:tc>
          <w:tcPr>
            <w:tcW w:w="1276" w:type="dxa"/>
            <w:vAlign w:val="center"/>
          </w:tcPr>
          <w:p>
            <w:pPr>
              <w:pStyle w:val="12"/>
            </w:pPr>
            <w:r>
              <w:t>文件及实际情况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2、冀财行【2025】88号-提前下达2026年度下派选调生到村工作中央财政补助资金绩效目标表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13018426P00005910003E</w:t>
            </w:r>
          </w:p>
        </w:tc>
        <w:tc>
          <w:tcPr>
            <w:tcW w:w="2835" w:type="dxa"/>
            <w:vAlign w:val="center"/>
          </w:tcPr>
          <w:p>
            <w:pPr>
              <w:pStyle w:val="10"/>
            </w:pPr>
            <w:r>
              <w:t>项目名称</w:t>
            </w:r>
          </w:p>
        </w:tc>
        <w:tc>
          <w:tcPr>
            <w:tcW w:w="6095" w:type="dxa"/>
            <w:gridSpan w:val="3"/>
            <w:vAlign w:val="center"/>
          </w:tcPr>
          <w:p>
            <w:pPr>
              <w:pStyle w:val="12"/>
            </w:pPr>
            <w:r>
              <w:t>冀财行【2025】88号-提前下达2026年度下派选调生到村工作中央财政补助资金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49.32</w:t>
            </w:r>
          </w:p>
        </w:tc>
        <w:tc>
          <w:tcPr>
            <w:tcW w:w="2835" w:type="dxa"/>
            <w:vAlign w:val="center"/>
          </w:tcPr>
          <w:p>
            <w:pPr>
              <w:pStyle w:val="10"/>
            </w:pPr>
            <w:r>
              <w:t>其中：财政    资金</w:t>
            </w:r>
          </w:p>
        </w:tc>
        <w:tc>
          <w:tcPr>
            <w:tcW w:w="2551" w:type="dxa"/>
            <w:vAlign w:val="center"/>
          </w:tcPr>
          <w:p>
            <w:pPr>
              <w:pStyle w:val="12"/>
            </w:pPr>
            <w:r>
              <w:t>49.32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解决到村工作选调生后顾之忧，帮助他们尽快适应基层工作；加强对他们的教育培训，按要求组织开展国情调研，组织他们多参与化解复杂矛盾和问题，让他们在基层真正经受实践锻炼。</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49.32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1.解决到村工作选调生后顾之忧，帮助他们尽快适应基层工作；加强对他们的教育培训，按要求组织开展国情调研，组织他们多参与化解复杂矛盾和问题，让他们在基层真正经受实践锻炼。</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保障补贴对象人数占应保人数之比</w:t>
            </w:r>
          </w:p>
        </w:tc>
        <w:tc>
          <w:tcPr>
            <w:tcW w:w="5386" w:type="dxa"/>
            <w:vAlign w:val="center"/>
          </w:tcPr>
          <w:p>
            <w:pPr>
              <w:pStyle w:val="12"/>
            </w:pPr>
            <w:r>
              <w:t>保障补贴对象人数占应保人数之比</w:t>
            </w:r>
          </w:p>
        </w:tc>
        <w:tc>
          <w:tcPr>
            <w:tcW w:w="2268" w:type="dxa"/>
            <w:vAlign w:val="center"/>
          </w:tcPr>
          <w:p>
            <w:pPr>
              <w:pStyle w:val="12"/>
            </w:pPr>
            <w:r>
              <w:t>100百分比</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实际补助发放准确率</w:t>
            </w:r>
          </w:p>
        </w:tc>
        <w:tc>
          <w:tcPr>
            <w:tcW w:w="5386" w:type="dxa"/>
            <w:vAlign w:val="center"/>
          </w:tcPr>
          <w:p>
            <w:pPr>
              <w:pStyle w:val="12"/>
            </w:pPr>
            <w:r>
              <w:t>实际补助发放准确率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保障选调生到村工作时限</w:t>
            </w:r>
          </w:p>
        </w:tc>
        <w:tc>
          <w:tcPr>
            <w:tcW w:w="5386" w:type="dxa"/>
            <w:vAlign w:val="center"/>
          </w:tcPr>
          <w:p>
            <w:pPr>
              <w:pStyle w:val="12"/>
            </w:pPr>
            <w:r>
              <w:t>保障选调生到村工作时限</w:t>
            </w:r>
          </w:p>
        </w:tc>
        <w:tc>
          <w:tcPr>
            <w:tcW w:w="2268" w:type="dxa"/>
            <w:vAlign w:val="center"/>
          </w:tcPr>
          <w:p>
            <w:pPr>
              <w:pStyle w:val="12"/>
            </w:pPr>
            <w:r>
              <w:t>1年</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总成本控制率</w:t>
            </w:r>
          </w:p>
        </w:tc>
        <w:tc>
          <w:tcPr>
            <w:tcW w:w="5386" w:type="dxa"/>
            <w:vAlign w:val="center"/>
          </w:tcPr>
          <w:p>
            <w:pPr>
              <w:pStyle w:val="12"/>
            </w:pPr>
            <w:r>
              <w:t>不超预算资金</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干事创业工作水平提高率</w:t>
            </w:r>
          </w:p>
        </w:tc>
        <w:tc>
          <w:tcPr>
            <w:tcW w:w="5386" w:type="dxa"/>
            <w:vAlign w:val="center"/>
          </w:tcPr>
          <w:p>
            <w:pPr>
              <w:pStyle w:val="12"/>
            </w:pPr>
            <w:r>
              <w:t>到村工作下派选调生在农村干事创业，农村基层党建工作水平逐步提高</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下派选调生满意度指标</w:t>
            </w:r>
          </w:p>
        </w:tc>
        <w:tc>
          <w:tcPr>
            <w:tcW w:w="5386" w:type="dxa"/>
            <w:vAlign w:val="center"/>
          </w:tcPr>
          <w:p>
            <w:pPr>
              <w:pStyle w:val="12"/>
            </w:pPr>
            <w:r>
              <w:t>下派选调生满意度指标</w:t>
            </w:r>
          </w:p>
        </w:tc>
        <w:tc>
          <w:tcPr>
            <w:tcW w:w="2268" w:type="dxa"/>
            <w:vAlign w:val="center"/>
          </w:tcPr>
          <w:p>
            <w:pPr>
              <w:pStyle w:val="12"/>
            </w:pPr>
            <w:r>
              <w:t>100百分比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3、冀财行【2025】97号-提前下达2026年省级下沉工作队综合经费绩效目标表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13018426P00006010003J</w:t>
            </w:r>
          </w:p>
        </w:tc>
        <w:tc>
          <w:tcPr>
            <w:tcW w:w="2835" w:type="dxa"/>
            <w:vAlign w:val="center"/>
          </w:tcPr>
          <w:p>
            <w:pPr>
              <w:pStyle w:val="10"/>
            </w:pPr>
            <w:r>
              <w:t>项目名称</w:t>
            </w:r>
          </w:p>
        </w:tc>
        <w:tc>
          <w:tcPr>
            <w:tcW w:w="6095" w:type="dxa"/>
            <w:gridSpan w:val="3"/>
            <w:vAlign w:val="center"/>
          </w:tcPr>
          <w:p>
            <w:pPr>
              <w:pStyle w:val="12"/>
            </w:pPr>
            <w:r>
              <w:t>冀财行【2025】97号-提前下达2026年省级下沉工作队综合经费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保障驻村工作队办公学习、食宿、水、取暖、网络通信、必要交通等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1.激励干部干事创业、乡村振兴工作能力，为新乐乡村发展作贡献。保障驻村工作队办公学习、食宿、水、取暖、网络通信、必要交通等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工作队数量</w:t>
            </w:r>
          </w:p>
        </w:tc>
        <w:tc>
          <w:tcPr>
            <w:tcW w:w="5386" w:type="dxa"/>
            <w:vAlign w:val="center"/>
          </w:tcPr>
          <w:p>
            <w:pPr>
              <w:pStyle w:val="12"/>
            </w:pPr>
            <w:r>
              <w:t>乡村振兴驻村工作队数量</w:t>
            </w:r>
          </w:p>
        </w:tc>
        <w:tc>
          <w:tcPr>
            <w:tcW w:w="2268" w:type="dxa"/>
            <w:vAlign w:val="center"/>
          </w:tcPr>
          <w:p>
            <w:pPr>
              <w:pStyle w:val="12"/>
            </w:pPr>
            <w:r>
              <w:t>1支</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保障工作质量</w:t>
            </w:r>
          </w:p>
        </w:tc>
        <w:tc>
          <w:tcPr>
            <w:tcW w:w="5386" w:type="dxa"/>
            <w:vAlign w:val="center"/>
          </w:tcPr>
          <w:p>
            <w:pPr>
              <w:pStyle w:val="12"/>
            </w:pPr>
            <w:r>
              <w:t>经费保障工作队业务正常开展率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业务开展时限</w:t>
            </w:r>
          </w:p>
        </w:tc>
        <w:tc>
          <w:tcPr>
            <w:tcW w:w="5386" w:type="dxa"/>
            <w:vAlign w:val="center"/>
          </w:tcPr>
          <w:p>
            <w:pPr>
              <w:pStyle w:val="12"/>
            </w:pPr>
            <w:r>
              <w:t>保障工作队业务开展时限</w:t>
            </w:r>
          </w:p>
        </w:tc>
        <w:tc>
          <w:tcPr>
            <w:tcW w:w="2268" w:type="dxa"/>
            <w:vAlign w:val="center"/>
          </w:tcPr>
          <w:p>
            <w:pPr>
              <w:pStyle w:val="12"/>
            </w:pPr>
            <w:r>
              <w:t>1年</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每个工作队每年经费</w:t>
            </w:r>
          </w:p>
        </w:tc>
        <w:tc>
          <w:tcPr>
            <w:tcW w:w="5386" w:type="dxa"/>
            <w:vAlign w:val="center"/>
          </w:tcPr>
          <w:p>
            <w:pPr>
              <w:pStyle w:val="12"/>
            </w:pPr>
            <w:r>
              <w:t>每个工作队每年经费</w:t>
            </w:r>
          </w:p>
        </w:tc>
        <w:tc>
          <w:tcPr>
            <w:tcW w:w="2268" w:type="dxa"/>
            <w:vAlign w:val="center"/>
          </w:tcPr>
          <w:p>
            <w:pPr>
              <w:pStyle w:val="12"/>
            </w:pPr>
            <w:r>
              <w:t>8万元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推动村（社区）实现班子强、产业兴、社会稳，为全面推进乡村振兴、提升基层治理水平奠定坚实基础</w:t>
            </w:r>
          </w:p>
        </w:tc>
        <w:tc>
          <w:tcPr>
            <w:tcW w:w="5386" w:type="dxa"/>
            <w:vAlign w:val="center"/>
          </w:tcPr>
          <w:p>
            <w:pPr>
              <w:pStyle w:val="12"/>
            </w:pPr>
            <w:r>
              <w:t>推动村（社区）实现班子强、产业兴、社会稳，为全面推进乡村振兴、提升基层治理水平奠定坚实基础</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提升广大群众、干部满意度</w:t>
            </w:r>
          </w:p>
        </w:tc>
        <w:tc>
          <w:tcPr>
            <w:tcW w:w="2268" w:type="dxa"/>
            <w:vAlign w:val="center"/>
          </w:tcPr>
          <w:p>
            <w:pPr>
              <w:pStyle w:val="12"/>
            </w:pPr>
            <w:r>
              <w:t>≥95百分比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203001中国共产党新乐市委员会组织部本级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中国共产党新乐市委员会组织部本级上年末固定资产金额为0.00万元（详见下表）。本年度拟购置固定资产总额为0.00万元，已按要求列入政府采购预算，详见政府采购预算表。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203001中国共产党新乐市委员会组织部本级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12DD432C"/>
    <w:rsid w:val="16233CF7"/>
    <w:rsid w:val="6CF44F0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7701</Words>
  <Characters>9424</Characters>
  <Lines>1</Lines>
  <Paragraphs>1</Paragraphs>
  <TotalTime>5</TotalTime>
  <ScaleCrop>false</ScaleCrop>
  <LinksUpToDate>false</LinksUpToDate>
  <CharactersWithSpaces>10080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2026-03-05T09:06:00Z</dcterms:created>
  <dc:creator>Administrator</dc:creator>
  <cp:lastModifiedBy>Administrator</cp:lastModifiedBy>
  <dcterms:modified xsi:type="dcterms:W3CDTF">2026-03-05T01:12:34Z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D44BBEF20F9349898763D4CB898964B1</vt:lpwstr>
  </property>
</Properties>
</file>