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16</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24</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25</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28</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28</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28</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29</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203中国共产党新乐市委员会组织部</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997.61</w:t>
            </w:r>
          </w:p>
        </w:tc>
        <w:tc>
          <w:tcPr>
            <w:tcW w:w="4535" w:type="dxa"/>
            <w:vAlign w:val="center"/>
          </w:tcPr>
          <w:p>
            <w:pPr>
              <w:pStyle w:val="13"/>
            </w:pPr>
            <w:r>
              <w:t>一、一般公共服务支出</w:t>
            </w:r>
          </w:p>
        </w:tc>
        <w:tc>
          <w:tcPr>
            <w:tcW w:w="2126" w:type="dxa"/>
            <w:vAlign w:val="center"/>
          </w:tcPr>
          <w:p>
            <w:pPr>
              <w:pStyle w:val="12"/>
            </w:pPr>
            <w:r>
              <w:t>810.14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116.97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26.61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43.89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997.61</w:t>
            </w:r>
          </w:p>
        </w:tc>
        <w:tc>
          <w:tcPr>
            <w:tcW w:w="4535" w:type="dxa"/>
            <w:vAlign w:val="center"/>
          </w:tcPr>
          <w:p>
            <w:pPr>
              <w:pStyle w:val="15"/>
            </w:pPr>
            <w:r>
              <w:t>本年支出合计</w:t>
            </w:r>
          </w:p>
        </w:tc>
        <w:tc>
          <w:tcPr>
            <w:tcW w:w="2126" w:type="dxa"/>
            <w:vAlign w:val="center"/>
          </w:tcPr>
          <w:p>
            <w:pPr>
              <w:pStyle w:val="16"/>
            </w:pPr>
            <w:r>
              <w:t>997.61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997.61</w:t>
            </w:r>
          </w:p>
        </w:tc>
        <w:tc>
          <w:tcPr>
            <w:tcW w:w="4535" w:type="dxa"/>
            <w:vAlign w:val="center"/>
          </w:tcPr>
          <w:p>
            <w:pPr>
              <w:pStyle w:val="15"/>
            </w:pPr>
            <w:r>
              <w:t>支出总计</w:t>
            </w:r>
          </w:p>
        </w:tc>
        <w:tc>
          <w:tcPr>
            <w:tcW w:w="2126" w:type="dxa"/>
            <w:vAlign w:val="center"/>
          </w:tcPr>
          <w:p>
            <w:pPr>
              <w:pStyle w:val="16"/>
            </w:pPr>
            <w:r>
              <w:t>997.61</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203中国共产党新乐市委员会组织部</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997.61</w:t>
            </w:r>
          </w:p>
        </w:tc>
        <w:tc>
          <w:tcPr>
            <w:tcW w:w="1134" w:type="dxa"/>
            <w:vAlign w:val="center"/>
          </w:tcPr>
          <w:p>
            <w:pPr>
              <w:pStyle w:val="16"/>
            </w:pPr>
            <w:r>
              <w:t>997.61</w:t>
            </w:r>
          </w:p>
        </w:tc>
        <w:tc>
          <w:tcPr>
            <w:tcW w:w="1134" w:type="dxa"/>
            <w:vAlign w:val="center"/>
          </w:tcPr>
          <w:p>
            <w:pPr>
              <w:pStyle w:val="16"/>
            </w:pPr>
            <w:r>
              <w:t>997.61</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810.14</w:t>
            </w:r>
          </w:p>
        </w:tc>
        <w:tc>
          <w:tcPr>
            <w:tcW w:w="1134" w:type="dxa"/>
            <w:vAlign w:val="center"/>
          </w:tcPr>
          <w:p>
            <w:pPr>
              <w:pStyle w:val="12"/>
            </w:pPr>
            <w:r>
              <w:t>810.14</w:t>
            </w:r>
          </w:p>
        </w:tc>
        <w:tc>
          <w:tcPr>
            <w:tcW w:w="1134" w:type="dxa"/>
            <w:vAlign w:val="center"/>
          </w:tcPr>
          <w:p>
            <w:pPr>
              <w:pStyle w:val="12"/>
            </w:pPr>
            <w:r>
              <w:t>810.14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20132</w:t>
            </w:r>
          </w:p>
        </w:tc>
        <w:tc>
          <w:tcPr>
            <w:tcW w:w="1559" w:type="dxa"/>
            <w:vAlign w:val="center"/>
          </w:tcPr>
          <w:p>
            <w:pPr>
              <w:pStyle w:val="13"/>
            </w:pPr>
            <w:r>
              <w:t>组织事务</w:t>
            </w:r>
          </w:p>
        </w:tc>
        <w:tc>
          <w:tcPr>
            <w:tcW w:w="1134" w:type="dxa"/>
            <w:vAlign w:val="center"/>
          </w:tcPr>
          <w:p>
            <w:pPr>
              <w:pStyle w:val="12"/>
            </w:pPr>
            <w:r>
              <w:t>810.14</w:t>
            </w:r>
          </w:p>
        </w:tc>
        <w:tc>
          <w:tcPr>
            <w:tcW w:w="1134" w:type="dxa"/>
            <w:vAlign w:val="center"/>
          </w:tcPr>
          <w:p>
            <w:pPr>
              <w:pStyle w:val="12"/>
            </w:pPr>
            <w:r>
              <w:t>810.14</w:t>
            </w:r>
          </w:p>
        </w:tc>
        <w:tc>
          <w:tcPr>
            <w:tcW w:w="1134" w:type="dxa"/>
            <w:vAlign w:val="center"/>
          </w:tcPr>
          <w:p>
            <w:pPr>
              <w:pStyle w:val="12"/>
            </w:pPr>
            <w:r>
              <w:t>810.14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2013201</w:t>
            </w:r>
          </w:p>
        </w:tc>
        <w:tc>
          <w:tcPr>
            <w:tcW w:w="1559" w:type="dxa"/>
            <w:vAlign w:val="center"/>
          </w:tcPr>
          <w:p>
            <w:pPr>
              <w:pStyle w:val="13"/>
            </w:pPr>
            <w:r>
              <w:t>行政运行</w:t>
            </w:r>
          </w:p>
        </w:tc>
        <w:tc>
          <w:tcPr>
            <w:tcW w:w="1134" w:type="dxa"/>
            <w:vAlign w:val="center"/>
          </w:tcPr>
          <w:p>
            <w:pPr>
              <w:pStyle w:val="12"/>
            </w:pPr>
            <w:r>
              <w:t>399.89</w:t>
            </w:r>
          </w:p>
        </w:tc>
        <w:tc>
          <w:tcPr>
            <w:tcW w:w="1134" w:type="dxa"/>
            <w:vAlign w:val="center"/>
          </w:tcPr>
          <w:p>
            <w:pPr>
              <w:pStyle w:val="12"/>
            </w:pPr>
            <w:r>
              <w:t>399.89</w:t>
            </w:r>
          </w:p>
        </w:tc>
        <w:tc>
          <w:tcPr>
            <w:tcW w:w="1134" w:type="dxa"/>
            <w:vAlign w:val="center"/>
          </w:tcPr>
          <w:p>
            <w:pPr>
              <w:pStyle w:val="12"/>
            </w:pPr>
            <w:r>
              <w:t>399.89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2013202</w:t>
            </w:r>
          </w:p>
        </w:tc>
        <w:tc>
          <w:tcPr>
            <w:tcW w:w="1559" w:type="dxa"/>
            <w:vAlign w:val="center"/>
          </w:tcPr>
          <w:p>
            <w:pPr>
              <w:pStyle w:val="13"/>
            </w:pPr>
            <w:r>
              <w:t>一般行政管理事务</w:t>
            </w:r>
          </w:p>
        </w:tc>
        <w:tc>
          <w:tcPr>
            <w:tcW w:w="1134" w:type="dxa"/>
            <w:vAlign w:val="center"/>
          </w:tcPr>
          <w:p>
            <w:pPr>
              <w:pStyle w:val="12"/>
            </w:pPr>
            <w:r>
              <w:t>352.93</w:t>
            </w:r>
          </w:p>
        </w:tc>
        <w:tc>
          <w:tcPr>
            <w:tcW w:w="1134" w:type="dxa"/>
            <w:vAlign w:val="center"/>
          </w:tcPr>
          <w:p>
            <w:pPr>
              <w:pStyle w:val="12"/>
            </w:pPr>
            <w:r>
              <w:t>352.93</w:t>
            </w:r>
          </w:p>
        </w:tc>
        <w:tc>
          <w:tcPr>
            <w:tcW w:w="1134" w:type="dxa"/>
            <w:vAlign w:val="center"/>
          </w:tcPr>
          <w:p>
            <w:pPr>
              <w:pStyle w:val="12"/>
            </w:pPr>
            <w:r>
              <w:t>352.93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2013299</w:t>
            </w:r>
          </w:p>
        </w:tc>
        <w:tc>
          <w:tcPr>
            <w:tcW w:w="1559" w:type="dxa"/>
            <w:vAlign w:val="center"/>
          </w:tcPr>
          <w:p>
            <w:pPr>
              <w:pStyle w:val="13"/>
            </w:pPr>
            <w:r>
              <w:t>其他组织事务支出</w:t>
            </w:r>
          </w:p>
        </w:tc>
        <w:tc>
          <w:tcPr>
            <w:tcW w:w="1134" w:type="dxa"/>
            <w:vAlign w:val="center"/>
          </w:tcPr>
          <w:p>
            <w:pPr>
              <w:pStyle w:val="12"/>
            </w:pPr>
            <w:r>
              <w:t>57.32</w:t>
            </w:r>
          </w:p>
        </w:tc>
        <w:tc>
          <w:tcPr>
            <w:tcW w:w="1134" w:type="dxa"/>
            <w:vAlign w:val="center"/>
          </w:tcPr>
          <w:p>
            <w:pPr>
              <w:pStyle w:val="12"/>
            </w:pPr>
            <w:r>
              <w:t>57.32</w:t>
            </w:r>
          </w:p>
        </w:tc>
        <w:tc>
          <w:tcPr>
            <w:tcW w:w="1134" w:type="dxa"/>
            <w:vAlign w:val="center"/>
          </w:tcPr>
          <w:p>
            <w:pPr>
              <w:pStyle w:val="12"/>
            </w:pPr>
            <w:r>
              <w:t>57.32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116.97</w:t>
            </w:r>
          </w:p>
        </w:tc>
        <w:tc>
          <w:tcPr>
            <w:tcW w:w="1134" w:type="dxa"/>
            <w:vAlign w:val="center"/>
          </w:tcPr>
          <w:p>
            <w:pPr>
              <w:pStyle w:val="12"/>
            </w:pPr>
            <w:r>
              <w:t>116.97</w:t>
            </w:r>
          </w:p>
        </w:tc>
        <w:tc>
          <w:tcPr>
            <w:tcW w:w="1134" w:type="dxa"/>
            <w:vAlign w:val="center"/>
          </w:tcPr>
          <w:p>
            <w:pPr>
              <w:pStyle w:val="12"/>
            </w:pPr>
            <w:r>
              <w:t>116.97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113.17</w:t>
            </w:r>
          </w:p>
        </w:tc>
        <w:tc>
          <w:tcPr>
            <w:tcW w:w="1134" w:type="dxa"/>
            <w:vAlign w:val="center"/>
          </w:tcPr>
          <w:p>
            <w:pPr>
              <w:pStyle w:val="12"/>
            </w:pPr>
            <w:r>
              <w:t>113.17</w:t>
            </w:r>
          </w:p>
        </w:tc>
        <w:tc>
          <w:tcPr>
            <w:tcW w:w="1134" w:type="dxa"/>
            <w:vAlign w:val="center"/>
          </w:tcPr>
          <w:p>
            <w:pPr>
              <w:pStyle w:val="12"/>
            </w:pPr>
            <w:r>
              <w:t>113.17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50.27</w:t>
            </w:r>
          </w:p>
        </w:tc>
        <w:tc>
          <w:tcPr>
            <w:tcW w:w="1134" w:type="dxa"/>
            <w:vAlign w:val="center"/>
          </w:tcPr>
          <w:p>
            <w:pPr>
              <w:pStyle w:val="12"/>
            </w:pPr>
            <w:r>
              <w:t>50.27</w:t>
            </w:r>
          </w:p>
        </w:tc>
        <w:tc>
          <w:tcPr>
            <w:tcW w:w="1134" w:type="dxa"/>
            <w:vAlign w:val="center"/>
          </w:tcPr>
          <w:p>
            <w:pPr>
              <w:pStyle w:val="12"/>
            </w:pPr>
            <w:r>
              <w:t>50.27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52.70</w:t>
            </w:r>
          </w:p>
        </w:tc>
        <w:tc>
          <w:tcPr>
            <w:tcW w:w="1134" w:type="dxa"/>
            <w:vAlign w:val="center"/>
          </w:tcPr>
          <w:p>
            <w:pPr>
              <w:pStyle w:val="12"/>
            </w:pPr>
            <w:r>
              <w:t>52.70</w:t>
            </w:r>
          </w:p>
        </w:tc>
        <w:tc>
          <w:tcPr>
            <w:tcW w:w="1134" w:type="dxa"/>
            <w:vAlign w:val="center"/>
          </w:tcPr>
          <w:p>
            <w:pPr>
              <w:pStyle w:val="12"/>
            </w:pPr>
            <w:r>
              <w:t>52.70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10.20</w:t>
            </w:r>
          </w:p>
        </w:tc>
        <w:tc>
          <w:tcPr>
            <w:tcW w:w="1134" w:type="dxa"/>
            <w:vAlign w:val="center"/>
          </w:tcPr>
          <w:p>
            <w:pPr>
              <w:pStyle w:val="12"/>
            </w:pPr>
            <w:r>
              <w:t>10.20</w:t>
            </w:r>
          </w:p>
        </w:tc>
        <w:tc>
          <w:tcPr>
            <w:tcW w:w="1134" w:type="dxa"/>
            <w:vAlign w:val="center"/>
          </w:tcPr>
          <w:p>
            <w:pPr>
              <w:pStyle w:val="12"/>
            </w:pPr>
            <w:r>
              <w:t>10.20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20899</w:t>
            </w:r>
          </w:p>
        </w:tc>
        <w:tc>
          <w:tcPr>
            <w:tcW w:w="1559" w:type="dxa"/>
            <w:vAlign w:val="center"/>
          </w:tcPr>
          <w:p>
            <w:pPr>
              <w:pStyle w:val="13"/>
            </w:pPr>
            <w:r>
              <w:t>其他社会保障和就业支出</w:t>
            </w:r>
          </w:p>
        </w:tc>
        <w:tc>
          <w:tcPr>
            <w:tcW w:w="1134" w:type="dxa"/>
            <w:vAlign w:val="center"/>
          </w:tcPr>
          <w:p>
            <w:pPr>
              <w:pStyle w:val="12"/>
            </w:pPr>
            <w:r>
              <w:t>3.80</w:t>
            </w:r>
          </w:p>
        </w:tc>
        <w:tc>
          <w:tcPr>
            <w:tcW w:w="1134" w:type="dxa"/>
            <w:vAlign w:val="center"/>
          </w:tcPr>
          <w:p>
            <w:pPr>
              <w:pStyle w:val="12"/>
            </w:pPr>
            <w:r>
              <w:t>3.80</w:t>
            </w:r>
          </w:p>
        </w:tc>
        <w:tc>
          <w:tcPr>
            <w:tcW w:w="1134" w:type="dxa"/>
            <w:vAlign w:val="center"/>
          </w:tcPr>
          <w:p>
            <w:pPr>
              <w:pStyle w:val="12"/>
            </w:pPr>
            <w:r>
              <w:t>3.80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2089999</w:t>
            </w:r>
          </w:p>
        </w:tc>
        <w:tc>
          <w:tcPr>
            <w:tcW w:w="1559" w:type="dxa"/>
            <w:vAlign w:val="center"/>
          </w:tcPr>
          <w:p>
            <w:pPr>
              <w:pStyle w:val="13"/>
            </w:pPr>
            <w:r>
              <w:t>其他社会保障和就业支出</w:t>
            </w:r>
          </w:p>
        </w:tc>
        <w:tc>
          <w:tcPr>
            <w:tcW w:w="1134" w:type="dxa"/>
            <w:vAlign w:val="center"/>
          </w:tcPr>
          <w:p>
            <w:pPr>
              <w:pStyle w:val="12"/>
            </w:pPr>
            <w:r>
              <w:t>3.80</w:t>
            </w:r>
          </w:p>
        </w:tc>
        <w:tc>
          <w:tcPr>
            <w:tcW w:w="1134" w:type="dxa"/>
            <w:vAlign w:val="center"/>
          </w:tcPr>
          <w:p>
            <w:pPr>
              <w:pStyle w:val="12"/>
            </w:pPr>
            <w:r>
              <w:t>3.80</w:t>
            </w:r>
          </w:p>
        </w:tc>
        <w:tc>
          <w:tcPr>
            <w:tcW w:w="1134" w:type="dxa"/>
            <w:vAlign w:val="center"/>
          </w:tcPr>
          <w:p>
            <w:pPr>
              <w:pStyle w:val="12"/>
            </w:pPr>
            <w:r>
              <w:t>3.80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26.61</w:t>
            </w:r>
          </w:p>
        </w:tc>
        <w:tc>
          <w:tcPr>
            <w:tcW w:w="1134" w:type="dxa"/>
            <w:vAlign w:val="center"/>
          </w:tcPr>
          <w:p>
            <w:pPr>
              <w:pStyle w:val="12"/>
            </w:pPr>
            <w:r>
              <w:t>26.61</w:t>
            </w:r>
          </w:p>
        </w:tc>
        <w:tc>
          <w:tcPr>
            <w:tcW w:w="1134" w:type="dxa"/>
            <w:vAlign w:val="center"/>
          </w:tcPr>
          <w:p>
            <w:pPr>
              <w:pStyle w:val="12"/>
            </w:pPr>
            <w:r>
              <w:t>26.61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26.61</w:t>
            </w:r>
          </w:p>
        </w:tc>
        <w:tc>
          <w:tcPr>
            <w:tcW w:w="1134" w:type="dxa"/>
            <w:vAlign w:val="center"/>
          </w:tcPr>
          <w:p>
            <w:pPr>
              <w:pStyle w:val="12"/>
            </w:pPr>
            <w:r>
              <w:t>26.61</w:t>
            </w:r>
          </w:p>
        </w:tc>
        <w:tc>
          <w:tcPr>
            <w:tcW w:w="1134" w:type="dxa"/>
            <w:vAlign w:val="center"/>
          </w:tcPr>
          <w:p>
            <w:pPr>
              <w:pStyle w:val="12"/>
            </w:pPr>
            <w:r>
              <w:t>26.61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26.61</w:t>
            </w:r>
          </w:p>
        </w:tc>
        <w:tc>
          <w:tcPr>
            <w:tcW w:w="1134" w:type="dxa"/>
            <w:vAlign w:val="center"/>
          </w:tcPr>
          <w:p>
            <w:pPr>
              <w:pStyle w:val="12"/>
            </w:pPr>
            <w:r>
              <w:t>26.61</w:t>
            </w:r>
          </w:p>
        </w:tc>
        <w:tc>
          <w:tcPr>
            <w:tcW w:w="1134" w:type="dxa"/>
            <w:vAlign w:val="center"/>
          </w:tcPr>
          <w:p>
            <w:pPr>
              <w:pStyle w:val="12"/>
            </w:pPr>
            <w:r>
              <w:t>26.61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43.89</w:t>
            </w:r>
          </w:p>
        </w:tc>
        <w:tc>
          <w:tcPr>
            <w:tcW w:w="1134" w:type="dxa"/>
            <w:vAlign w:val="center"/>
          </w:tcPr>
          <w:p>
            <w:pPr>
              <w:pStyle w:val="12"/>
            </w:pPr>
            <w:r>
              <w:t>43.89</w:t>
            </w:r>
          </w:p>
        </w:tc>
        <w:tc>
          <w:tcPr>
            <w:tcW w:w="1134" w:type="dxa"/>
            <w:vAlign w:val="center"/>
          </w:tcPr>
          <w:p>
            <w:pPr>
              <w:pStyle w:val="12"/>
            </w:pPr>
            <w:r>
              <w:t>43.89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43.89</w:t>
            </w:r>
          </w:p>
        </w:tc>
        <w:tc>
          <w:tcPr>
            <w:tcW w:w="1134" w:type="dxa"/>
            <w:vAlign w:val="center"/>
          </w:tcPr>
          <w:p>
            <w:pPr>
              <w:pStyle w:val="12"/>
            </w:pPr>
            <w:r>
              <w:t>43.89</w:t>
            </w:r>
          </w:p>
        </w:tc>
        <w:tc>
          <w:tcPr>
            <w:tcW w:w="1134" w:type="dxa"/>
            <w:vAlign w:val="center"/>
          </w:tcPr>
          <w:p>
            <w:pPr>
              <w:pStyle w:val="12"/>
            </w:pPr>
            <w:r>
              <w:t>43.89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43.89</w:t>
            </w:r>
          </w:p>
        </w:tc>
        <w:tc>
          <w:tcPr>
            <w:tcW w:w="1134" w:type="dxa"/>
            <w:vAlign w:val="center"/>
          </w:tcPr>
          <w:p>
            <w:pPr>
              <w:pStyle w:val="12"/>
            </w:pPr>
            <w:r>
              <w:t>43.89</w:t>
            </w:r>
          </w:p>
        </w:tc>
        <w:tc>
          <w:tcPr>
            <w:tcW w:w="1134" w:type="dxa"/>
            <w:vAlign w:val="center"/>
          </w:tcPr>
          <w:p>
            <w:pPr>
              <w:pStyle w:val="12"/>
            </w:pPr>
            <w:r>
              <w:t>43.89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203中国共产党新乐市委员会组织部</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997.61</w:t>
            </w:r>
          </w:p>
        </w:tc>
        <w:tc>
          <w:tcPr>
            <w:tcW w:w="1361" w:type="dxa"/>
            <w:vAlign w:val="center"/>
          </w:tcPr>
          <w:p>
            <w:pPr>
              <w:pStyle w:val="16"/>
            </w:pPr>
            <w:r>
              <w:t>587.36</w:t>
            </w:r>
          </w:p>
        </w:tc>
        <w:tc>
          <w:tcPr>
            <w:tcW w:w="1361" w:type="dxa"/>
            <w:vAlign w:val="center"/>
          </w:tcPr>
          <w:p>
            <w:pPr>
              <w:pStyle w:val="16"/>
            </w:pPr>
            <w:r>
              <w:t>410.25</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810.14</w:t>
            </w:r>
          </w:p>
        </w:tc>
        <w:tc>
          <w:tcPr>
            <w:tcW w:w="1361" w:type="dxa"/>
            <w:vAlign w:val="center"/>
          </w:tcPr>
          <w:p>
            <w:pPr>
              <w:pStyle w:val="12"/>
            </w:pPr>
            <w:r>
              <w:t>399.89</w:t>
            </w:r>
          </w:p>
        </w:tc>
        <w:tc>
          <w:tcPr>
            <w:tcW w:w="1361" w:type="dxa"/>
            <w:vAlign w:val="center"/>
          </w:tcPr>
          <w:p>
            <w:pPr>
              <w:pStyle w:val="12"/>
            </w:pPr>
            <w:r>
              <w:t>410.25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20132</w:t>
            </w:r>
          </w:p>
        </w:tc>
        <w:tc>
          <w:tcPr>
            <w:tcW w:w="4535" w:type="dxa"/>
            <w:vAlign w:val="center"/>
          </w:tcPr>
          <w:p>
            <w:pPr>
              <w:pStyle w:val="13"/>
            </w:pPr>
            <w:r>
              <w:t>组织事务</w:t>
            </w:r>
          </w:p>
        </w:tc>
        <w:tc>
          <w:tcPr>
            <w:tcW w:w="1361" w:type="dxa"/>
            <w:vAlign w:val="center"/>
          </w:tcPr>
          <w:p>
            <w:pPr>
              <w:pStyle w:val="12"/>
            </w:pPr>
            <w:r>
              <w:t>810.14</w:t>
            </w:r>
          </w:p>
        </w:tc>
        <w:tc>
          <w:tcPr>
            <w:tcW w:w="1361" w:type="dxa"/>
            <w:vAlign w:val="center"/>
          </w:tcPr>
          <w:p>
            <w:pPr>
              <w:pStyle w:val="12"/>
            </w:pPr>
            <w:r>
              <w:t>399.89</w:t>
            </w:r>
          </w:p>
        </w:tc>
        <w:tc>
          <w:tcPr>
            <w:tcW w:w="1361" w:type="dxa"/>
            <w:vAlign w:val="center"/>
          </w:tcPr>
          <w:p>
            <w:pPr>
              <w:pStyle w:val="12"/>
            </w:pPr>
            <w:r>
              <w:t>410.25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2013201</w:t>
            </w:r>
          </w:p>
        </w:tc>
        <w:tc>
          <w:tcPr>
            <w:tcW w:w="4535" w:type="dxa"/>
            <w:vAlign w:val="center"/>
          </w:tcPr>
          <w:p>
            <w:pPr>
              <w:pStyle w:val="13"/>
            </w:pPr>
            <w:r>
              <w:t>行政运行</w:t>
            </w:r>
          </w:p>
        </w:tc>
        <w:tc>
          <w:tcPr>
            <w:tcW w:w="1361" w:type="dxa"/>
            <w:vAlign w:val="center"/>
          </w:tcPr>
          <w:p>
            <w:pPr>
              <w:pStyle w:val="12"/>
            </w:pPr>
            <w:r>
              <w:t>399.89</w:t>
            </w:r>
          </w:p>
        </w:tc>
        <w:tc>
          <w:tcPr>
            <w:tcW w:w="1361" w:type="dxa"/>
            <w:vAlign w:val="center"/>
          </w:tcPr>
          <w:p>
            <w:pPr>
              <w:pStyle w:val="12"/>
            </w:pPr>
            <w:r>
              <w:t>399.89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2013202</w:t>
            </w:r>
          </w:p>
        </w:tc>
        <w:tc>
          <w:tcPr>
            <w:tcW w:w="4535" w:type="dxa"/>
            <w:vAlign w:val="center"/>
          </w:tcPr>
          <w:p>
            <w:pPr>
              <w:pStyle w:val="13"/>
            </w:pPr>
            <w:r>
              <w:t>一般行政管理事务</w:t>
            </w:r>
          </w:p>
        </w:tc>
        <w:tc>
          <w:tcPr>
            <w:tcW w:w="1361" w:type="dxa"/>
            <w:vAlign w:val="center"/>
          </w:tcPr>
          <w:p>
            <w:pPr>
              <w:pStyle w:val="12"/>
            </w:pPr>
            <w:r>
              <w:t>352.93</w:t>
            </w:r>
          </w:p>
        </w:tc>
        <w:tc>
          <w:tcPr>
            <w:tcW w:w="1361" w:type="dxa"/>
            <w:vAlign w:val="center"/>
          </w:tcPr>
          <w:p>
            <w:pPr>
              <w:pStyle w:val="12"/>
            </w:pPr>
          </w:p>
        </w:tc>
        <w:tc>
          <w:tcPr>
            <w:tcW w:w="1361" w:type="dxa"/>
            <w:vAlign w:val="center"/>
          </w:tcPr>
          <w:p>
            <w:pPr>
              <w:pStyle w:val="12"/>
            </w:pPr>
            <w:r>
              <w:t>352.93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2013299</w:t>
            </w:r>
          </w:p>
        </w:tc>
        <w:tc>
          <w:tcPr>
            <w:tcW w:w="4535" w:type="dxa"/>
            <w:vAlign w:val="center"/>
          </w:tcPr>
          <w:p>
            <w:pPr>
              <w:pStyle w:val="13"/>
            </w:pPr>
            <w:r>
              <w:t>其他组织事务支出</w:t>
            </w:r>
          </w:p>
        </w:tc>
        <w:tc>
          <w:tcPr>
            <w:tcW w:w="1361" w:type="dxa"/>
            <w:vAlign w:val="center"/>
          </w:tcPr>
          <w:p>
            <w:pPr>
              <w:pStyle w:val="12"/>
            </w:pPr>
            <w:r>
              <w:t>57.32</w:t>
            </w:r>
          </w:p>
        </w:tc>
        <w:tc>
          <w:tcPr>
            <w:tcW w:w="1361" w:type="dxa"/>
            <w:vAlign w:val="center"/>
          </w:tcPr>
          <w:p>
            <w:pPr>
              <w:pStyle w:val="12"/>
            </w:pPr>
          </w:p>
        </w:tc>
        <w:tc>
          <w:tcPr>
            <w:tcW w:w="1361" w:type="dxa"/>
            <w:vAlign w:val="center"/>
          </w:tcPr>
          <w:p>
            <w:pPr>
              <w:pStyle w:val="12"/>
            </w:pPr>
            <w:r>
              <w:t>57.32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116.97</w:t>
            </w:r>
          </w:p>
        </w:tc>
        <w:tc>
          <w:tcPr>
            <w:tcW w:w="1361" w:type="dxa"/>
            <w:vAlign w:val="center"/>
          </w:tcPr>
          <w:p>
            <w:pPr>
              <w:pStyle w:val="12"/>
            </w:pPr>
            <w:r>
              <w:t>116.97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113.17</w:t>
            </w:r>
          </w:p>
        </w:tc>
        <w:tc>
          <w:tcPr>
            <w:tcW w:w="1361" w:type="dxa"/>
            <w:vAlign w:val="center"/>
          </w:tcPr>
          <w:p>
            <w:pPr>
              <w:pStyle w:val="12"/>
            </w:pPr>
            <w:r>
              <w:t>113.17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50.27</w:t>
            </w:r>
          </w:p>
        </w:tc>
        <w:tc>
          <w:tcPr>
            <w:tcW w:w="1361" w:type="dxa"/>
            <w:vAlign w:val="center"/>
          </w:tcPr>
          <w:p>
            <w:pPr>
              <w:pStyle w:val="12"/>
            </w:pPr>
            <w:r>
              <w:t>50.27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52.70</w:t>
            </w:r>
          </w:p>
        </w:tc>
        <w:tc>
          <w:tcPr>
            <w:tcW w:w="1361" w:type="dxa"/>
            <w:vAlign w:val="center"/>
          </w:tcPr>
          <w:p>
            <w:pPr>
              <w:pStyle w:val="12"/>
            </w:pPr>
            <w:r>
              <w:t>52.70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10.20</w:t>
            </w:r>
          </w:p>
        </w:tc>
        <w:tc>
          <w:tcPr>
            <w:tcW w:w="1361" w:type="dxa"/>
            <w:vAlign w:val="center"/>
          </w:tcPr>
          <w:p>
            <w:pPr>
              <w:pStyle w:val="12"/>
            </w:pPr>
            <w:r>
              <w:t>10.20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20899</w:t>
            </w:r>
          </w:p>
        </w:tc>
        <w:tc>
          <w:tcPr>
            <w:tcW w:w="4535" w:type="dxa"/>
            <w:vAlign w:val="center"/>
          </w:tcPr>
          <w:p>
            <w:pPr>
              <w:pStyle w:val="13"/>
            </w:pPr>
            <w:r>
              <w:t>其他社会保障和就业支出</w:t>
            </w:r>
          </w:p>
        </w:tc>
        <w:tc>
          <w:tcPr>
            <w:tcW w:w="1361" w:type="dxa"/>
            <w:vAlign w:val="center"/>
          </w:tcPr>
          <w:p>
            <w:pPr>
              <w:pStyle w:val="12"/>
            </w:pPr>
            <w:r>
              <w:t>3.80</w:t>
            </w:r>
          </w:p>
        </w:tc>
        <w:tc>
          <w:tcPr>
            <w:tcW w:w="1361" w:type="dxa"/>
            <w:vAlign w:val="center"/>
          </w:tcPr>
          <w:p>
            <w:pPr>
              <w:pStyle w:val="12"/>
            </w:pPr>
            <w:r>
              <w:t>3.80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2089999</w:t>
            </w:r>
          </w:p>
        </w:tc>
        <w:tc>
          <w:tcPr>
            <w:tcW w:w="4535" w:type="dxa"/>
            <w:vAlign w:val="center"/>
          </w:tcPr>
          <w:p>
            <w:pPr>
              <w:pStyle w:val="13"/>
            </w:pPr>
            <w:r>
              <w:t>其他社会保障和就业支出</w:t>
            </w:r>
          </w:p>
        </w:tc>
        <w:tc>
          <w:tcPr>
            <w:tcW w:w="1361" w:type="dxa"/>
            <w:vAlign w:val="center"/>
          </w:tcPr>
          <w:p>
            <w:pPr>
              <w:pStyle w:val="12"/>
            </w:pPr>
            <w:r>
              <w:t>3.80</w:t>
            </w:r>
          </w:p>
        </w:tc>
        <w:tc>
          <w:tcPr>
            <w:tcW w:w="1361" w:type="dxa"/>
            <w:vAlign w:val="center"/>
          </w:tcPr>
          <w:p>
            <w:pPr>
              <w:pStyle w:val="12"/>
            </w:pPr>
            <w:r>
              <w:t>3.80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26.61</w:t>
            </w:r>
          </w:p>
        </w:tc>
        <w:tc>
          <w:tcPr>
            <w:tcW w:w="1361" w:type="dxa"/>
            <w:vAlign w:val="center"/>
          </w:tcPr>
          <w:p>
            <w:pPr>
              <w:pStyle w:val="12"/>
            </w:pPr>
            <w:r>
              <w:t>26.61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26.61</w:t>
            </w:r>
          </w:p>
        </w:tc>
        <w:tc>
          <w:tcPr>
            <w:tcW w:w="1361" w:type="dxa"/>
            <w:vAlign w:val="center"/>
          </w:tcPr>
          <w:p>
            <w:pPr>
              <w:pStyle w:val="12"/>
            </w:pPr>
            <w:r>
              <w:t>26.61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26.61</w:t>
            </w:r>
          </w:p>
        </w:tc>
        <w:tc>
          <w:tcPr>
            <w:tcW w:w="1361" w:type="dxa"/>
            <w:vAlign w:val="center"/>
          </w:tcPr>
          <w:p>
            <w:pPr>
              <w:pStyle w:val="12"/>
            </w:pPr>
            <w:r>
              <w:t>26.61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43.89</w:t>
            </w:r>
          </w:p>
        </w:tc>
        <w:tc>
          <w:tcPr>
            <w:tcW w:w="1361" w:type="dxa"/>
            <w:vAlign w:val="center"/>
          </w:tcPr>
          <w:p>
            <w:pPr>
              <w:pStyle w:val="12"/>
            </w:pPr>
            <w:r>
              <w:t>43.89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43.89</w:t>
            </w:r>
          </w:p>
        </w:tc>
        <w:tc>
          <w:tcPr>
            <w:tcW w:w="1361" w:type="dxa"/>
            <w:vAlign w:val="center"/>
          </w:tcPr>
          <w:p>
            <w:pPr>
              <w:pStyle w:val="12"/>
            </w:pPr>
            <w:r>
              <w:t>43.89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43.89</w:t>
            </w:r>
          </w:p>
        </w:tc>
        <w:tc>
          <w:tcPr>
            <w:tcW w:w="1361" w:type="dxa"/>
            <w:vAlign w:val="center"/>
          </w:tcPr>
          <w:p>
            <w:pPr>
              <w:pStyle w:val="12"/>
            </w:pPr>
            <w:r>
              <w:t>43.89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203中国共产党新乐市委员会组织部</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997.61</w:t>
            </w:r>
          </w:p>
        </w:tc>
        <w:tc>
          <w:tcPr>
            <w:tcW w:w="3402" w:type="dxa"/>
            <w:vAlign w:val="center"/>
          </w:tcPr>
          <w:p>
            <w:pPr>
              <w:pStyle w:val="13"/>
            </w:pPr>
            <w:r>
              <w:t>一、一般公共服务支出</w:t>
            </w:r>
          </w:p>
        </w:tc>
        <w:tc>
          <w:tcPr>
            <w:tcW w:w="1474" w:type="dxa"/>
            <w:vAlign w:val="center"/>
          </w:tcPr>
          <w:p>
            <w:pPr>
              <w:pStyle w:val="12"/>
            </w:pPr>
            <w:r>
              <w:t>810.14</w:t>
            </w:r>
          </w:p>
        </w:tc>
        <w:tc>
          <w:tcPr>
            <w:tcW w:w="1474" w:type="dxa"/>
            <w:vAlign w:val="center"/>
          </w:tcPr>
          <w:p>
            <w:pPr>
              <w:pStyle w:val="12"/>
            </w:pPr>
            <w:r>
              <w:t>810.14</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116.97</w:t>
            </w:r>
          </w:p>
        </w:tc>
        <w:tc>
          <w:tcPr>
            <w:tcW w:w="1474" w:type="dxa"/>
            <w:vAlign w:val="center"/>
          </w:tcPr>
          <w:p>
            <w:pPr>
              <w:pStyle w:val="12"/>
            </w:pPr>
            <w:r>
              <w:t>116.97</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26.61</w:t>
            </w:r>
          </w:p>
        </w:tc>
        <w:tc>
          <w:tcPr>
            <w:tcW w:w="1474" w:type="dxa"/>
            <w:vAlign w:val="center"/>
          </w:tcPr>
          <w:p>
            <w:pPr>
              <w:pStyle w:val="12"/>
            </w:pPr>
            <w:r>
              <w:t>26.61</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43.89</w:t>
            </w:r>
          </w:p>
        </w:tc>
        <w:tc>
          <w:tcPr>
            <w:tcW w:w="1474" w:type="dxa"/>
            <w:vAlign w:val="center"/>
          </w:tcPr>
          <w:p>
            <w:pPr>
              <w:pStyle w:val="12"/>
            </w:pPr>
            <w:r>
              <w:t>43.89</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997.61</w:t>
            </w:r>
          </w:p>
        </w:tc>
        <w:tc>
          <w:tcPr>
            <w:tcW w:w="3402" w:type="dxa"/>
            <w:vAlign w:val="center"/>
          </w:tcPr>
          <w:p>
            <w:pPr>
              <w:pStyle w:val="15"/>
            </w:pPr>
            <w:r>
              <w:t>本年支出合计</w:t>
            </w:r>
          </w:p>
        </w:tc>
        <w:tc>
          <w:tcPr>
            <w:tcW w:w="1474" w:type="dxa"/>
            <w:vAlign w:val="center"/>
          </w:tcPr>
          <w:p>
            <w:pPr>
              <w:pStyle w:val="16"/>
            </w:pPr>
            <w:r>
              <w:t>997.61</w:t>
            </w:r>
          </w:p>
        </w:tc>
        <w:tc>
          <w:tcPr>
            <w:tcW w:w="1474" w:type="dxa"/>
            <w:vAlign w:val="center"/>
          </w:tcPr>
          <w:p>
            <w:pPr>
              <w:pStyle w:val="16"/>
            </w:pPr>
            <w:r>
              <w:t>997.61</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997.61</w:t>
            </w:r>
          </w:p>
        </w:tc>
        <w:tc>
          <w:tcPr>
            <w:tcW w:w="3402" w:type="dxa"/>
            <w:vAlign w:val="center"/>
          </w:tcPr>
          <w:p>
            <w:pPr>
              <w:pStyle w:val="15"/>
            </w:pPr>
            <w:r>
              <w:t>支出总计</w:t>
            </w:r>
          </w:p>
        </w:tc>
        <w:tc>
          <w:tcPr>
            <w:tcW w:w="1474" w:type="dxa"/>
            <w:vAlign w:val="center"/>
          </w:tcPr>
          <w:p>
            <w:pPr>
              <w:pStyle w:val="16"/>
            </w:pPr>
            <w:r>
              <w:t>997.61</w:t>
            </w:r>
          </w:p>
        </w:tc>
        <w:tc>
          <w:tcPr>
            <w:tcW w:w="1474" w:type="dxa"/>
            <w:vAlign w:val="center"/>
          </w:tcPr>
          <w:p>
            <w:pPr>
              <w:pStyle w:val="16"/>
            </w:pPr>
            <w:r>
              <w:t>997.61</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203中国共产党新乐市委员会组织部</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997.61</w:t>
            </w:r>
          </w:p>
        </w:tc>
        <w:tc>
          <w:tcPr>
            <w:tcW w:w="2551" w:type="dxa"/>
            <w:vAlign w:val="center"/>
          </w:tcPr>
          <w:p>
            <w:pPr>
              <w:pStyle w:val="16"/>
            </w:pPr>
            <w:r>
              <w:t>587.36</w:t>
            </w:r>
          </w:p>
        </w:tc>
        <w:tc>
          <w:tcPr>
            <w:tcW w:w="2551" w:type="dxa"/>
            <w:vAlign w:val="center"/>
          </w:tcPr>
          <w:p>
            <w:pPr>
              <w:pStyle w:val="16"/>
            </w:pPr>
            <w:r>
              <w:t>410.25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810.14</w:t>
            </w:r>
          </w:p>
        </w:tc>
        <w:tc>
          <w:tcPr>
            <w:tcW w:w="2551" w:type="dxa"/>
            <w:vAlign w:val="center"/>
          </w:tcPr>
          <w:p>
            <w:pPr>
              <w:pStyle w:val="12"/>
            </w:pPr>
            <w:r>
              <w:t>399.89</w:t>
            </w:r>
          </w:p>
        </w:tc>
        <w:tc>
          <w:tcPr>
            <w:tcW w:w="2551" w:type="dxa"/>
            <w:vAlign w:val="center"/>
          </w:tcPr>
          <w:p>
            <w:pPr>
              <w:pStyle w:val="12"/>
            </w:pPr>
            <w:r>
              <w:t>410.25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20132</w:t>
            </w:r>
          </w:p>
        </w:tc>
        <w:tc>
          <w:tcPr>
            <w:tcW w:w="4535" w:type="dxa"/>
            <w:vAlign w:val="center"/>
          </w:tcPr>
          <w:p>
            <w:pPr>
              <w:pStyle w:val="13"/>
            </w:pPr>
            <w:r>
              <w:t>组织事务</w:t>
            </w:r>
          </w:p>
        </w:tc>
        <w:tc>
          <w:tcPr>
            <w:tcW w:w="2551" w:type="dxa"/>
            <w:vAlign w:val="center"/>
          </w:tcPr>
          <w:p>
            <w:pPr>
              <w:pStyle w:val="12"/>
            </w:pPr>
            <w:r>
              <w:t>810.14</w:t>
            </w:r>
          </w:p>
        </w:tc>
        <w:tc>
          <w:tcPr>
            <w:tcW w:w="2551" w:type="dxa"/>
            <w:vAlign w:val="center"/>
          </w:tcPr>
          <w:p>
            <w:pPr>
              <w:pStyle w:val="12"/>
            </w:pPr>
            <w:r>
              <w:t>399.89</w:t>
            </w:r>
          </w:p>
        </w:tc>
        <w:tc>
          <w:tcPr>
            <w:tcW w:w="2551" w:type="dxa"/>
            <w:vAlign w:val="center"/>
          </w:tcPr>
          <w:p>
            <w:pPr>
              <w:pStyle w:val="12"/>
            </w:pPr>
            <w:r>
              <w:t>410.25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2013201</w:t>
            </w:r>
          </w:p>
        </w:tc>
        <w:tc>
          <w:tcPr>
            <w:tcW w:w="4535" w:type="dxa"/>
            <w:vAlign w:val="center"/>
          </w:tcPr>
          <w:p>
            <w:pPr>
              <w:pStyle w:val="13"/>
            </w:pPr>
            <w:r>
              <w:t>行政运行</w:t>
            </w:r>
          </w:p>
        </w:tc>
        <w:tc>
          <w:tcPr>
            <w:tcW w:w="2551" w:type="dxa"/>
            <w:vAlign w:val="center"/>
          </w:tcPr>
          <w:p>
            <w:pPr>
              <w:pStyle w:val="12"/>
            </w:pPr>
            <w:r>
              <w:t>399.89</w:t>
            </w:r>
          </w:p>
        </w:tc>
        <w:tc>
          <w:tcPr>
            <w:tcW w:w="2551" w:type="dxa"/>
            <w:vAlign w:val="center"/>
          </w:tcPr>
          <w:p>
            <w:pPr>
              <w:pStyle w:val="12"/>
            </w:pPr>
            <w:r>
              <w:t>399.89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2013202</w:t>
            </w:r>
          </w:p>
        </w:tc>
        <w:tc>
          <w:tcPr>
            <w:tcW w:w="4535" w:type="dxa"/>
            <w:vAlign w:val="center"/>
          </w:tcPr>
          <w:p>
            <w:pPr>
              <w:pStyle w:val="13"/>
            </w:pPr>
            <w:r>
              <w:t>一般行政管理事务</w:t>
            </w:r>
          </w:p>
        </w:tc>
        <w:tc>
          <w:tcPr>
            <w:tcW w:w="2551" w:type="dxa"/>
            <w:vAlign w:val="center"/>
          </w:tcPr>
          <w:p>
            <w:pPr>
              <w:pStyle w:val="12"/>
            </w:pPr>
            <w:r>
              <w:t>352.93</w:t>
            </w:r>
          </w:p>
        </w:tc>
        <w:tc>
          <w:tcPr>
            <w:tcW w:w="2551" w:type="dxa"/>
            <w:vAlign w:val="center"/>
          </w:tcPr>
          <w:p>
            <w:pPr>
              <w:pStyle w:val="12"/>
            </w:pPr>
          </w:p>
        </w:tc>
        <w:tc>
          <w:tcPr>
            <w:tcW w:w="2551" w:type="dxa"/>
            <w:vAlign w:val="center"/>
          </w:tcPr>
          <w:p>
            <w:pPr>
              <w:pStyle w:val="12"/>
            </w:pPr>
            <w:r>
              <w:t>352.93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2013299</w:t>
            </w:r>
          </w:p>
        </w:tc>
        <w:tc>
          <w:tcPr>
            <w:tcW w:w="4535" w:type="dxa"/>
            <w:vAlign w:val="center"/>
          </w:tcPr>
          <w:p>
            <w:pPr>
              <w:pStyle w:val="13"/>
            </w:pPr>
            <w:r>
              <w:t>其他组织事务支出</w:t>
            </w:r>
          </w:p>
        </w:tc>
        <w:tc>
          <w:tcPr>
            <w:tcW w:w="2551" w:type="dxa"/>
            <w:vAlign w:val="center"/>
          </w:tcPr>
          <w:p>
            <w:pPr>
              <w:pStyle w:val="12"/>
            </w:pPr>
            <w:r>
              <w:t>57.32</w:t>
            </w:r>
          </w:p>
        </w:tc>
        <w:tc>
          <w:tcPr>
            <w:tcW w:w="2551" w:type="dxa"/>
            <w:vAlign w:val="center"/>
          </w:tcPr>
          <w:p>
            <w:pPr>
              <w:pStyle w:val="12"/>
            </w:pPr>
          </w:p>
        </w:tc>
        <w:tc>
          <w:tcPr>
            <w:tcW w:w="2551" w:type="dxa"/>
            <w:vAlign w:val="center"/>
          </w:tcPr>
          <w:p>
            <w:pPr>
              <w:pStyle w:val="12"/>
            </w:pPr>
            <w:r>
              <w:t>57.32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116.97</w:t>
            </w:r>
          </w:p>
        </w:tc>
        <w:tc>
          <w:tcPr>
            <w:tcW w:w="2551" w:type="dxa"/>
            <w:vAlign w:val="center"/>
          </w:tcPr>
          <w:p>
            <w:pPr>
              <w:pStyle w:val="12"/>
            </w:pPr>
            <w:r>
              <w:t>116.97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113.17</w:t>
            </w:r>
          </w:p>
        </w:tc>
        <w:tc>
          <w:tcPr>
            <w:tcW w:w="2551" w:type="dxa"/>
            <w:vAlign w:val="center"/>
          </w:tcPr>
          <w:p>
            <w:pPr>
              <w:pStyle w:val="12"/>
            </w:pPr>
            <w:r>
              <w:t>113.17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50.27</w:t>
            </w:r>
          </w:p>
        </w:tc>
        <w:tc>
          <w:tcPr>
            <w:tcW w:w="2551" w:type="dxa"/>
            <w:vAlign w:val="center"/>
          </w:tcPr>
          <w:p>
            <w:pPr>
              <w:pStyle w:val="12"/>
            </w:pPr>
            <w:r>
              <w:t>50.27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52.70</w:t>
            </w:r>
          </w:p>
        </w:tc>
        <w:tc>
          <w:tcPr>
            <w:tcW w:w="2551" w:type="dxa"/>
            <w:vAlign w:val="center"/>
          </w:tcPr>
          <w:p>
            <w:pPr>
              <w:pStyle w:val="12"/>
            </w:pPr>
            <w:r>
              <w:t>52.70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10.20</w:t>
            </w:r>
          </w:p>
        </w:tc>
        <w:tc>
          <w:tcPr>
            <w:tcW w:w="2551" w:type="dxa"/>
            <w:vAlign w:val="center"/>
          </w:tcPr>
          <w:p>
            <w:pPr>
              <w:pStyle w:val="12"/>
            </w:pPr>
            <w:r>
              <w:t>10.20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20899</w:t>
            </w:r>
          </w:p>
        </w:tc>
        <w:tc>
          <w:tcPr>
            <w:tcW w:w="4535" w:type="dxa"/>
            <w:vAlign w:val="center"/>
          </w:tcPr>
          <w:p>
            <w:pPr>
              <w:pStyle w:val="13"/>
            </w:pPr>
            <w:r>
              <w:t>其他社会保障和就业支出</w:t>
            </w:r>
          </w:p>
        </w:tc>
        <w:tc>
          <w:tcPr>
            <w:tcW w:w="2551" w:type="dxa"/>
            <w:vAlign w:val="center"/>
          </w:tcPr>
          <w:p>
            <w:pPr>
              <w:pStyle w:val="12"/>
            </w:pPr>
            <w:r>
              <w:t>3.80</w:t>
            </w:r>
          </w:p>
        </w:tc>
        <w:tc>
          <w:tcPr>
            <w:tcW w:w="2551" w:type="dxa"/>
            <w:vAlign w:val="center"/>
          </w:tcPr>
          <w:p>
            <w:pPr>
              <w:pStyle w:val="12"/>
            </w:pPr>
            <w:r>
              <w:t>3.80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2089999</w:t>
            </w:r>
          </w:p>
        </w:tc>
        <w:tc>
          <w:tcPr>
            <w:tcW w:w="4535" w:type="dxa"/>
            <w:vAlign w:val="center"/>
          </w:tcPr>
          <w:p>
            <w:pPr>
              <w:pStyle w:val="13"/>
            </w:pPr>
            <w:r>
              <w:t>其他社会保障和就业支出</w:t>
            </w:r>
          </w:p>
        </w:tc>
        <w:tc>
          <w:tcPr>
            <w:tcW w:w="2551" w:type="dxa"/>
            <w:vAlign w:val="center"/>
          </w:tcPr>
          <w:p>
            <w:pPr>
              <w:pStyle w:val="12"/>
            </w:pPr>
            <w:r>
              <w:t>3.80</w:t>
            </w:r>
          </w:p>
        </w:tc>
        <w:tc>
          <w:tcPr>
            <w:tcW w:w="2551" w:type="dxa"/>
            <w:vAlign w:val="center"/>
          </w:tcPr>
          <w:p>
            <w:pPr>
              <w:pStyle w:val="12"/>
            </w:pPr>
            <w:r>
              <w:t>3.80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26.61</w:t>
            </w:r>
          </w:p>
        </w:tc>
        <w:tc>
          <w:tcPr>
            <w:tcW w:w="2551" w:type="dxa"/>
            <w:vAlign w:val="center"/>
          </w:tcPr>
          <w:p>
            <w:pPr>
              <w:pStyle w:val="12"/>
            </w:pPr>
            <w:r>
              <w:t>26.61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26.61</w:t>
            </w:r>
          </w:p>
        </w:tc>
        <w:tc>
          <w:tcPr>
            <w:tcW w:w="2551" w:type="dxa"/>
            <w:vAlign w:val="center"/>
          </w:tcPr>
          <w:p>
            <w:pPr>
              <w:pStyle w:val="12"/>
            </w:pPr>
            <w:r>
              <w:t>26.61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26.61</w:t>
            </w:r>
          </w:p>
        </w:tc>
        <w:tc>
          <w:tcPr>
            <w:tcW w:w="2551" w:type="dxa"/>
            <w:vAlign w:val="center"/>
          </w:tcPr>
          <w:p>
            <w:pPr>
              <w:pStyle w:val="12"/>
            </w:pPr>
            <w:r>
              <w:t>26.61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43.89</w:t>
            </w:r>
          </w:p>
        </w:tc>
        <w:tc>
          <w:tcPr>
            <w:tcW w:w="2551" w:type="dxa"/>
            <w:vAlign w:val="center"/>
          </w:tcPr>
          <w:p>
            <w:pPr>
              <w:pStyle w:val="12"/>
            </w:pPr>
            <w:r>
              <w:t>43.89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43.89</w:t>
            </w:r>
          </w:p>
        </w:tc>
        <w:tc>
          <w:tcPr>
            <w:tcW w:w="2551" w:type="dxa"/>
            <w:vAlign w:val="center"/>
          </w:tcPr>
          <w:p>
            <w:pPr>
              <w:pStyle w:val="12"/>
            </w:pPr>
            <w:r>
              <w:t>43.89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43.89</w:t>
            </w:r>
          </w:p>
        </w:tc>
        <w:tc>
          <w:tcPr>
            <w:tcW w:w="2551" w:type="dxa"/>
            <w:vAlign w:val="center"/>
          </w:tcPr>
          <w:p>
            <w:pPr>
              <w:pStyle w:val="12"/>
            </w:pPr>
            <w:r>
              <w:t>43.89</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203中国共产党新乐市委员会组织部</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587.36</w:t>
            </w:r>
          </w:p>
        </w:tc>
        <w:tc>
          <w:tcPr>
            <w:tcW w:w="2551" w:type="dxa"/>
            <w:vAlign w:val="center"/>
          </w:tcPr>
          <w:p>
            <w:pPr>
              <w:pStyle w:val="16"/>
            </w:pPr>
            <w:r>
              <w:t>541.30</w:t>
            </w:r>
          </w:p>
        </w:tc>
        <w:tc>
          <w:tcPr>
            <w:tcW w:w="2551" w:type="dxa"/>
            <w:vAlign w:val="center"/>
          </w:tcPr>
          <w:p>
            <w:pPr>
              <w:pStyle w:val="16"/>
            </w:pPr>
            <w:r>
              <w:t>46.06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491.03</w:t>
            </w:r>
          </w:p>
        </w:tc>
        <w:tc>
          <w:tcPr>
            <w:tcW w:w="2551" w:type="dxa"/>
            <w:vAlign w:val="center"/>
          </w:tcPr>
          <w:p>
            <w:pPr>
              <w:pStyle w:val="12"/>
            </w:pPr>
            <w:r>
              <w:t>491.03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176.55</w:t>
            </w:r>
          </w:p>
        </w:tc>
        <w:tc>
          <w:tcPr>
            <w:tcW w:w="2551" w:type="dxa"/>
            <w:vAlign w:val="center"/>
          </w:tcPr>
          <w:p>
            <w:pPr>
              <w:pStyle w:val="12"/>
            </w:pPr>
            <w:r>
              <w:t>176.55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61.76</w:t>
            </w:r>
          </w:p>
        </w:tc>
        <w:tc>
          <w:tcPr>
            <w:tcW w:w="2551" w:type="dxa"/>
            <w:vAlign w:val="center"/>
          </w:tcPr>
          <w:p>
            <w:pPr>
              <w:pStyle w:val="12"/>
            </w:pPr>
            <w:r>
              <w:t>61.76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51.38</w:t>
            </w:r>
          </w:p>
        </w:tc>
        <w:tc>
          <w:tcPr>
            <w:tcW w:w="2551" w:type="dxa"/>
            <w:vAlign w:val="center"/>
          </w:tcPr>
          <w:p>
            <w:pPr>
              <w:pStyle w:val="12"/>
            </w:pPr>
            <w:r>
              <w:t>51.38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64.14</w:t>
            </w:r>
          </w:p>
        </w:tc>
        <w:tc>
          <w:tcPr>
            <w:tcW w:w="2551" w:type="dxa"/>
            <w:vAlign w:val="center"/>
          </w:tcPr>
          <w:p>
            <w:pPr>
              <w:pStyle w:val="12"/>
            </w:pPr>
            <w:r>
              <w:t>64.14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52.70</w:t>
            </w:r>
          </w:p>
        </w:tc>
        <w:tc>
          <w:tcPr>
            <w:tcW w:w="2551" w:type="dxa"/>
            <w:vAlign w:val="center"/>
          </w:tcPr>
          <w:p>
            <w:pPr>
              <w:pStyle w:val="12"/>
            </w:pPr>
            <w:r>
              <w:t>52.70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10.20</w:t>
            </w:r>
          </w:p>
        </w:tc>
        <w:tc>
          <w:tcPr>
            <w:tcW w:w="2551" w:type="dxa"/>
            <w:vAlign w:val="center"/>
          </w:tcPr>
          <w:p>
            <w:pPr>
              <w:pStyle w:val="12"/>
            </w:pPr>
            <w:r>
              <w:t>10.20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26.61</w:t>
            </w:r>
          </w:p>
        </w:tc>
        <w:tc>
          <w:tcPr>
            <w:tcW w:w="2551" w:type="dxa"/>
            <w:vAlign w:val="center"/>
          </w:tcPr>
          <w:p>
            <w:pPr>
              <w:pStyle w:val="12"/>
            </w:pPr>
            <w:r>
              <w:t>26.61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3.80</w:t>
            </w:r>
          </w:p>
        </w:tc>
        <w:tc>
          <w:tcPr>
            <w:tcW w:w="2551" w:type="dxa"/>
            <w:vAlign w:val="center"/>
          </w:tcPr>
          <w:p>
            <w:pPr>
              <w:pStyle w:val="12"/>
            </w:pPr>
            <w:r>
              <w:t>3.80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43.89</w:t>
            </w:r>
          </w:p>
        </w:tc>
        <w:tc>
          <w:tcPr>
            <w:tcW w:w="2551" w:type="dxa"/>
            <w:vAlign w:val="center"/>
          </w:tcPr>
          <w:p>
            <w:pPr>
              <w:pStyle w:val="12"/>
            </w:pPr>
            <w:r>
              <w:t>43.89</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46.06</w:t>
            </w:r>
          </w:p>
        </w:tc>
        <w:tc>
          <w:tcPr>
            <w:tcW w:w="2551" w:type="dxa"/>
            <w:vAlign w:val="center"/>
          </w:tcPr>
          <w:p>
            <w:pPr>
              <w:pStyle w:val="12"/>
            </w:pPr>
          </w:p>
        </w:tc>
        <w:tc>
          <w:tcPr>
            <w:tcW w:w="2551" w:type="dxa"/>
            <w:vAlign w:val="center"/>
          </w:tcPr>
          <w:p>
            <w:pPr>
              <w:pStyle w:val="12"/>
            </w:pPr>
            <w:r>
              <w:t>46.06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4.17</w:t>
            </w:r>
          </w:p>
        </w:tc>
        <w:tc>
          <w:tcPr>
            <w:tcW w:w="2551" w:type="dxa"/>
            <w:vAlign w:val="center"/>
          </w:tcPr>
          <w:p>
            <w:pPr>
              <w:pStyle w:val="12"/>
            </w:pPr>
          </w:p>
        </w:tc>
        <w:tc>
          <w:tcPr>
            <w:tcW w:w="2551" w:type="dxa"/>
            <w:vAlign w:val="center"/>
          </w:tcPr>
          <w:p>
            <w:pPr>
              <w:pStyle w:val="12"/>
            </w:pPr>
            <w:r>
              <w:t>4.17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10.92</w:t>
            </w:r>
          </w:p>
        </w:tc>
        <w:tc>
          <w:tcPr>
            <w:tcW w:w="2551" w:type="dxa"/>
            <w:vAlign w:val="center"/>
          </w:tcPr>
          <w:p>
            <w:pPr>
              <w:pStyle w:val="12"/>
            </w:pPr>
          </w:p>
        </w:tc>
        <w:tc>
          <w:tcPr>
            <w:tcW w:w="2551" w:type="dxa"/>
            <w:vAlign w:val="center"/>
          </w:tcPr>
          <w:p>
            <w:pPr>
              <w:pStyle w:val="12"/>
            </w:pPr>
            <w:r>
              <w:t>10.92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3.60</w:t>
            </w:r>
          </w:p>
        </w:tc>
        <w:tc>
          <w:tcPr>
            <w:tcW w:w="2551" w:type="dxa"/>
            <w:vAlign w:val="center"/>
          </w:tcPr>
          <w:p>
            <w:pPr>
              <w:pStyle w:val="12"/>
            </w:pPr>
          </w:p>
        </w:tc>
        <w:tc>
          <w:tcPr>
            <w:tcW w:w="2551" w:type="dxa"/>
            <w:vAlign w:val="center"/>
          </w:tcPr>
          <w:p>
            <w:pPr>
              <w:pStyle w:val="12"/>
            </w:pPr>
            <w:r>
              <w:t>3.60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2.33</w:t>
            </w:r>
          </w:p>
        </w:tc>
        <w:tc>
          <w:tcPr>
            <w:tcW w:w="2551" w:type="dxa"/>
            <w:vAlign w:val="center"/>
          </w:tcPr>
          <w:p>
            <w:pPr>
              <w:pStyle w:val="12"/>
            </w:pPr>
          </w:p>
        </w:tc>
        <w:tc>
          <w:tcPr>
            <w:tcW w:w="2551" w:type="dxa"/>
            <w:vAlign w:val="center"/>
          </w:tcPr>
          <w:p>
            <w:pPr>
              <w:pStyle w:val="12"/>
            </w:pPr>
            <w:r>
              <w:t>2.33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15.42</w:t>
            </w:r>
          </w:p>
        </w:tc>
        <w:tc>
          <w:tcPr>
            <w:tcW w:w="2551" w:type="dxa"/>
            <w:vAlign w:val="center"/>
          </w:tcPr>
          <w:p>
            <w:pPr>
              <w:pStyle w:val="12"/>
            </w:pPr>
          </w:p>
        </w:tc>
        <w:tc>
          <w:tcPr>
            <w:tcW w:w="2551" w:type="dxa"/>
            <w:vAlign w:val="center"/>
          </w:tcPr>
          <w:p>
            <w:pPr>
              <w:pStyle w:val="12"/>
            </w:pPr>
            <w:r>
              <w:t>15.42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9.62</w:t>
            </w:r>
          </w:p>
        </w:tc>
        <w:tc>
          <w:tcPr>
            <w:tcW w:w="2551" w:type="dxa"/>
            <w:vAlign w:val="center"/>
          </w:tcPr>
          <w:p>
            <w:pPr>
              <w:pStyle w:val="12"/>
            </w:pPr>
          </w:p>
        </w:tc>
        <w:tc>
          <w:tcPr>
            <w:tcW w:w="2551" w:type="dxa"/>
            <w:vAlign w:val="center"/>
          </w:tcPr>
          <w:p>
            <w:pPr>
              <w:pStyle w:val="12"/>
            </w:pPr>
            <w:r>
              <w:t>9.62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50.27</w:t>
            </w:r>
          </w:p>
        </w:tc>
        <w:tc>
          <w:tcPr>
            <w:tcW w:w="2551" w:type="dxa"/>
            <w:vAlign w:val="center"/>
          </w:tcPr>
          <w:p>
            <w:pPr>
              <w:pStyle w:val="12"/>
            </w:pPr>
            <w:r>
              <w:t>50.27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50.27</w:t>
            </w:r>
          </w:p>
        </w:tc>
        <w:tc>
          <w:tcPr>
            <w:tcW w:w="2551" w:type="dxa"/>
            <w:vAlign w:val="center"/>
          </w:tcPr>
          <w:p>
            <w:pPr>
              <w:pStyle w:val="12"/>
            </w:pPr>
            <w:r>
              <w:t>50.27</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203中国共产党新乐市委员会组织部</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203中国共产党新乐市委员会组织部</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203中国共产党新乐市委员会组织部</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2.33</w:t>
            </w:r>
          </w:p>
        </w:tc>
        <w:tc>
          <w:tcPr>
            <w:tcW w:w="2381" w:type="dxa"/>
            <w:vAlign w:val="center"/>
          </w:tcPr>
          <w:p>
            <w:pPr>
              <w:pStyle w:val="16"/>
            </w:pPr>
            <w:r>
              <w:t>2.33</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二、公务用车购置及运维费</w:t>
            </w:r>
          </w:p>
        </w:tc>
        <w:tc>
          <w:tcPr>
            <w:tcW w:w="2381" w:type="dxa"/>
            <w:vAlign w:val="center"/>
          </w:tcPr>
          <w:p>
            <w:pPr>
              <w:pStyle w:val="12"/>
            </w:pPr>
            <w:r>
              <w:t>2.33</w:t>
            </w:r>
          </w:p>
        </w:tc>
        <w:tc>
          <w:tcPr>
            <w:tcW w:w="2381" w:type="dxa"/>
            <w:vAlign w:val="center"/>
          </w:tcPr>
          <w:p>
            <w:pPr>
              <w:pStyle w:val="12"/>
            </w:pPr>
            <w:r>
              <w:t>2.33</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公务用车运行维护费</w:t>
            </w:r>
          </w:p>
        </w:tc>
        <w:tc>
          <w:tcPr>
            <w:tcW w:w="2381" w:type="dxa"/>
            <w:vAlign w:val="center"/>
          </w:tcPr>
          <w:p>
            <w:pPr>
              <w:pStyle w:val="12"/>
            </w:pPr>
            <w:r>
              <w:t>2.33</w:t>
            </w:r>
          </w:p>
        </w:tc>
        <w:tc>
          <w:tcPr>
            <w:tcW w:w="2381" w:type="dxa"/>
            <w:vAlign w:val="center"/>
          </w:tcPr>
          <w:p>
            <w:pPr>
              <w:pStyle w:val="12"/>
            </w:pPr>
            <w:r>
              <w:t>2.33</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三、公务接待费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中国共产党新乐市委员会组织部2026年部门预算信息公开情况说明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中国共产党新乐市委员会组织部2026年部门预算信息公开情况说明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按照《中华人民共和国预算法》、《地方预决算公开操作规程》和《关于进一步推进预算公开工作的实施意见》规定，现将中国共产党新乐市委员会组织部2026年部门预算公开如下：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中国共产党新乐市委员会组织部本级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按照预算管理有关规定，目前部门预算的编制实行综合预算管理，即全部收入和支出都反映在预算中。中国共产党新乐市委员会组织部机关及所属事业单位的收支包含在部门预算中。</w:t>
      </w:r>
    </w:p>
    <w:p>
      <w:pPr>
        <w:pStyle w:val="19"/>
      </w:pPr>
      <w:r>
        <w:t>1、收入说明</w:t>
      </w:r>
    </w:p>
    <w:p>
      <w:pPr>
        <w:pStyle w:val="19"/>
      </w:pPr>
      <w:r>
        <w:t>反映本部门当年全部收入。2026年预算收入997.61万元，其中：一般公共预算收入997.61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中国共产党新乐市委员会组织部年度部门预算中支出预算的总体情况。2026年支出预算997.61万元，其中基本支出587.36万元，包括人员经费541.30万元和日常公用经费46.06万元；项目支出410.25万元，主要为2025年第四季度人才房租补贴；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997.61万元，较2025年预算增加129.71万元，其中：基本支出减少0.45万元，主要为由于人员减少，基本支出随之减少。项目支出增加130.16万元，主要为人才房租补贴增加。。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w:t>
      </w:r>
      <w:r>
        <w:rPr>
          <w:rFonts w:hint="eastAsia"/>
          <w:lang w:val="en-US" w:eastAsia="zh-CN"/>
        </w:rPr>
        <w:t>6</w:t>
      </w:r>
      <w:r>
        <w:t>年，我</w:t>
      </w:r>
      <w:r>
        <w:rPr>
          <w:rFonts w:hint="eastAsia"/>
          <w:lang w:eastAsia="zh-CN"/>
        </w:rPr>
        <w:t>单位</w:t>
      </w:r>
      <w:r>
        <w:t>机关运行经费共计安排</w:t>
      </w:r>
      <w:r>
        <w:rPr>
          <w:rFonts w:hint="eastAsia"/>
          <w:lang w:val="en-US" w:eastAsia="zh-CN"/>
        </w:rPr>
        <w:t>46.06</w:t>
      </w:r>
      <w:r>
        <w:t>万元，主要用于日常维修、办公用房水电费、办公用房取暖费、办公用房物业管理费等日常运行支出。</w:t>
      </w:r>
    </w:p>
    <w:p>
      <w:pPr>
        <w:pStyle w:val="20"/>
      </w:pP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6"/>
        <w:rPr>
          <w:rFonts w:hint="eastAsia" w:eastAsia="方正仿宋_GBK"/>
          <w:lang w:eastAsia="zh-CN"/>
        </w:rPr>
      </w:pPr>
      <w:r>
        <w:t>202</w:t>
      </w:r>
      <w:r>
        <w:rPr>
          <w:rFonts w:hint="eastAsia"/>
          <w:lang w:val="en-US" w:eastAsia="zh-CN"/>
        </w:rPr>
        <w:t>6</w:t>
      </w:r>
      <w:r>
        <w:t>年，我单位财政拨款“三公”经费预算安排2.</w:t>
      </w:r>
      <w:r>
        <w:rPr>
          <w:rFonts w:hint="eastAsia"/>
          <w:lang w:val="en-US" w:eastAsia="zh-CN"/>
        </w:rPr>
        <w:t>33</w:t>
      </w:r>
      <w:r>
        <w:t>万元，其中因公出国（境）费0.00万元；公务用车购置及运维费2.</w:t>
      </w:r>
      <w:r>
        <w:rPr>
          <w:rFonts w:hint="eastAsia"/>
          <w:lang w:val="en-US" w:eastAsia="zh-CN"/>
        </w:rPr>
        <w:t>33</w:t>
      </w:r>
      <w:r>
        <w:t>万元（其中：公务用车购置费为0.00万元，公务用车运维费2.</w:t>
      </w:r>
      <w:r>
        <w:rPr>
          <w:rFonts w:hint="eastAsia"/>
          <w:lang w:val="en-US" w:eastAsia="zh-CN"/>
        </w:rPr>
        <w:t>33</w:t>
      </w:r>
      <w:r>
        <w:t>万元)；公务接待费0.00万元。与202</w:t>
      </w:r>
      <w:r>
        <w:rPr>
          <w:rFonts w:hint="eastAsia"/>
          <w:lang w:val="en-US" w:eastAsia="zh-CN"/>
        </w:rPr>
        <w:t>5</w:t>
      </w:r>
      <w:r>
        <w:t>年相比</w:t>
      </w:r>
      <w:r>
        <w:rPr>
          <w:rFonts w:hint="eastAsia"/>
          <w:lang w:eastAsia="zh-CN"/>
        </w:rPr>
        <w:t>减少</w:t>
      </w:r>
      <w:r>
        <w:t>0.0</w:t>
      </w:r>
      <w:r>
        <w:rPr>
          <w:rFonts w:hint="eastAsia"/>
          <w:lang w:val="en-US" w:eastAsia="zh-CN"/>
        </w:rPr>
        <w:t>7</w:t>
      </w:r>
      <w:r>
        <w:t>万元，</w:t>
      </w:r>
      <w:bookmarkStart w:id="13" w:name="_Toc_3_3_0000000014"/>
      <w:r>
        <w:t>增减变化的主要原因是</w:t>
      </w:r>
      <w:r>
        <w:rPr>
          <w:rFonts w:hint="eastAsia"/>
          <w:lang w:eastAsia="zh-CN"/>
        </w:rPr>
        <w:t>财政紧张，节俭开支。</w:t>
      </w:r>
      <w:bookmarkStart w:id="20" w:name="_GoBack"/>
      <w:bookmarkEnd w:id="20"/>
    </w:p>
    <w:p>
      <w:pPr>
        <w:pStyle w:val="26"/>
      </w:pPr>
      <w:r>
        <w:rPr>
          <w:rFonts w:ascii="黑体" w:hAnsi="黑体" w:eastAsia="黑体" w:cs="黑体"/>
          <w:color w:val="000000"/>
          <w:sz w:val="32"/>
        </w:rPr>
        <w:t>五、部门整体绩效</w:t>
      </w:r>
      <w:r>
        <w:t>增减变化的主要原因是我单位按三公经费定额规定列入预算，合理安排开支。</w:t>
      </w:r>
    </w:p>
    <w:p>
      <w:pPr>
        <w:pStyle w:val="21"/>
      </w:pPr>
    </w:p>
    <w:p>
      <w:pPr>
        <w:spacing w:before="10" w:after="10" w:line="360" w:lineRule="auto"/>
        <w:ind w:firstLine="640"/>
        <w:jc w:val="left"/>
        <w:outlineLvl w:val="2"/>
      </w:pPr>
      <w:r>
        <w:rPr>
          <w:rFonts w:ascii="黑体" w:hAnsi="黑体" w:eastAsia="黑体" w:cs="黑体"/>
          <w:color w:val="000000"/>
          <w:sz w:val="32"/>
        </w:rPr>
        <w:t>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坚持以习近平新时代中国特色社会主义思想为指导，深入贯彻党的十九大和十九届历次全会精神，弘扬伟大建党精神，全面落实新时代党的建设总要求和新时代党的组织路线，紧紧围绕全市工作大局，以加强党的政治建设为主线，以推动制度创新为动力，以实现组织工作科学化为目标。着力加强干部队伍和人才队伍建设、基层组织和党员队伍建设以及组织部门自身建设，忠诚履职尽责、主动担当作为，锐意拼搏竞进，努力开创组织工作新局面，为奋力开启建设经济强市、美丽新乐新征程提供了坚强组织保障。</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 xml:space="preserve">一、持续加强党的政治建设和创新理论武装，推动各级党组织和党员干部坚决做到“两个维护” </w:t>
      </w:r>
    </w:p>
    <w:p>
      <w:pPr>
        <w:pStyle w:val="23"/>
      </w:pPr>
      <w:r>
        <w:t>1.增强旗帜鲜明讲政治的思想行动自觉。始终把拥护“两个确立”和做到“两个维护”作为最重要的政治纪律和政治规矩，把政治标准和政治要求贯彻落实到组织工作的全过程各方面，坚决同以习近平同志为核心的党中央保持高度一致。</w:t>
      </w:r>
    </w:p>
    <w:p>
      <w:pPr>
        <w:pStyle w:val="23"/>
      </w:pPr>
      <w:r>
        <w:t>2.持之以恒加强党的创新理论武装。把学习贯彻习近平新时代中国特色社会主义思想作为干部教育培训的首课、主课、必修课，继续举办学习贯彻习近平新时代中国特色社会主义思想专题培训班。</w:t>
      </w:r>
    </w:p>
    <w:p>
      <w:pPr>
        <w:pStyle w:val="23"/>
      </w:pPr>
      <w:r>
        <w:t xml:space="preserve">二、健全干部队伍管理机制，打造高素质专业化干部队伍 </w:t>
      </w:r>
    </w:p>
    <w:p>
      <w:pPr>
        <w:pStyle w:val="23"/>
      </w:pPr>
      <w:r>
        <w:t xml:space="preserve">1.加强干部队伍宏观管理。落实《石家庄市 2020—2024 年干部队伍建设规划纲要》要求，对各级领导班子配备现状进行分析研判，摸底分析年轻干部和女干部、党外干部、少数民族干部配备情况，科学预判干部队伍变化趋势，增强调 班子、配干部的前瞻性、精准性。强化大数据思维，加快推进干部信息管理系统三期建设，为提升干部队伍宏观管理效能提供技术保障。 </w:t>
      </w:r>
    </w:p>
    <w:p>
      <w:pPr>
        <w:pStyle w:val="23"/>
      </w:pPr>
      <w:r>
        <w:t>2.加强年轻干部选拔培育。把培养选拔优秀年轻干部作为战略性基础性工程来抓，落实《关于适应新时代要求建立优秀年轻干部发现培养选拔常态化机制的实施意见》，每年至少选拔 2 名 35 岁以下全日制本科以上学 历正科级干部和 4 名 30 岁以下全日制本科以上学历副科级干部。落实《河北省“十四五”年轻干部教育培训规划》，定期举办优秀年轻干部培训，持续推进优秀年轻干部墩苗历练，注重在急难险重任务一线发现培养优秀年轻干部。开展优秀年轻干部综合研判，建立年轻干部成长档案，完善优秀年轻干部储备库，做大做优年轻干部队伍底盘。</w:t>
      </w:r>
    </w:p>
    <w:p>
      <w:pPr>
        <w:pStyle w:val="23"/>
      </w:pPr>
      <w:r>
        <w:t xml:space="preserve">3.加强结构性干部培养储备。把着力点放在夯基础、调结构、强管理上，按照 1:3 比例统筹做好女干部、党外干部、少数民族干部储备工作，打造梯次配备、有序递进的正金字塔型干部队伍结构。进一步完善组织、统战部门推荐非党员身份优秀年轻干部加入民主党派的常态化机制，建立党外干部储备库，逐人制定培养使用清单；按照成熟一批、配备一批原则，加大党政班子女干部和少数民族干部配备力度，确保换届时储备充足、质量优良。 </w:t>
      </w:r>
    </w:p>
    <w:p>
      <w:pPr>
        <w:pStyle w:val="23"/>
      </w:pPr>
      <w:r>
        <w:t xml:space="preserve">4.加强干部队伍激励保护。坚持干部考核工作的政治属性，把政治标准贯穿干部考核工作始终。完善与高质量发展相适应的综合考核和绩效考核评价体系，科学设置 2023 年度考核指标，进一步探索完善指标准入和退出机制，突出考核指标的科学精准。做实做细市管领导班子和领导干部年度考核，完善平时考核提醒纠偏、年度考核激先策后的全链条考核机制。强化考核结果运用，加大奖惩力度，真正实现干与不干不一样、干多干少不一样、干好干坏不一样，激励引导广大干部崇尚先进、勇于担当。注重在经济社会发展一线和急难险重任务中考察识别干部，树立实践实干实效选人用人导向。坚持“三个区分开来”，及时开展容错纠错，为敢担当、勇负责的干部鼓劲撑腰。进一步落实职务与职级并行制度，优化职务职级两条通道，拓展职业发展空间。 </w:t>
      </w:r>
    </w:p>
    <w:p>
      <w:pPr>
        <w:pStyle w:val="23"/>
      </w:pPr>
      <w:r>
        <w:t xml:space="preserve">5.加强干部队伍监督管理。突出政治监督，充分运用干部信息管理平台，将大数据管理与干部监督深度融合，加强对干部的全方位管理，突出对领导班子和“一把手”的政治监督。加强选任监督，坚持关口前移，严肃查处和纠正选人用人上的不正之风。深化履职监督，强化日常监督，扎实做好领导干部个人有关事项工作，常态化规范领导干部配偶、子女及其配偶经商办企业行为，科学制定领导干部经济责任审计计划。建立健全市管企业、学校、医院领导班子和干部队伍建设制度体系，提高科学化规范化管理水平。 </w:t>
      </w:r>
    </w:p>
    <w:p>
      <w:pPr>
        <w:pStyle w:val="23"/>
      </w:pPr>
      <w:r>
        <w:t xml:space="preserve">三、实施新时代人才强市战略，积极推进人才制度和政策创新 </w:t>
      </w:r>
    </w:p>
    <w:p>
      <w:pPr>
        <w:pStyle w:val="23"/>
      </w:pPr>
      <w:r>
        <w:t xml:space="preserve">1.深化拓展人才绿卡制度。落实中央和省委、市委人才工作会议精神，围绕对接服务全市发展大局，为促进人才发展营造良好法治环境和政策环境。坚持人才绿卡精准引才、精准对接产业发展、精准满足人才需求的核心理念，着眼于推动主导产业发展，拓展人才绿卡服务对象，优化人才绿卡服务项目，探索服务项目网上交办机制，推动服务项目落实落地。立足产业发展功能定位，制定实施更具吸引力、竞争力的人才政策，加大对产业发展急需紧缺高层次人才的支持力度，实行一流人才一流待遇。 </w:t>
      </w:r>
    </w:p>
    <w:p>
      <w:pPr>
        <w:pStyle w:val="23"/>
      </w:pPr>
      <w:r>
        <w:t>2.推进市校人才深度合作。坚持精准发力，持续深化与重点高校的人才交流合作。与省农科院签订《农业科技合作框架协议》，与西北农林科技大学签订《合作共建新乐市精品特优西瓜试验示范基地协议》。引进国家级人才2-3名，对我市西瓜小镇建设，创建国家级精品西瓜特优区，提供人才和智力支持。</w:t>
      </w:r>
    </w:p>
    <w:p>
      <w:pPr>
        <w:pStyle w:val="23"/>
      </w:pPr>
      <w:r>
        <w:t>3.强化平台引才聚才效应。深入开展“进百校入百企”活动，创新宣讲方式方法，提升政策的知晓面和影响力。开展人才工作宣传月活动，组织我市各单位、各类人才开展人才工作宣传活动，营造人人渴望成才，人人敬才的社会氛围，打响我市引才工作品牌。</w:t>
      </w:r>
    </w:p>
    <w:p>
      <w:pPr>
        <w:pStyle w:val="23"/>
      </w:pPr>
      <w:r>
        <w:t xml:space="preserve">4.强化人才服务保障。实施人才工作“一把手”工程，落实领导联系服务专家制度，推动人才服务中心完善机构建设，进一步提升党管人才科学化水平。提升人才公寓品质，优化职住一体的生活配套服务，着力打造文化多元、宜居宜业、服务完善的人才社区。提升人才一体化综合管理服务平台建设水平，拓展电子绿卡服务项目，开发人才绿卡信息平台及电子人才绿卡，实现市、县两级数据互联互通、信息互认共享。 </w:t>
      </w:r>
    </w:p>
    <w:p>
      <w:pPr>
        <w:pStyle w:val="23"/>
      </w:pPr>
      <w:r>
        <w:t xml:space="preserve">四、树牢大抓基层鲜明导向，全方位提升党建引领基层治理水平 </w:t>
      </w:r>
    </w:p>
    <w:p>
      <w:pPr>
        <w:pStyle w:val="23"/>
      </w:pPr>
      <w:r>
        <w:t>1.持续深化抓党建促乡村振兴。以增强基层党组织政治功能和组织力为目标，扎实推进抓党建促乡村振兴和党建引领基层治理，推动基层党组织全面进步、全面过硬。抓实抓好乡村产业振兴，以村党支部领办合作社为载体，深入探索股份合作、抱团发展、规模经营等村集体增收路径，完善集体和群众利益联结机制，实现集体增收和群众致富双赢。抓实抓好干部能力培训，围绕抓党建促乡村振兴、党建引领基层治理两个专题，以学习贯彻党法党规为重点内容，以乡镇党委书记、组织委员和农村“两委”干部为重点对象，构建全方位、系统化、实战化培训机制；继续加大农村干部正规化学历提升力度，为全面推进乡村振兴提供人才支撑。抓实抓好基础服务保障，以服务站提标、场所整治为重点，常态化开展“大清理、大整治”活动，实现村庄环境大清洁、档案资料大规范、服务功能大提升；定期组织开展村级组织运转保障经费核查，确保资金安全、发挥作用。</w:t>
      </w:r>
    </w:p>
    <w:p>
      <w:pPr>
        <w:pStyle w:val="23"/>
      </w:pPr>
      <w:r>
        <w:t>2.持续打造共建共治共享城市基层治理新格局。巩固提升“红色物业”全覆盖质量，坚持每季度开展一次评价验收活动，持续开展“金牌红色物业”评选活动，创建 “红色物业”样板小区，真正把“红色物业”建成宣传党建工作、培树道德模范、弘扬历史文化的前沿阵地。进一步规范社区工作者队伍建设，健全管理体制、落实待遇政策，加强社区工作者业务培训，不断提高社区工作者队伍整体素质。</w:t>
      </w:r>
    </w:p>
    <w:p>
      <w:pPr>
        <w:pStyle w:val="23"/>
      </w:pPr>
      <w:r>
        <w:t xml:space="preserve">3.全面提升各领域党建工作质量。强化系统思维，统筹推进党政机关、国有企业、高等学校、公立医院、“两新”组织等领域党组织建设。全面提升非公企业和社会组织党的组织和工作覆盖质量，消除党建“空白点”。加强非公企业和社会组织党组织书记、党建指导员和党员三支队伍培训力度，实现精准化、专业化培训，打造高水平非公党建工作队伍。 </w:t>
      </w:r>
    </w:p>
    <w:p>
      <w:pPr>
        <w:pStyle w:val="23"/>
      </w:pPr>
      <w:r>
        <w:t xml:space="preserve">4.全面提升党员队伍建设质量。持续提高党员质量、优化党员结构，精准分解发展党员指导性计划，有针对性地向 2年以上未发展党员村、国有企业党员空白班组、非公有制经济组织和社会组织等薄弱领域倾斜，进一步加大从产业工人、青年农民、高知识群体、大学生等重点群体中发展党员力度。充分发挥农村青年人才中心“蓄水池”作用，重点将 45周岁以下、高中以上学历的致富能手、外出务工经商人员、返乡大学生、退役返乡军人等青年人才吸收入库，形成有效 衔接的聚才育才管才用才工作链条，做优农村青年人才底盘。继续推行“三 会一课”和主题党日每月学习内容推荐清单制度，确保基层党组织设置和运行规范、党内政治生活庄重严肃。加强乡镇（街道）专职组织员队伍建设，夯实基层组织建设基础保障。严格落实人选条件和结构要求，按规定程序做好省人大代表推荐选举等工作。 </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 xml:space="preserve">（三）工作保障措施 </w:t>
      </w:r>
    </w:p>
    <w:p>
      <w:pPr>
        <w:pStyle w:val="24"/>
      </w:pPr>
      <w:r>
        <w:t xml:space="preserve">1.打造政治型机关。围绕“讲政治、重公道、业务精、作风好”要求，全面加强组工文化建设，着力建设团结、务实、守正、清廉、活力的政治机关。完善部理论学习中心组和组工干部常态化理论学习制度，引导全市组工干部始终心怀“国之大者”，胸怀“两个大局”，不断提高政治判断力、政治领悟力、政治执行力。 </w:t>
      </w:r>
    </w:p>
    <w:p>
      <w:pPr>
        <w:pStyle w:val="24"/>
      </w:pPr>
      <w:r>
        <w:t xml:space="preserve">2.打造专业型机关。以培树专业精神、提升专业素养为目标，对上接准天线，精准掌握上级精神和各项政策，确保组织工作方向不偏不倚；对内苦练本领，开展多种形式的岗位练兵、业务竞赛活动，提高组工干部政策理论、组工业务、公文写作能力；对下通好地气，深入基层开展调查研究，加强调研成果转化，更好地服务全市经济社会发展大局。 </w:t>
      </w:r>
    </w:p>
    <w:p>
      <w:pPr>
        <w:pStyle w:val="24"/>
      </w:pPr>
      <w:r>
        <w:t xml:space="preserve">3.打造创新型机关。围绕解决存在的困难问题，推动制度创新，建立完善与新形势新任务相适应的、充满活力的组织工作新机制。建立务虚会议事制度，每年年初召开务虚会，研究形势任务、谋划工作思路、把握工作规律，引导组工干部不断解放思想，拓宽视野格局，克服因循守旧观念，打破传统思维定势，不断提升组织工作创新能力。 </w:t>
      </w:r>
    </w:p>
    <w:p>
      <w:pPr>
        <w:pStyle w:val="24"/>
      </w:pPr>
      <w:r>
        <w:t xml:space="preserve">4.打造务实型机关。牢固树立务实思维，坚决克服形式主义，真正做到出实招、干实事、求实效。完善部务会议事、理论中心组学习、保密、请销假等制度，实行清单管理，以制度落实提升工作实效。建立沟通协调机制，定期召开碰头会通报工作情况、梳理分析问题、谋划下步举措，确保各项工作任务取得扎实成效。 </w:t>
      </w:r>
    </w:p>
    <w:p>
      <w:pPr>
        <w:pStyle w:val="24"/>
        <w:sectPr>
          <w:pgSz w:w="16840" w:h="11900" w:orient="landscape"/>
          <w:pgMar w:top="1361" w:right="1020" w:bottom="1361" w:left="1020" w:header="720" w:footer="720" w:gutter="0"/>
          <w:cols w:space="720" w:num="1"/>
        </w:sectPr>
      </w:pPr>
      <w:r>
        <w:t xml:space="preserve">5.打造廉洁型机关。以党性、党风、党纪教育为重点，加强对组工干部的理想信念和廉洁从政教育，不断夯实拒腐防变的思想基础。坚持说公道话、办公道事，对人处事出以公心、坚持原则，树立公道正派的组工干部形象。常态化开展政治性警示教育，引导全市组工干部严守政治纪律和政治规矩，进一步营造组织部门风清气正的良好政治生态。 </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1、2026本级支出-人才补贴绩效目标表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13018426P00525010006J</w:t>
            </w:r>
          </w:p>
        </w:tc>
        <w:tc>
          <w:tcPr>
            <w:tcW w:w="2835" w:type="dxa"/>
            <w:vAlign w:val="center"/>
          </w:tcPr>
          <w:p>
            <w:pPr>
              <w:pStyle w:val="11"/>
            </w:pPr>
            <w:r>
              <w:t>项目名称</w:t>
            </w:r>
          </w:p>
        </w:tc>
        <w:tc>
          <w:tcPr>
            <w:tcW w:w="6095" w:type="dxa"/>
            <w:gridSpan w:val="3"/>
            <w:vAlign w:val="center"/>
          </w:tcPr>
          <w:p>
            <w:pPr>
              <w:pStyle w:val="13"/>
            </w:pPr>
            <w:r>
              <w:t>2026本级支出-人才补贴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352.93</w:t>
            </w:r>
          </w:p>
        </w:tc>
        <w:tc>
          <w:tcPr>
            <w:tcW w:w="2835" w:type="dxa"/>
            <w:vAlign w:val="center"/>
          </w:tcPr>
          <w:p>
            <w:pPr>
              <w:pStyle w:val="11"/>
            </w:pPr>
            <w:r>
              <w:t>其中：财政    资金</w:t>
            </w:r>
          </w:p>
        </w:tc>
        <w:tc>
          <w:tcPr>
            <w:tcW w:w="2551" w:type="dxa"/>
            <w:vAlign w:val="center"/>
          </w:tcPr>
          <w:p>
            <w:pPr>
              <w:pStyle w:val="13"/>
            </w:pPr>
            <w:r>
              <w:t>352.93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发放人才房租补贴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100.00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1.按照石家庄市统一要求，按时足额发放房租补贴。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发放数量</w:t>
            </w:r>
          </w:p>
        </w:tc>
        <w:tc>
          <w:tcPr>
            <w:tcW w:w="5386" w:type="dxa"/>
            <w:vAlign w:val="center"/>
          </w:tcPr>
          <w:p>
            <w:pPr>
              <w:pStyle w:val="13"/>
            </w:pPr>
            <w:r>
              <w:t>实发人数占应发人数的比例</w:t>
            </w:r>
          </w:p>
        </w:tc>
        <w:tc>
          <w:tcPr>
            <w:tcW w:w="2268" w:type="dxa"/>
            <w:vAlign w:val="center"/>
          </w:tcPr>
          <w:p>
            <w:pPr>
              <w:pStyle w:val="13"/>
            </w:pPr>
            <w:r>
              <w:t>100百分比</w:t>
            </w:r>
          </w:p>
        </w:tc>
        <w:tc>
          <w:tcPr>
            <w:tcW w:w="1276" w:type="dxa"/>
            <w:vAlign w:val="center"/>
          </w:tcPr>
          <w:p>
            <w:pPr>
              <w:pStyle w:val="13"/>
            </w:pPr>
            <w:r>
              <w:t>文件及实际情况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运营质量</w:t>
            </w:r>
          </w:p>
        </w:tc>
        <w:tc>
          <w:tcPr>
            <w:tcW w:w="5386" w:type="dxa"/>
            <w:vAlign w:val="center"/>
          </w:tcPr>
          <w:p>
            <w:pPr>
              <w:pStyle w:val="13"/>
            </w:pPr>
            <w:r>
              <w:t>每季度至少发放一次补贴。</w:t>
            </w:r>
          </w:p>
        </w:tc>
        <w:tc>
          <w:tcPr>
            <w:tcW w:w="2268" w:type="dxa"/>
            <w:vAlign w:val="center"/>
          </w:tcPr>
          <w:p>
            <w:pPr>
              <w:pStyle w:val="13"/>
            </w:pPr>
            <w:r>
              <w:t>1次</w:t>
            </w:r>
          </w:p>
        </w:tc>
        <w:tc>
          <w:tcPr>
            <w:tcW w:w="1276" w:type="dxa"/>
            <w:vAlign w:val="center"/>
          </w:tcPr>
          <w:p>
            <w:pPr>
              <w:pStyle w:val="13"/>
            </w:pPr>
            <w:r>
              <w:t>文件及实际情况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运营质量</w:t>
            </w:r>
          </w:p>
        </w:tc>
        <w:tc>
          <w:tcPr>
            <w:tcW w:w="5386" w:type="dxa"/>
            <w:vAlign w:val="center"/>
          </w:tcPr>
          <w:p>
            <w:pPr>
              <w:pStyle w:val="13"/>
            </w:pPr>
            <w:r>
              <w:t>按时发放补贴</w:t>
            </w:r>
          </w:p>
        </w:tc>
        <w:tc>
          <w:tcPr>
            <w:tcW w:w="2268" w:type="dxa"/>
            <w:vAlign w:val="center"/>
          </w:tcPr>
          <w:p>
            <w:pPr>
              <w:pStyle w:val="13"/>
            </w:pPr>
            <w:r>
              <w:t>100百分比</w:t>
            </w:r>
          </w:p>
        </w:tc>
        <w:tc>
          <w:tcPr>
            <w:tcW w:w="1276" w:type="dxa"/>
            <w:vAlign w:val="center"/>
          </w:tcPr>
          <w:p>
            <w:pPr>
              <w:pStyle w:val="13"/>
            </w:pPr>
            <w:r>
              <w:t>文件及实际情况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总成本控制率</w:t>
            </w:r>
          </w:p>
        </w:tc>
        <w:tc>
          <w:tcPr>
            <w:tcW w:w="5386" w:type="dxa"/>
            <w:vAlign w:val="center"/>
          </w:tcPr>
          <w:p>
            <w:pPr>
              <w:pStyle w:val="13"/>
            </w:pPr>
            <w:r>
              <w:t>不超预算资金</w:t>
            </w:r>
          </w:p>
        </w:tc>
        <w:tc>
          <w:tcPr>
            <w:tcW w:w="2268" w:type="dxa"/>
            <w:vAlign w:val="center"/>
          </w:tcPr>
          <w:p>
            <w:pPr>
              <w:pStyle w:val="13"/>
            </w:pPr>
            <w:r>
              <w:t>≤100百分比</w:t>
            </w:r>
          </w:p>
        </w:tc>
        <w:tc>
          <w:tcPr>
            <w:tcW w:w="1276" w:type="dxa"/>
            <w:vAlign w:val="center"/>
          </w:tcPr>
          <w:p>
            <w:pPr>
              <w:pStyle w:val="13"/>
            </w:pPr>
            <w:r>
              <w:t>文件及实际情况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为全市人才提供高效优质服务。</w:t>
            </w:r>
          </w:p>
        </w:tc>
        <w:tc>
          <w:tcPr>
            <w:tcW w:w="2268" w:type="dxa"/>
            <w:vAlign w:val="center"/>
          </w:tcPr>
          <w:p>
            <w:pPr>
              <w:pStyle w:val="13"/>
            </w:pPr>
            <w:r>
              <w:t>100百分比</w:t>
            </w:r>
          </w:p>
        </w:tc>
        <w:tc>
          <w:tcPr>
            <w:tcW w:w="1276" w:type="dxa"/>
            <w:vAlign w:val="center"/>
          </w:tcPr>
          <w:p>
            <w:pPr>
              <w:pStyle w:val="13"/>
            </w:pPr>
            <w:r>
              <w:t>文件及实际情况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满意率</w:t>
            </w:r>
          </w:p>
        </w:tc>
        <w:tc>
          <w:tcPr>
            <w:tcW w:w="5386" w:type="dxa"/>
            <w:vAlign w:val="center"/>
          </w:tcPr>
          <w:p>
            <w:pPr>
              <w:pStyle w:val="13"/>
            </w:pPr>
            <w:r>
              <w:t>全市人才工作满意度</w:t>
            </w:r>
          </w:p>
        </w:tc>
        <w:tc>
          <w:tcPr>
            <w:tcW w:w="2268" w:type="dxa"/>
            <w:vAlign w:val="center"/>
          </w:tcPr>
          <w:p>
            <w:pPr>
              <w:pStyle w:val="13"/>
            </w:pPr>
            <w:r>
              <w:t>100百分比</w:t>
            </w:r>
          </w:p>
        </w:tc>
        <w:tc>
          <w:tcPr>
            <w:tcW w:w="1276" w:type="dxa"/>
            <w:vAlign w:val="center"/>
          </w:tcPr>
          <w:p>
            <w:pPr>
              <w:pStyle w:val="13"/>
            </w:pPr>
            <w:r>
              <w:t>文件及实际情况</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2、冀财行【2025】88号-提前下达2026年度下派选调生到村工作中央财政补助资金绩效目标表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13018426P00005910003E</w:t>
            </w:r>
          </w:p>
        </w:tc>
        <w:tc>
          <w:tcPr>
            <w:tcW w:w="2835" w:type="dxa"/>
            <w:vAlign w:val="center"/>
          </w:tcPr>
          <w:p>
            <w:pPr>
              <w:pStyle w:val="11"/>
            </w:pPr>
            <w:r>
              <w:t>项目名称</w:t>
            </w:r>
          </w:p>
        </w:tc>
        <w:tc>
          <w:tcPr>
            <w:tcW w:w="6095" w:type="dxa"/>
            <w:gridSpan w:val="3"/>
            <w:vAlign w:val="center"/>
          </w:tcPr>
          <w:p>
            <w:pPr>
              <w:pStyle w:val="13"/>
            </w:pPr>
            <w:r>
              <w:t>冀财行【2025】88号-提前下达2026年度下派选调生到村工作中央财政补助资金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49.32</w:t>
            </w:r>
          </w:p>
        </w:tc>
        <w:tc>
          <w:tcPr>
            <w:tcW w:w="2835" w:type="dxa"/>
            <w:vAlign w:val="center"/>
          </w:tcPr>
          <w:p>
            <w:pPr>
              <w:pStyle w:val="11"/>
            </w:pPr>
            <w:r>
              <w:t>其中：财政    资金</w:t>
            </w:r>
          </w:p>
        </w:tc>
        <w:tc>
          <w:tcPr>
            <w:tcW w:w="2551" w:type="dxa"/>
            <w:vAlign w:val="center"/>
          </w:tcPr>
          <w:p>
            <w:pPr>
              <w:pStyle w:val="13"/>
            </w:pPr>
            <w:r>
              <w:t>49.32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解决到村工作选调生后顾之忧，帮助他们尽快适应基层工作；加强对他们的教育培训，按要求组织开展国情调研，组织他们多参与化解复杂矛盾和问题，让他们在基层真正经受实践锻炼。</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 xml:space="preserve"> </w:t>
            </w:r>
          </w:p>
        </w:tc>
        <w:tc>
          <w:tcPr>
            <w:tcW w:w="2551" w:type="dxa"/>
            <w:vAlign w:val="center"/>
          </w:tcPr>
          <w:p>
            <w:pPr>
              <w:pStyle w:val="14"/>
            </w:pPr>
            <w:r>
              <w:t xml:space="preserve"> </w:t>
            </w:r>
          </w:p>
        </w:tc>
        <w:tc>
          <w:tcPr>
            <w:tcW w:w="3544" w:type="dxa"/>
            <w:gridSpan w:val="2"/>
            <w:vAlign w:val="center"/>
          </w:tcPr>
          <w:p>
            <w:pPr>
              <w:pStyle w:val="14"/>
            </w:pPr>
            <w:r>
              <w:t>49.32</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1.解决到村工作选调生后顾之忧，帮助他们尽快适应基层工作；加强对他们的教育培训，按要求组织开展国情调研，组织他们多参与化解复杂矛盾和问题，让他们在基层真正经受实践锻炼。</w:t>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保障补贴对象人数占应保人数之比</w:t>
            </w:r>
          </w:p>
        </w:tc>
        <w:tc>
          <w:tcPr>
            <w:tcW w:w="5386" w:type="dxa"/>
            <w:vAlign w:val="center"/>
          </w:tcPr>
          <w:p>
            <w:pPr>
              <w:pStyle w:val="13"/>
            </w:pPr>
            <w:r>
              <w:t>保障补贴对象人数占应保人数之比</w:t>
            </w:r>
          </w:p>
        </w:tc>
        <w:tc>
          <w:tcPr>
            <w:tcW w:w="2268" w:type="dxa"/>
            <w:vAlign w:val="center"/>
          </w:tcPr>
          <w:p>
            <w:pPr>
              <w:pStyle w:val="13"/>
            </w:pPr>
            <w:r>
              <w:t>100百分比</w:t>
            </w:r>
          </w:p>
        </w:tc>
        <w:tc>
          <w:tcPr>
            <w:tcW w:w="1276" w:type="dxa"/>
            <w:vAlign w:val="center"/>
          </w:tcPr>
          <w:p>
            <w:pPr>
              <w:pStyle w:val="13"/>
            </w:pPr>
            <w:r>
              <w:t>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实际补助发放准确率</w:t>
            </w:r>
          </w:p>
        </w:tc>
        <w:tc>
          <w:tcPr>
            <w:tcW w:w="5386" w:type="dxa"/>
            <w:vAlign w:val="center"/>
          </w:tcPr>
          <w:p>
            <w:pPr>
              <w:pStyle w:val="13"/>
            </w:pPr>
            <w:r>
              <w:t>实际补助发放准确率</w:t>
            </w:r>
          </w:p>
        </w:tc>
        <w:tc>
          <w:tcPr>
            <w:tcW w:w="2268" w:type="dxa"/>
            <w:vAlign w:val="center"/>
          </w:tcPr>
          <w:p>
            <w:pPr>
              <w:pStyle w:val="13"/>
            </w:pPr>
            <w:r>
              <w:t>100百分比</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保障选调生到村工作时限</w:t>
            </w:r>
          </w:p>
        </w:tc>
        <w:tc>
          <w:tcPr>
            <w:tcW w:w="5386" w:type="dxa"/>
            <w:vAlign w:val="center"/>
          </w:tcPr>
          <w:p>
            <w:pPr>
              <w:pStyle w:val="13"/>
            </w:pPr>
            <w:r>
              <w:t>保障选调生到村工作时限</w:t>
            </w:r>
          </w:p>
        </w:tc>
        <w:tc>
          <w:tcPr>
            <w:tcW w:w="2268" w:type="dxa"/>
            <w:vAlign w:val="center"/>
          </w:tcPr>
          <w:p>
            <w:pPr>
              <w:pStyle w:val="13"/>
            </w:pPr>
            <w:r>
              <w:t>1年</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总成本控制率</w:t>
            </w:r>
          </w:p>
        </w:tc>
        <w:tc>
          <w:tcPr>
            <w:tcW w:w="5386" w:type="dxa"/>
            <w:vAlign w:val="center"/>
          </w:tcPr>
          <w:p>
            <w:pPr>
              <w:pStyle w:val="13"/>
            </w:pPr>
            <w:r>
              <w:t>不超预算资金</w:t>
            </w:r>
          </w:p>
        </w:tc>
        <w:tc>
          <w:tcPr>
            <w:tcW w:w="2268" w:type="dxa"/>
            <w:vAlign w:val="center"/>
          </w:tcPr>
          <w:p>
            <w:pPr>
              <w:pStyle w:val="13"/>
            </w:pPr>
            <w:r>
              <w:t>100百分比</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干事创业工作水平提高率</w:t>
            </w:r>
          </w:p>
        </w:tc>
        <w:tc>
          <w:tcPr>
            <w:tcW w:w="5386" w:type="dxa"/>
            <w:vAlign w:val="center"/>
          </w:tcPr>
          <w:p>
            <w:pPr>
              <w:pStyle w:val="13"/>
            </w:pPr>
            <w:r>
              <w:t>到村工作下派选调生在农村干事创业，农村基层党建工作水平逐步提高</w:t>
            </w:r>
          </w:p>
        </w:tc>
        <w:tc>
          <w:tcPr>
            <w:tcW w:w="2268" w:type="dxa"/>
            <w:vAlign w:val="center"/>
          </w:tcPr>
          <w:p>
            <w:pPr>
              <w:pStyle w:val="13"/>
            </w:pPr>
            <w:r>
              <w:t>100百分比</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下派选调生满意度指标</w:t>
            </w:r>
          </w:p>
        </w:tc>
        <w:tc>
          <w:tcPr>
            <w:tcW w:w="5386" w:type="dxa"/>
            <w:vAlign w:val="center"/>
          </w:tcPr>
          <w:p>
            <w:pPr>
              <w:pStyle w:val="13"/>
            </w:pPr>
            <w:r>
              <w:t>下派选调生满意度指标</w:t>
            </w:r>
          </w:p>
        </w:tc>
        <w:tc>
          <w:tcPr>
            <w:tcW w:w="2268" w:type="dxa"/>
            <w:vAlign w:val="center"/>
          </w:tcPr>
          <w:p>
            <w:pPr>
              <w:pStyle w:val="13"/>
            </w:pPr>
            <w:r>
              <w:t>100百分比</w:t>
            </w:r>
          </w:p>
        </w:tc>
        <w:tc>
          <w:tcPr>
            <w:tcW w:w="1276" w:type="dxa"/>
            <w:vAlign w:val="center"/>
          </w:tcPr>
          <w:p>
            <w:pPr>
              <w:pStyle w:val="13"/>
            </w:pPr>
            <w:r>
              <w:t>上级文件</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3、冀财行【2025】97号-提前下达2026年省级下沉工作队综合经费绩效目标表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13018426P00006010003J</w:t>
            </w:r>
          </w:p>
        </w:tc>
        <w:tc>
          <w:tcPr>
            <w:tcW w:w="2835" w:type="dxa"/>
            <w:vAlign w:val="center"/>
          </w:tcPr>
          <w:p>
            <w:pPr>
              <w:pStyle w:val="11"/>
            </w:pPr>
            <w:r>
              <w:t>项目名称</w:t>
            </w:r>
          </w:p>
        </w:tc>
        <w:tc>
          <w:tcPr>
            <w:tcW w:w="6095" w:type="dxa"/>
            <w:gridSpan w:val="3"/>
            <w:vAlign w:val="center"/>
          </w:tcPr>
          <w:p>
            <w:pPr>
              <w:pStyle w:val="13"/>
            </w:pPr>
            <w:r>
              <w:t>冀财行【2025】97号-提前下达2026年省级下沉工作队综合经费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w:t>
            </w:r>
          </w:p>
        </w:tc>
        <w:tc>
          <w:tcPr>
            <w:tcW w:w="2835" w:type="dxa"/>
            <w:vAlign w:val="center"/>
          </w:tcPr>
          <w:p>
            <w:pPr>
              <w:pStyle w:val="11"/>
            </w:pPr>
            <w:r>
              <w:t>其中：财政    资金</w:t>
            </w:r>
          </w:p>
        </w:tc>
        <w:tc>
          <w:tcPr>
            <w:tcW w:w="2551" w:type="dxa"/>
            <w:vAlign w:val="center"/>
          </w:tcPr>
          <w:p>
            <w:pPr>
              <w:pStyle w:val="13"/>
            </w:pPr>
            <w:r>
              <w:t>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保障驻村工作队办公学习、食宿、水、取暖、网络通信、必要交通等</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2.00</w:t>
            </w:r>
          </w:p>
        </w:tc>
        <w:tc>
          <w:tcPr>
            <w:tcW w:w="2835" w:type="dxa"/>
            <w:vAlign w:val="center"/>
          </w:tcPr>
          <w:p>
            <w:pPr>
              <w:pStyle w:val="14"/>
            </w:pPr>
            <w:r>
              <w:t>4.00</w:t>
            </w:r>
          </w:p>
        </w:tc>
        <w:tc>
          <w:tcPr>
            <w:tcW w:w="2551" w:type="dxa"/>
            <w:vAlign w:val="center"/>
          </w:tcPr>
          <w:p>
            <w:pPr>
              <w:pStyle w:val="14"/>
            </w:pPr>
            <w:r>
              <w:t>6.00</w:t>
            </w:r>
          </w:p>
        </w:tc>
        <w:tc>
          <w:tcPr>
            <w:tcW w:w="3544" w:type="dxa"/>
            <w:gridSpan w:val="2"/>
            <w:vAlign w:val="center"/>
          </w:tcPr>
          <w:p>
            <w:pPr>
              <w:pStyle w:val="14"/>
            </w:pPr>
            <w:r>
              <w:t>8.00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1.激励干部干事创业、乡村振兴工作能力，为新乐乡村发展作贡献。保障驻村工作队办公学习、食宿、水、取暖、网络通信、必要交通等</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工作队数量</w:t>
            </w:r>
          </w:p>
        </w:tc>
        <w:tc>
          <w:tcPr>
            <w:tcW w:w="5386" w:type="dxa"/>
            <w:vAlign w:val="center"/>
          </w:tcPr>
          <w:p>
            <w:pPr>
              <w:pStyle w:val="13"/>
            </w:pPr>
            <w:r>
              <w:t>乡村振兴驻村工作队数量</w:t>
            </w:r>
          </w:p>
        </w:tc>
        <w:tc>
          <w:tcPr>
            <w:tcW w:w="2268" w:type="dxa"/>
            <w:vAlign w:val="center"/>
          </w:tcPr>
          <w:p>
            <w:pPr>
              <w:pStyle w:val="13"/>
            </w:pPr>
            <w:r>
              <w:t>1支</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保障工作质量</w:t>
            </w:r>
          </w:p>
        </w:tc>
        <w:tc>
          <w:tcPr>
            <w:tcW w:w="5386" w:type="dxa"/>
            <w:vAlign w:val="center"/>
          </w:tcPr>
          <w:p>
            <w:pPr>
              <w:pStyle w:val="13"/>
            </w:pPr>
            <w:r>
              <w:t>经费保障工作队业务正常开展率</w:t>
            </w:r>
          </w:p>
        </w:tc>
        <w:tc>
          <w:tcPr>
            <w:tcW w:w="2268" w:type="dxa"/>
            <w:vAlign w:val="center"/>
          </w:tcPr>
          <w:p>
            <w:pPr>
              <w:pStyle w:val="13"/>
            </w:pPr>
            <w:r>
              <w:t>100百分比</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业务开展时限</w:t>
            </w:r>
          </w:p>
        </w:tc>
        <w:tc>
          <w:tcPr>
            <w:tcW w:w="5386" w:type="dxa"/>
            <w:vAlign w:val="center"/>
          </w:tcPr>
          <w:p>
            <w:pPr>
              <w:pStyle w:val="13"/>
            </w:pPr>
            <w:r>
              <w:t>保障工作队业务开展时限</w:t>
            </w:r>
          </w:p>
        </w:tc>
        <w:tc>
          <w:tcPr>
            <w:tcW w:w="2268" w:type="dxa"/>
            <w:vAlign w:val="center"/>
          </w:tcPr>
          <w:p>
            <w:pPr>
              <w:pStyle w:val="13"/>
            </w:pPr>
            <w:r>
              <w:t>1年</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每个工作队每年经费</w:t>
            </w:r>
          </w:p>
        </w:tc>
        <w:tc>
          <w:tcPr>
            <w:tcW w:w="5386" w:type="dxa"/>
            <w:vAlign w:val="center"/>
          </w:tcPr>
          <w:p>
            <w:pPr>
              <w:pStyle w:val="13"/>
            </w:pPr>
            <w:r>
              <w:t>每个工作队每年经费</w:t>
            </w:r>
          </w:p>
        </w:tc>
        <w:tc>
          <w:tcPr>
            <w:tcW w:w="2268" w:type="dxa"/>
            <w:vAlign w:val="center"/>
          </w:tcPr>
          <w:p>
            <w:pPr>
              <w:pStyle w:val="13"/>
            </w:pPr>
            <w:r>
              <w:t>8万元</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推动村（社区）实现班子强、产业兴、社会稳，为全面推进乡村振兴、提升基层治理水平奠定坚实基础</w:t>
            </w:r>
          </w:p>
        </w:tc>
        <w:tc>
          <w:tcPr>
            <w:tcW w:w="5386" w:type="dxa"/>
            <w:vAlign w:val="center"/>
          </w:tcPr>
          <w:p>
            <w:pPr>
              <w:pStyle w:val="13"/>
            </w:pPr>
            <w:r>
              <w:t>推动村（社区）实现班子强、产业兴、社会稳，为全面推进乡村振兴、提升基层治理水平奠定坚实基础</w:t>
            </w:r>
          </w:p>
        </w:tc>
        <w:tc>
          <w:tcPr>
            <w:tcW w:w="2268" w:type="dxa"/>
            <w:vAlign w:val="center"/>
          </w:tcPr>
          <w:p>
            <w:pPr>
              <w:pStyle w:val="13"/>
            </w:pPr>
            <w:r>
              <w:t>100百分比</w:t>
            </w:r>
          </w:p>
        </w:tc>
        <w:tc>
          <w:tcPr>
            <w:tcW w:w="1276" w:type="dxa"/>
            <w:vAlign w:val="center"/>
          </w:tcPr>
          <w:p>
            <w:pPr>
              <w:pStyle w:val="13"/>
            </w:pPr>
            <w:r>
              <w:t>上级文件</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提升广大群众、干部满意度</w:t>
            </w:r>
          </w:p>
        </w:tc>
        <w:tc>
          <w:tcPr>
            <w:tcW w:w="2268" w:type="dxa"/>
            <w:vAlign w:val="center"/>
          </w:tcPr>
          <w:p>
            <w:pPr>
              <w:pStyle w:val="13"/>
            </w:pPr>
            <w:r>
              <w:t>≥95百分比</w:t>
            </w:r>
          </w:p>
        </w:tc>
        <w:tc>
          <w:tcPr>
            <w:tcW w:w="1276" w:type="dxa"/>
            <w:vAlign w:val="center"/>
          </w:tcPr>
          <w:p>
            <w:pPr>
              <w:pStyle w:val="13"/>
            </w:pPr>
            <w:r>
              <w:t>上级文件</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203中国共产党新乐市委员会组织部</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中国共产党新乐市委员会组织部（含所属单位）上年末固定资产金额为0.00万元（详见下表）。本年度拟购置固定资产总额为0.00万元，已按要求列入政府采购预算，详见政府采购预算表。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203中国共产党新乐市委员会组织部</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jc w:val="center"/>
        </w:trPr>
        <w:tc>
          <w:tcPr>
            <w:tcW w:w="7370" w:type="dxa"/>
            <w:vAlign w:val="center"/>
          </w:tcPr>
          <w:p>
            <w:pPr>
              <w:pStyle w:val="13"/>
            </w:pPr>
          </w:p>
        </w:tc>
        <w:tc>
          <w:tcPr>
            <w:tcW w:w="2835" w:type="dxa"/>
            <w:vAlign w:val="center"/>
          </w:tcPr>
          <w:p>
            <w:pPr>
              <w:pStyle w:val="14"/>
            </w:pPr>
          </w:p>
        </w:tc>
        <w:tc>
          <w:tcPr>
            <w:tcW w:w="2835"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Arial">
    <w:panose1 w:val="020B0604020202020204"/>
    <w:charset w:val="00"/>
    <w:family w:val="auto"/>
    <w:pitch w:val="default"/>
    <w:sig w:usb0="E0002A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30</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6764670"/>
    <w:rsid w:val="0B5F11F1"/>
    <w:rsid w:val="31E245BC"/>
    <w:rsid w:val="3DF77212"/>
    <w:rsid w:val="460939DE"/>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6">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33</Pages>
  <Words>10661</Words>
  <Characters>12360</Characters>
  <TotalTime>0</TotalTime>
  <ScaleCrop>false</ScaleCrop>
  <LinksUpToDate>false</LinksUpToDate>
  <CharactersWithSpaces>12566</CharactersWithSpaces>
  <Application>WPS Office_11.1.0.11744_F1E327BC-269C-435d-A152-05C5408002CA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2026-03-04T15:30:00Z</dcterms:created>
  <dc:creator>Administrator</dc:creator>
  <cp:lastModifiedBy>Administrator</cp:lastModifiedBy>
  <dcterms:modified xsi:type="dcterms:W3CDTF">2026-03-04T07:57:27Z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2052-11.1.0.11744</vt:lpwstr>
  </property>
  <property fmtid="{D5CDD505-2E9C-101B-9397-08002B2CF9AE}" pid="3" name="ICV">
    <vt:lpwstr>2027688158874CBFBFEC10BCBEE913CA</vt:lpwstr>
  </property>
</Properties>
</file>