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一、中国共产党新乐市委员会网络安全和信息化委员会办公室本级收支预算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一、中国共产党新乐市委员会网络安全和信息化委员会办公室本级收支预算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224001中国共产党新乐市委员会网络安全和信息化委员会办公室本级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127.00</w:t>
            </w:r>
          </w:p>
        </w:tc>
        <w:tc>
          <w:tcPr>
            <w:tcW w:w="4535" w:type="dxa"/>
            <w:vAlign w:val="center"/>
          </w:tcPr>
          <w:p>
            <w:pPr>
              <w:pStyle w:val="12"/>
            </w:pPr>
            <w:r>
              <w:t>一、一般公共服务支出</w:t>
            </w:r>
          </w:p>
        </w:tc>
        <w:tc>
          <w:tcPr>
            <w:tcW w:w="2126" w:type="dxa"/>
            <w:vAlign w:val="center"/>
          </w:tcPr>
          <w:p>
            <w:pPr>
              <w:pStyle w:val="11"/>
            </w:pPr>
            <w:r>
              <w:t>96.23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127.00</w:t>
            </w:r>
          </w:p>
        </w:tc>
        <w:tc>
          <w:tcPr>
            <w:tcW w:w="4535" w:type="dxa"/>
            <w:vAlign w:val="center"/>
          </w:tcPr>
          <w:p>
            <w:pPr>
              <w:pStyle w:val="14"/>
            </w:pPr>
            <w:r>
              <w:t>本年支出合计</w:t>
            </w:r>
          </w:p>
        </w:tc>
        <w:tc>
          <w:tcPr>
            <w:tcW w:w="2126" w:type="dxa"/>
            <w:vAlign w:val="center"/>
          </w:tcPr>
          <w:p>
            <w:pPr>
              <w:pStyle w:val="15"/>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127.00</w:t>
            </w:r>
          </w:p>
        </w:tc>
        <w:tc>
          <w:tcPr>
            <w:tcW w:w="4535" w:type="dxa"/>
            <w:vAlign w:val="center"/>
          </w:tcPr>
          <w:p>
            <w:pPr>
              <w:pStyle w:val="14"/>
            </w:pPr>
            <w:r>
              <w:t>支出总计</w:t>
            </w:r>
          </w:p>
        </w:tc>
        <w:tc>
          <w:tcPr>
            <w:tcW w:w="2126" w:type="dxa"/>
            <w:vAlign w:val="center"/>
          </w:tcPr>
          <w:p>
            <w:pPr>
              <w:pStyle w:val="15"/>
            </w:pPr>
            <w:r>
              <w:t>127.00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224001中国共产党新乐市委员会网络安全和信息化委员会办公室本级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127.00</w:t>
            </w:r>
          </w:p>
        </w:tc>
        <w:tc>
          <w:tcPr>
            <w:tcW w:w="1134" w:type="dxa"/>
            <w:vAlign w:val="center"/>
          </w:tcPr>
          <w:p>
            <w:pPr>
              <w:pStyle w:val="15"/>
            </w:pPr>
            <w:r>
              <w:t>127.00</w:t>
            </w:r>
          </w:p>
        </w:tc>
        <w:tc>
          <w:tcPr>
            <w:tcW w:w="1134" w:type="dxa"/>
            <w:vAlign w:val="center"/>
          </w:tcPr>
          <w:p>
            <w:pPr>
              <w:pStyle w:val="15"/>
            </w:pPr>
            <w:r>
              <w:t>127.00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96.23</w:t>
            </w:r>
          </w:p>
        </w:tc>
        <w:tc>
          <w:tcPr>
            <w:tcW w:w="1134" w:type="dxa"/>
            <w:vAlign w:val="center"/>
          </w:tcPr>
          <w:p>
            <w:pPr>
              <w:pStyle w:val="11"/>
            </w:pPr>
            <w:r>
              <w:t>96.23</w:t>
            </w:r>
          </w:p>
        </w:tc>
        <w:tc>
          <w:tcPr>
            <w:tcW w:w="1134" w:type="dxa"/>
            <w:vAlign w:val="center"/>
          </w:tcPr>
          <w:p>
            <w:pPr>
              <w:pStyle w:val="11"/>
            </w:pPr>
            <w:r>
              <w:t>96.23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20137</w:t>
            </w:r>
          </w:p>
        </w:tc>
        <w:tc>
          <w:tcPr>
            <w:tcW w:w="1559" w:type="dxa"/>
            <w:vAlign w:val="center"/>
          </w:tcPr>
          <w:p>
            <w:pPr>
              <w:pStyle w:val="12"/>
            </w:pPr>
            <w:r>
              <w:t>网信事务</w:t>
            </w:r>
          </w:p>
        </w:tc>
        <w:tc>
          <w:tcPr>
            <w:tcW w:w="1134" w:type="dxa"/>
            <w:vAlign w:val="center"/>
          </w:tcPr>
          <w:p>
            <w:pPr>
              <w:pStyle w:val="11"/>
            </w:pPr>
            <w:r>
              <w:t>96.23</w:t>
            </w:r>
          </w:p>
        </w:tc>
        <w:tc>
          <w:tcPr>
            <w:tcW w:w="1134" w:type="dxa"/>
            <w:vAlign w:val="center"/>
          </w:tcPr>
          <w:p>
            <w:pPr>
              <w:pStyle w:val="11"/>
            </w:pPr>
            <w:r>
              <w:t>96.23</w:t>
            </w:r>
          </w:p>
        </w:tc>
        <w:tc>
          <w:tcPr>
            <w:tcW w:w="1134" w:type="dxa"/>
            <w:vAlign w:val="center"/>
          </w:tcPr>
          <w:p>
            <w:pPr>
              <w:pStyle w:val="11"/>
            </w:pPr>
            <w:r>
              <w:t>96.23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2013701</w:t>
            </w:r>
          </w:p>
        </w:tc>
        <w:tc>
          <w:tcPr>
            <w:tcW w:w="1559" w:type="dxa"/>
            <w:vAlign w:val="center"/>
          </w:tcPr>
          <w:p>
            <w:pPr>
              <w:pStyle w:val="12"/>
            </w:pPr>
            <w:r>
              <w:t>行政运行</w:t>
            </w:r>
          </w:p>
        </w:tc>
        <w:tc>
          <w:tcPr>
            <w:tcW w:w="1134" w:type="dxa"/>
            <w:vAlign w:val="center"/>
          </w:tcPr>
          <w:p>
            <w:pPr>
              <w:pStyle w:val="11"/>
            </w:pPr>
            <w:r>
              <w:t>96.23</w:t>
            </w:r>
          </w:p>
        </w:tc>
        <w:tc>
          <w:tcPr>
            <w:tcW w:w="1134" w:type="dxa"/>
            <w:vAlign w:val="center"/>
          </w:tcPr>
          <w:p>
            <w:pPr>
              <w:pStyle w:val="11"/>
            </w:pPr>
            <w:r>
              <w:t>96.23</w:t>
            </w:r>
          </w:p>
        </w:tc>
        <w:tc>
          <w:tcPr>
            <w:tcW w:w="1134" w:type="dxa"/>
            <w:vAlign w:val="center"/>
          </w:tcPr>
          <w:p>
            <w:pPr>
              <w:pStyle w:val="11"/>
            </w:pPr>
            <w:r>
              <w:t>96.23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12.54</w:t>
            </w:r>
          </w:p>
        </w:tc>
        <w:tc>
          <w:tcPr>
            <w:tcW w:w="1134" w:type="dxa"/>
            <w:vAlign w:val="center"/>
          </w:tcPr>
          <w:p>
            <w:pPr>
              <w:pStyle w:val="11"/>
            </w:pPr>
            <w:r>
              <w:t>12.54</w:t>
            </w:r>
          </w:p>
        </w:tc>
        <w:tc>
          <w:tcPr>
            <w:tcW w:w="1134" w:type="dxa"/>
            <w:vAlign w:val="center"/>
          </w:tcPr>
          <w:p>
            <w:pPr>
              <w:pStyle w:val="11"/>
            </w:pPr>
            <w:r>
              <w:t>12.54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11.97</w:t>
            </w:r>
          </w:p>
        </w:tc>
        <w:tc>
          <w:tcPr>
            <w:tcW w:w="1134" w:type="dxa"/>
            <w:vAlign w:val="center"/>
          </w:tcPr>
          <w:p>
            <w:pPr>
              <w:pStyle w:val="11"/>
            </w:pPr>
            <w:r>
              <w:t>11.97</w:t>
            </w:r>
          </w:p>
        </w:tc>
        <w:tc>
          <w:tcPr>
            <w:tcW w:w="1134" w:type="dxa"/>
            <w:vAlign w:val="center"/>
          </w:tcPr>
          <w:p>
            <w:pPr>
              <w:pStyle w:val="11"/>
            </w:pPr>
            <w:r>
              <w:t>11.97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11.97</w:t>
            </w:r>
          </w:p>
        </w:tc>
        <w:tc>
          <w:tcPr>
            <w:tcW w:w="1134" w:type="dxa"/>
            <w:vAlign w:val="center"/>
          </w:tcPr>
          <w:p>
            <w:pPr>
              <w:pStyle w:val="11"/>
            </w:pPr>
            <w:r>
              <w:t>11.97</w:t>
            </w:r>
          </w:p>
        </w:tc>
        <w:tc>
          <w:tcPr>
            <w:tcW w:w="1134" w:type="dxa"/>
            <w:vAlign w:val="center"/>
          </w:tcPr>
          <w:p>
            <w:pPr>
              <w:pStyle w:val="11"/>
            </w:pPr>
            <w:r>
              <w:t>11.97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0.57</w:t>
            </w:r>
          </w:p>
        </w:tc>
        <w:tc>
          <w:tcPr>
            <w:tcW w:w="1134" w:type="dxa"/>
            <w:vAlign w:val="center"/>
          </w:tcPr>
          <w:p>
            <w:pPr>
              <w:pStyle w:val="11"/>
            </w:pPr>
            <w:r>
              <w:t>0.57</w:t>
            </w:r>
          </w:p>
        </w:tc>
        <w:tc>
          <w:tcPr>
            <w:tcW w:w="1134" w:type="dxa"/>
            <w:vAlign w:val="center"/>
          </w:tcPr>
          <w:p>
            <w:pPr>
              <w:pStyle w:val="11"/>
            </w:pPr>
            <w:r>
              <w:t>0.57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0.57</w:t>
            </w:r>
          </w:p>
        </w:tc>
        <w:tc>
          <w:tcPr>
            <w:tcW w:w="1134" w:type="dxa"/>
            <w:vAlign w:val="center"/>
          </w:tcPr>
          <w:p>
            <w:pPr>
              <w:pStyle w:val="11"/>
            </w:pPr>
            <w:r>
              <w:t>0.57</w:t>
            </w:r>
          </w:p>
        </w:tc>
        <w:tc>
          <w:tcPr>
            <w:tcW w:w="1134" w:type="dxa"/>
            <w:vAlign w:val="center"/>
          </w:tcPr>
          <w:p>
            <w:pPr>
              <w:pStyle w:val="11"/>
            </w:pPr>
            <w:r>
              <w:t>0.57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5.31</w:t>
            </w:r>
          </w:p>
        </w:tc>
        <w:tc>
          <w:tcPr>
            <w:tcW w:w="1134" w:type="dxa"/>
            <w:vAlign w:val="center"/>
          </w:tcPr>
          <w:p>
            <w:pPr>
              <w:pStyle w:val="11"/>
            </w:pPr>
            <w:r>
              <w:t>5.31</w:t>
            </w:r>
          </w:p>
        </w:tc>
        <w:tc>
          <w:tcPr>
            <w:tcW w:w="1134" w:type="dxa"/>
            <w:vAlign w:val="center"/>
          </w:tcPr>
          <w:p>
            <w:pPr>
              <w:pStyle w:val="11"/>
            </w:pPr>
            <w:r>
              <w:t>5.31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5.31</w:t>
            </w:r>
          </w:p>
        </w:tc>
        <w:tc>
          <w:tcPr>
            <w:tcW w:w="1134" w:type="dxa"/>
            <w:vAlign w:val="center"/>
          </w:tcPr>
          <w:p>
            <w:pPr>
              <w:pStyle w:val="11"/>
            </w:pPr>
            <w:r>
              <w:t>5.31</w:t>
            </w:r>
          </w:p>
        </w:tc>
        <w:tc>
          <w:tcPr>
            <w:tcW w:w="1134" w:type="dxa"/>
            <w:vAlign w:val="center"/>
          </w:tcPr>
          <w:p>
            <w:pPr>
              <w:pStyle w:val="11"/>
            </w:pPr>
            <w:r>
              <w:t>5.31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5.31</w:t>
            </w:r>
          </w:p>
        </w:tc>
        <w:tc>
          <w:tcPr>
            <w:tcW w:w="1134" w:type="dxa"/>
            <w:vAlign w:val="center"/>
          </w:tcPr>
          <w:p>
            <w:pPr>
              <w:pStyle w:val="11"/>
            </w:pPr>
            <w:r>
              <w:t>5.31</w:t>
            </w:r>
          </w:p>
        </w:tc>
        <w:tc>
          <w:tcPr>
            <w:tcW w:w="1134" w:type="dxa"/>
            <w:vAlign w:val="center"/>
          </w:tcPr>
          <w:p>
            <w:pPr>
              <w:pStyle w:val="11"/>
            </w:pPr>
            <w:r>
              <w:t>5.31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12.92</w:t>
            </w:r>
          </w:p>
        </w:tc>
        <w:tc>
          <w:tcPr>
            <w:tcW w:w="1134" w:type="dxa"/>
            <w:vAlign w:val="center"/>
          </w:tcPr>
          <w:p>
            <w:pPr>
              <w:pStyle w:val="11"/>
            </w:pPr>
            <w:r>
              <w:t>12.92</w:t>
            </w:r>
          </w:p>
        </w:tc>
        <w:tc>
          <w:tcPr>
            <w:tcW w:w="1134" w:type="dxa"/>
            <w:vAlign w:val="center"/>
          </w:tcPr>
          <w:p>
            <w:pPr>
              <w:pStyle w:val="11"/>
            </w:pPr>
            <w:r>
              <w:t>12.92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12.92</w:t>
            </w:r>
          </w:p>
        </w:tc>
        <w:tc>
          <w:tcPr>
            <w:tcW w:w="1134" w:type="dxa"/>
            <w:vAlign w:val="center"/>
          </w:tcPr>
          <w:p>
            <w:pPr>
              <w:pStyle w:val="11"/>
            </w:pPr>
            <w:r>
              <w:t>12.92</w:t>
            </w:r>
          </w:p>
        </w:tc>
        <w:tc>
          <w:tcPr>
            <w:tcW w:w="1134" w:type="dxa"/>
            <w:vAlign w:val="center"/>
          </w:tcPr>
          <w:p>
            <w:pPr>
              <w:pStyle w:val="11"/>
            </w:pPr>
            <w:r>
              <w:t>12.92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12.92</w:t>
            </w:r>
          </w:p>
        </w:tc>
        <w:tc>
          <w:tcPr>
            <w:tcW w:w="1134" w:type="dxa"/>
            <w:vAlign w:val="center"/>
          </w:tcPr>
          <w:p>
            <w:pPr>
              <w:pStyle w:val="11"/>
            </w:pPr>
            <w:r>
              <w:t>12.92</w:t>
            </w:r>
          </w:p>
        </w:tc>
        <w:tc>
          <w:tcPr>
            <w:tcW w:w="1134" w:type="dxa"/>
            <w:vAlign w:val="center"/>
          </w:tcPr>
          <w:p>
            <w:pPr>
              <w:pStyle w:val="11"/>
            </w:pPr>
            <w:r>
              <w:t>12.92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224001中国共产党新乐市委员会网络安全和信息化委员会办公室本级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127.00</w:t>
            </w:r>
          </w:p>
        </w:tc>
        <w:tc>
          <w:tcPr>
            <w:tcW w:w="1361" w:type="dxa"/>
            <w:vAlign w:val="center"/>
          </w:tcPr>
          <w:p>
            <w:pPr>
              <w:pStyle w:val="15"/>
            </w:pPr>
            <w:r>
              <w:t>127.00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96.23</w:t>
            </w:r>
          </w:p>
        </w:tc>
        <w:tc>
          <w:tcPr>
            <w:tcW w:w="1361" w:type="dxa"/>
            <w:vAlign w:val="center"/>
          </w:tcPr>
          <w:p>
            <w:pPr>
              <w:pStyle w:val="11"/>
            </w:pPr>
            <w:r>
              <w:t>96.23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20137</w:t>
            </w:r>
          </w:p>
        </w:tc>
        <w:tc>
          <w:tcPr>
            <w:tcW w:w="4535" w:type="dxa"/>
            <w:vAlign w:val="center"/>
          </w:tcPr>
          <w:p>
            <w:pPr>
              <w:pStyle w:val="12"/>
            </w:pPr>
            <w:r>
              <w:t>网信事务</w:t>
            </w:r>
          </w:p>
        </w:tc>
        <w:tc>
          <w:tcPr>
            <w:tcW w:w="1361" w:type="dxa"/>
            <w:vAlign w:val="center"/>
          </w:tcPr>
          <w:p>
            <w:pPr>
              <w:pStyle w:val="11"/>
            </w:pPr>
            <w:r>
              <w:t>96.23</w:t>
            </w:r>
          </w:p>
        </w:tc>
        <w:tc>
          <w:tcPr>
            <w:tcW w:w="1361" w:type="dxa"/>
            <w:vAlign w:val="center"/>
          </w:tcPr>
          <w:p>
            <w:pPr>
              <w:pStyle w:val="11"/>
            </w:pPr>
            <w:r>
              <w:t>96.23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2013701</w:t>
            </w:r>
          </w:p>
        </w:tc>
        <w:tc>
          <w:tcPr>
            <w:tcW w:w="4535" w:type="dxa"/>
            <w:vAlign w:val="center"/>
          </w:tcPr>
          <w:p>
            <w:pPr>
              <w:pStyle w:val="12"/>
            </w:pPr>
            <w:r>
              <w:t>行政运行</w:t>
            </w:r>
          </w:p>
        </w:tc>
        <w:tc>
          <w:tcPr>
            <w:tcW w:w="1361" w:type="dxa"/>
            <w:vAlign w:val="center"/>
          </w:tcPr>
          <w:p>
            <w:pPr>
              <w:pStyle w:val="11"/>
            </w:pPr>
            <w:r>
              <w:t>96.23</w:t>
            </w:r>
          </w:p>
        </w:tc>
        <w:tc>
          <w:tcPr>
            <w:tcW w:w="1361" w:type="dxa"/>
            <w:vAlign w:val="center"/>
          </w:tcPr>
          <w:p>
            <w:pPr>
              <w:pStyle w:val="11"/>
            </w:pPr>
            <w:r>
              <w:t>96.23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12.54</w:t>
            </w:r>
          </w:p>
        </w:tc>
        <w:tc>
          <w:tcPr>
            <w:tcW w:w="1361" w:type="dxa"/>
            <w:vAlign w:val="center"/>
          </w:tcPr>
          <w:p>
            <w:pPr>
              <w:pStyle w:val="11"/>
            </w:pPr>
            <w:r>
              <w:t>12.54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11.97</w:t>
            </w:r>
          </w:p>
        </w:tc>
        <w:tc>
          <w:tcPr>
            <w:tcW w:w="1361" w:type="dxa"/>
            <w:vAlign w:val="center"/>
          </w:tcPr>
          <w:p>
            <w:pPr>
              <w:pStyle w:val="11"/>
            </w:pPr>
            <w:r>
              <w:t>11.97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11.97</w:t>
            </w:r>
          </w:p>
        </w:tc>
        <w:tc>
          <w:tcPr>
            <w:tcW w:w="1361" w:type="dxa"/>
            <w:vAlign w:val="center"/>
          </w:tcPr>
          <w:p>
            <w:pPr>
              <w:pStyle w:val="11"/>
            </w:pPr>
            <w:r>
              <w:t>11.97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0.57</w:t>
            </w:r>
          </w:p>
        </w:tc>
        <w:tc>
          <w:tcPr>
            <w:tcW w:w="1361" w:type="dxa"/>
            <w:vAlign w:val="center"/>
          </w:tcPr>
          <w:p>
            <w:pPr>
              <w:pStyle w:val="11"/>
            </w:pPr>
            <w:r>
              <w:t>0.57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0.57</w:t>
            </w:r>
          </w:p>
        </w:tc>
        <w:tc>
          <w:tcPr>
            <w:tcW w:w="1361" w:type="dxa"/>
            <w:vAlign w:val="center"/>
          </w:tcPr>
          <w:p>
            <w:pPr>
              <w:pStyle w:val="11"/>
            </w:pPr>
            <w:r>
              <w:t>0.57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5.31</w:t>
            </w:r>
          </w:p>
        </w:tc>
        <w:tc>
          <w:tcPr>
            <w:tcW w:w="1361" w:type="dxa"/>
            <w:vAlign w:val="center"/>
          </w:tcPr>
          <w:p>
            <w:pPr>
              <w:pStyle w:val="11"/>
            </w:pPr>
            <w:r>
              <w:t>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5.31</w:t>
            </w:r>
          </w:p>
        </w:tc>
        <w:tc>
          <w:tcPr>
            <w:tcW w:w="1361" w:type="dxa"/>
            <w:vAlign w:val="center"/>
          </w:tcPr>
          <w:p>
            <w:pPr>
              <w:pStyle w:val="11"/>
            </w:pPr>
            <w:r>
              <w:t>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5.31</w:t>
            </w:r>
          </w:p>
        </w:tc>
        <w:tc>
          <w:tcPr>
            <w:tcW w:w="1361" w:type="dxa"/>
            <w:vAlign w:val="center"/>
          </w:tcPr>
          <w:p>
            <w:pPr>
              <w:pStyle w:val="11"/>
            </w:pPr>
            <w:r>
              <w:t>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12.92</w:t>
            </w:r>
          </w:p>
        </w:tc>
        <w:tc>
          <w:tcPr>
            <w:tcW w:w="1361" w:type="dxa"/>
            <w:vAlign w:val="center"/>
          </w:tcPr>
          <w:p>
            <w:pPr>
              <w:pStyle w:val="11"/>
            </w:pPr>
            <w:r>
              <w:t>12.92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12.92</w:t>
            </w:r>
          </w:p>
        </w:tc>
        <w:tc>
          <w:tcPr>
            <w:tcW w:w="1361" w:type="dxa"/>
            <w:vAlign w:val="center"/>
          </w:tcPr>
          <w:p>
            <w:pPr>
              <w:pStyle w:val="11"/>
            </w:pPr>
            <w:r>
              <w:t>12.92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12.92</w:t>
            </w:r>
          </w:p>
        </w:tc>
        <w:tc>
          <w:tcPr>
            <w:tcW w:w="1361" w:type="dxa"/>
            <w:vAlign w:val="center"/>
          </w:tcPr>
          <w:p>
            <w:pPr>
              <w:pStyle w:val="11"/>
            </w:pPr>
            <w:r>
              <w:t>12.92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224001中国共产党新乐市委员会网络安全和信息化委员会办公室本级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127.00</w:t>
            </w:r>
          </w:p>
        </w:tc>
        <w:tc>
          <w:tcPr>
            <w:tcW w:w="3402" w:type="dxa"/>
            <w:vAlign w:val="center"/>
          </w:tcPr>
          <w:p>
            <w:pPr>
              <w:pStyle w:val="12"/>
            </w:pPr>
            <w:r>
              <w:t>一、一般公共服务支出</w:t>
            </w:r>
          </w:p>
        </w:tc>
        <w:tc>
          <w:tcPr>
            <w:tcW w:w="1474" w:type="dxa"/>
            <w:vAlign w:val="center"/>
          </w:tcPr>
          <w:p>
            <w:pPr>
              <w:pStyle w:val="11"/>
            </w:pPr>
            <w:r>
              <w:t>96.23</w:t>
            </w:r>
          </w:p>
        </w:tc>
        <w:tc>
          <w:tcPr>
            <w:tcW w:w="1474" w:type="dxa"/>
            <w:vAlign w:val="center"/>
          </w:tcPr>
          <w:p>
            <w:pPr>
              <w:pStyle w:val="11"/>
            </w:pPr>
            <w:r>
              <w:t>96.23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12.54</w:t>
            </w:r>
          </w:p>
        </w:tc>
        <w:tc>
          <w:tcPr>
            <w:tcW w:w="1474" w:type="dxa"/>
            <w:vAlign w:val="center"/>
          </w:tcPr>
          <w:p>
            <w:pPr>
              <w:pStyle w:val="11"/>
            </w:pPr>
            <w:r>
              <w:t>12.54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5.31</w:t>
            </w:r>
          </w:p>
        </w:tc>
        <w:tc>
          <w:tcPr>
            <w:tcW w:w="1474" w:type="dxa"/>
            <w:vAlign w:val="center"/>
          </w:tcPr>
          <w:p>
            <w:pPr>
              <w:pStyle w:val="11"/>
            </w:pPr>
            <w:r>
              <w:t>5.31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12.92</w:t>
            </w:r>
          </w:p>
        </w:tc>
        <w:tc>
          <w:tcPr>
            <w:tcW w:w="1474" w:type="dxa"/>
            <w:vAlign w:val="center"/>
          </w:tcPr>
          <w:p>
            <w:pPr>
              <w:pStyle w:val="11"/>
            </w:pPr>
            <w:r>
              <w:t>12.92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127.00</w:t>
            </w:r>
          </w:p>
        </w:tc>
        <w:tc>
          <w:tcPr>
            <w:tcW w:w="3402" w:type="dxa"/>
            <w:vAlign w:val="center"/>
          </w:tcPr>
          <w:p>
            <w:pPr>
              <w:pStyle w:val="14"/>
            </w:pPr>
            <w:r>
              <w:t>本年支出合计</w:t>
            </w:r>
          </w:p>
        </w:tc>
        <w:tc>
          <w:tcPr>
            <w:tcW w:w="1474" w:type="dxa"/>
            <w:vAlign w:val="center"/>
          </w:tcPr>
          <w:p>
            <w:pPr>
              <w:pStyle w:val="15"/>
            </w:pPr>
            <w:r>
              <w:t>127.00</w:t>
            </w:r>
          </w:p>
        </w:tc>
        <w:tc>
          <w:tcPr>
            <w:tcW w:w="1474" w:type="dxa"/>
            <w:vAlign w:val="center"/>
          </w:tcPr>
          <w:p>
            <w:pPr>
              <w:pStyle w:val="15"/>
            </w:pPr>
            <w:r>
              <w:t>127.00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127.00</w:t>
            </w:r>
          </w:p>
        </w:tc>
        <w:tc>
          <w:tcPr>
            <w:tcW w:w="3402" w:type="dxa"/>
            <w:vAlign w:val="center"/>
          </w:tcPr>
          <w:p>
            <w:pPr>
              <w:pStyle w:val="14"/>
            </w:pPr>
            <w:r>
              <w:t>支出总计</w:t>
            </w:r>
          </w:p>
        </w:tc>
        <w:tc>
          <w:tcPr>
            <w:tcW w:w="1474" w:type="dxa"/>
            <w:vAlign w:val="center"/>
          </w:tcPr>
          <w:p>
            <w:pPr>
              <w:pStyle w:val="15"/>
            </w:pPr>
            <w:r>
              <w:t>127.00</w:t>
            </w:r>
          </w:p>
        </w:tc>
        <w:tc>
          <w:tcPr>
            <w:tcW w:w="1474" w:type="dxa"/>
            <w:vAlign w:val="center"/>
          </w:tcPr>
          <w:p>
            <w:pPr>
              <w:pStyle w:val="15"/>
            </w:pPr>
            <w:r>
              <w:t>127.00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224001中国共产党新乐市委员会网络安全和信息化委员会办公室本级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127.00</w:t>
            </w:r>
          </w:p>
        </w:tc>
        <w:tc>
          <w:tcPr>
            <w:tcW w:w="2551" w:type="dxa"/>
            <w:vAlign w:val="center"/>
          </w:tcPr>
          <w:p>
            <w:pPr>
              <w:pStyle w:val="15"/>
            </w:pPr>
            <w:r>
              <w:t>127.00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96.23</w:t>
            </w:r>
          </w:p>
        </w:tc>
        <w:tc>
          <w:tcPr>
            <w:tcW w:w="2551" w:type="dxa"/>
            <w:vAlign w:val="center"/>
          </w:tcPr>
          <w:p>
            <w:pPr>
              <w:pStyle w:val="11"/>
            </w:pPr>
            <w:r>
              <w:t>96.23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20137</w:t>
            </w:r>
          </w:p>
        </w:tc>
        <w:tc>
          <w:tcPr>
            <w:tcW w:w="4535" w:type="dxa"/>
            <w:vAlign w:val="center"/>
          </w:tcPr>
          <w:p>
            <w:pPr>
              <w:pStyle w:val="12"/>
            </w:pPr>
            <w:r>
              <w:t>网信事务</w:t>
            </w:r>
          </w:p>
        </w:tc>
        <w:tc>
          <w:tcPr>
            <w:tcW w:w="2551" w:type="dxa"/>
            <w:vAlign w:val="center"/>
          </w:tcPr>
          <w:p>
            <w:pPr>
              <w:pStyle w:val="11"/>
            </w:pPr>
            <w:r>
              <w:t>96.23</w:t>
            </w:r>
          </w:p>
        </w:tc>
        <w:tc>
          <w:tcPr>
            <w:tcW w:w="2551" w:type="dxa"/>
            <w:vAlign w:val="center"/>
          </w:tcPr>
          <w:p>
            <w:pPr>
              <w:pStyle w:val="11"/>
            </w:pPr>
            <w:r>
              <w:t>96.23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2013701</w:t>
            </w:r>
          </w:p>
        </w:tc>
        <w:tc>
          <w:tcPr>
            <w:tcW w:w="4535" w:type="dxa"/>
            <w:vAlign w:val="center"/>
          </w:tcPr>
          <w:p>
            <w:pPr>
              <w:pStyle w:val="12"/>
            </w:pPr>
            <w:r>
              <w:t>行政运行</w:t>
            </w:r>
          </w:p>
        </w:tc>
        <w:tc>
          <w:tcPr>
            <w:tcW w:w="2551" w:type="dxa"/>
            <w:vAlign w:val="center"/>
          </w:tcPr>
          <w:p>
            <w:pPr>
              <w:pStyle w:val="11"/>
            </w:pPr>
            <w:r>
              <w:t>96.23</w:t>
            </w:r>
          </w:p>
        </w:tc>
        <w:tc>
          <w:tcPr>
            <w:tcW w:w="2551" w:type="dxa"/>
            <w:vAlign w:val="center"/>
          </w:tcPr>
          <w:p>
            <w:pPr>
              <w:pStyle w:val="11"/>
            </w:pPr>
            <w:r>
              <w:t>96.23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12.54</w:t>
            </w:r>
          </w:p>
        </w:tc>
        <w:tc>
          <w:tcPr>
            <w:tcW w:w="2551" w:type="dxa"/>
            <w:vAlign w:val="center"/>
          </w:tcPr>
          <w:p>
            <w:pPr>
              <w:pStyle w:val="11"/>
            </w:pPr>
            <w:r>
              <w:t>12.54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11.97</w:t>
            </w:r>
          </w:p>
        </w:tc>
        <w:tc>
          <w:tcPr>
            <w:tcW w:w="2551" w:type="dxa"/>
            <w:vAlign w:val="center"/>
          </w:tcPr>
          <w:p>
            <w:pPr>
              <w:pStyle w:val="11"/>
            </w:pPr>
            <w:r>
              <w:t>11.97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11.97</w:t>
            </w:r>
          </w:p>
        </w:tc>
        <w:tc>
          <w:tcPr>
            <w:tcW w:w="2551" w:type="dxa"/>
            <w:vAlign w:val="center"/>
          </w:tcPr>
          <w:p>
            <w:pPr>
              <w:pStyle w:val="11"/>
            </w:pPr>
            <w:r>
              <w:t>11.97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0.57</w:t>
            </w:r>
          </w:p>
        </w:tc>
        <w:tc>
          <w:tcPr>
            <w:tcW w:w="2551" w:type="dxa"/>
            <w:vAlign w:val="center"/>
          </w:tcPr>
          <w:p>
            <w:pPr>
              <w:pStyle w:val="11"/>
            </w:pPr>
            <w:r>
              <w:t>0.57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0.57</w:t>
            </w:r>
          </w:p>
        </w:tc>
        <w:tc>
          <w:tcPr>
            <w:tcW w:w="2551" w:type="dxa"/>
            <w:vAlign w:val="center"/>
          </w:tcPr>
          <w:p>
            <w:pPr>
              <w:pStyle w:val="11"/>
            </w:pPr>
            <w:r>
              <w:t>0.57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5.31</w:t>
            </w:r>
          </w:p>
        </w:tc>
        <w:tc>
          <w:tcPr>
            <w:tcW w:w="2551" w:type="dxa"/>
            <w:vAlign w:val="center"/>
          </w:tcPr>
          <w:p>
            <w:pPr>
              <w:pStyle w:val="11"/>
            </w:pPr>
            <w:r>
              <w:t>5.31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5.31</w:t>
            </w:r>
          </w:p>
        </w:tc>
        <w:tc>
          <w:tcPr>
            <w:tcW w:w="2551" w:type="dxa"/>
            <w:vAlign w:val="center"/>
          </w:tcPr>
          <w:p>
            <w:pPr>
              <w:pStyle w:val="11"/>
            </w:pPr>
            <w:r>
              <w:t>5.31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5.31</w:t>
            </w:r>
          </w:p>
        </w:tc>
        <w:tc>
          <w:tcPr>
            <w:tcW w:w="2551" w:type="dxa"/>
            <w:vAlign w:val="center"/>
          </w:tcPr>
          <w:p>
            <w:pPr>
              <w:pStyle w:val="11"/>
            </w:pPr>
            <w:r>
              <w:t>5.31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12.92</w:t>
            </w:r>
          </w:p>
        </w:tc>
        <w:tc>
          <w:tcPr>
            <w:tcW w:w="2551" w:type="dxa"/>
            <w:vAlign w:val="center"/>
          </w:tcPr>
          <w:p>
            <w:pPr>
              <w:pStyle w:val="11"/>
            </w:pPr>
            <w:r>
              <w:t>12.92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12.92</w:t>
            </w:r>
          </w:p>
        </w:tc>
        <w:tc>
          <w:tcPr>
            <w:tcW w:w="2551" w:type="dxa"/>
            <w:vAlign w:val="center"/>
          </w:tcPr>
          <w:p>
            <w:pPr>
              <w:pStyle w:val="11"/>
            </w:pPr>
            <w:r>
              <w:t>12.92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12.92</w:t>
            </w:r>
          </w:p>
        </w:tc>
        <w:tc>
          <w:tcPr>
            <w:tcW w:w="2551" w:type="dxa"/>
            <w:vAlign w:val="center"/>
          </w:tcPr>
          <w:p>
            <w:pPr>
              <w:pStyle w:val="11"/>
            </w:pPr>
            <w:r>
              <w:t>12.92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224001中国共产党新乐市委员会网络安全和信息化委员会办公室本级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127.00</w:t>
            </w:r>
          </w:p>
        </w:tc>
        <w:tc>
          <w:tcPr>
            <w:tcW w:w="2551" w:type="dxa"/>
            <w:vAlign w:val="center"/>
          </w:tcPr>
          <w:p>
            <w:pPr>
              <w:pStyle w:val="15"/>
            </w:pPr>
            <w:r>
              <w:t>118.53</w:t>
            </w:r>
          </w:p>
        </w:tc>
        <w:tc>
          <w:tcPr>
            <w:tcW w:w="2551" w:type="dxa"/>
            <w:vAlign w:val="center"/>
          </w:tcPr>
          <w:p>
            <w:pPr>
              <w:pStyle w:val="15"/>
            </w:pPr>
            <w:r>
              <w:t>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118.53</w:t>
            </w:r>
          </w:p>
        </w:tc>
        <w:tc>
          <w:tcPr>
            <w:tcW w:w="2551" w:type="dxa"/>
            <w:vAlign w:val="center"/>
          </w:tcPr>
          <w:p>
            <w:pPr>
              <w:pStyle w:val="11"/>
            </w:pPr>
            <w:r>
              <w:t>118.53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45.03</w:t>
            </w:r>
          </w:p>
        </w:tc>
        <w:tc>
          <w:tcPr>
            <w:tcW w:w="2551" w:type="dxa"/>
            <w:vAlign w:val="center"/>
          </w:tcPr>
          <w:p>
            <w:pPr>
              <w:pStyle w:val="11"/>
            </w:pPr>
            <w:r>
              <w:t>45.03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14.14</w:t>
            </w:r>
          </w:p>
        </w:tc>
        <w:tc>
          <w:tcPr>
            <w:tcW w:w="2551" w:type="dxa"/>
            <w:vAlign w:val="center"/>
          </w:tcPr>
          <w:p>
            <w:pPr>
              <w:pStyle w:val="11"/>
            </w:pPr>
            <w:r>
              <w:t>14.14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10.58</w:t>
            </w:r>
          </w:p>
        </w:tc>
        <w:tc>
          <w:tcPr>
            <w:tcW w:w="2551" w:type="dxa"/>
            <w:vAlign w:val="center"/>
          </w:tcPr>
          <w:p>
            <w:pPr>
              <w:pStyle w:val="11"/>
            </w:pPr>
            <w:r>
              <w:t>10.58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18.01</w:t>
            </w:r>
          </w:p>
        </w:tc>
        <w:tc>
          <w:tcPr>
            <w:tcW w:w="2551" w:type="dxa"/>
            <w:vAlign w:val="center"/>
          </w:tcPr>
          <w:p>
            <w:pPr>
              <w:pStyle w:val="11"/>
            </w:pPr>
            <w:r>
              <w:t>18.01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11.97</w:t>
            </w:r>
          </w:p>
        </w:tc>
        <w:tc>
          <w:tcPr>
            <w:tcW w:w="2551" w:type="dxa"/>
            <w:vAlign w:val="center"/>
          </w:tcPr>
          <w:p>
            <w:pPr>
              <w:pStyle w:val="11"/>
            </w:pPr>
            <w:r>
              <w:t>11.97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5.31</w:t>
            </w:r>
          </w:p>
        </w:tc>
        <w:tc>
          <w:tcPr>
            <w:tcW w:w="2551" w:type="dxa"/>
            <w:vAlign w:val="center"/>
          </w:tcPr>
          <w:p>
            <w:pPr>
              <w:pStyle w:val="11"/>
            </w:pPr>
            <w:r>
              <w:t>5.31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0.57</w:t>
            </w:r>
          </w:p>
        </w:tc>
        <w:tc>
          <w:tcPr>
            <w:tcW w:w="2551" w:type="dxa"/>
            <w:vAlign w:val="center"/>
          </w:tcPr>
          <w:p>
            <w:pPr>
              <w:pStyle w:val="11"/>
            </w:pPr>
            <w:r>
              <w:t>0.57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12.92</w:t>
            </w:r>
          </w:p>
        </w:tc>
        <w:tc>
          <w:tcPr>
            <w:tcW w:w="2551" w:type="dxa"/>
            <w:vAlign w:val="center"/>
          </w:tcPr>
          <w:p>
            <w:pPr>
              <w:pStyle w:val="11"/>
            </w:pPr>
            <w:r>
              <w:t>12.92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8.47</w:t>
            </w:r>
          </w:p>
        </w:tc>
        <w:tc>
          <w:tcPr>
            <w:tcW w:w="2551" w:type="dxa"/>
            <w:vAlign w:val="center"/>
          </w:tcPr>
          <w:p>
            <w:pPr>
              <w:pStyle w:val="11"/>
            </w:pPr>
          </w:p>
        </w:tc>
        <w:tc>
          <w:tcPr>
            <w:tcW w:w="2551" w:type="dxa"/>
            <w:vAlign w:val="center"/>
          </w:tcPr>
          <w:p>
            <w:pPr>
              <w:pStyle w:val="11"/>
            </w:pPr>
            <w:r>
              <w:t>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2.34</w:t>
            </w:r>
          </w:p>
        </w:tc>
        <w:tc>
          <w:tcPr>
            <w:tcW w:w="2551" w:type="dxa"/>
            <w:vAlign w:val="center"/>
          </w:tcPr>
          <w:p>
            <w:pPr>
              <w:pStyle w:val="11"/>
            </w:pPr>
          </w:p>
        </w:tc>
        <w:tc>
          <w:tcPr>
            <w:tcW w:w="2551" w:type="dxa"/>
            <w:vAlign w:val="center"/>
          </w:tcPr>
          <w:p>
            <w:pPr>
              <w:pStyle w:val="11"/>
            </w:pPr>
            <w: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3.06</w:t>
            </w:r>
          </w:p>
        </w:tc>
        <w:tc>
          <w:tcPr>
            <w:tcW w:w="2551" w:type="dxa"/>
            <w:vAlign w:val="center"/>
          </w:tcPr>
          <w:p>
            <w:pPr>
              <w:pStyle w:val="11"/>
            </w:pPr>
          </w:p>
        </w:tc>
        <w:tc>
          <w:tcPr>
            <w:tcW w:w="2551" w:type="dxa"/>
            <w:vAlign w:val="center"/>
          </w:tcPr>
          <w:p>
            <w:pPr>
              <w:pStyle w:val="11"/>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1.17</w:t>
            </w:r>
          </w:p>
        </w:tc>
        <w:tc>
          <w:tcPr>
            <w:tcW w:w="2551" w:type="dxa"/>
            <w:vAlign w:val="center"/>
          </w:tcPr>
          <w:p>
            <w:pPr>
              <w:pStyle w:val="11"/>
            </w:pPr>
          </w:p>
        </w:tc>
        <w:tc>
          <w:tcPr>
            <w:tcW w:w="2551" w:type="dxa"/>
            <w:vAlign w:val="center"/>
          </w:tcPr>
          <w:p>
            <w:pPr>
              <w:pStyle w:val="11"/>
            </w:pPr>
            <w:r>
              <w:t>1.17</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224001中国共产党新乐市委员会网络安全和信息化委员会办公室本级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224001中国共产党新乐市委员会网络安全和信息化委员会办公室本级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224001中国共产党新乐市委员会网络安全和信息化委员会办公室本级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中国共产党新乐市委员会网络安全和信息化委员会办公室本级2026年单位预算信息公开情况说明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按照《中华人民共和国预算法》、《地方预决算公开操作规程》和《关于进一步推进预算公开工作的实施意见》规定，现将中国共产党新乐市委员会网络安全和信息化委员会办公室本级2026年单位预算公开如下：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处理市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pPr>
        <w:pStyle w:val="17"/>
      </w:pPr>
      <w:r>
        <w:t>(二)贯彻落实网络安全和信息化发展战略、宏观规划和重大政策。统筹推进网络安全和信息化法治、标准建设,根据职责权限负责相关法规、规章等的实施和监督检查,根据职责权限推动落实网络安全和信息化领域国家标准并监督实施;依法完善与信息化相关的统计调查制度。</w:t>
      </w:r>
    </w:p>
    <w:p>
      <w:pPr>
        <w:pStyle w:val="17"/>
      </w:pPr>
      <w:r>
        <w:t>(三)统筹协调全市网络安全保障体系和可信体系建设。牵头调有关部门制定相关行业网络安全规划及保障评价指标体系,协调信息安全保护工作;指导推进党政军部门、重点行业网络安全保障和信息化工作;统筹推进网络安全和信息化军民融合深度发展;负责全市网络安全信息共享和通报工作。</w:t>
      </w:r>
    </w:p>
    <w:p>
      <w:pPr>
        <w:pStyle w:val="17"/>
      </w:pPr>
      <w:r>
        <w:t>(四)督促落实涉及政治、经济、文化、社会、生态及军事等各个领域的网络安全和信息化重大事项;负责协调处理网络安全和信息化重大突发事件与有关应急工作。</w:t>
      </w:r>
    </w:p>
    <w:p>
      <w:pPr>
        <w:pStyle w:val="17"/>
      </w:pPr>
      <w:r>
        <w:t>(五)负责互联网信息内容管理。统筹协调组织互联网宣传管理和舆论引导工作,组织开展网上评论,推动网络评论队伍建设,维护互联网意识形态安全;贯彻执行互联网新闻信息传播相关政策,负责互联网信息内容监督管理执法,组织开展网络舆论生态治理,依法指导和管理落地网站及新媒体新应用,会同有关部门处置和封堵网上有害信息,依照相关法律和规定查处违法违规行为和网站。</w:t>
      </w:r>
    </w:p>
    <w:p>
      <w:pPr>
        <w:pStyle w:val="17"/>
      </w:pPr>
      <w:r>
        <w:t>(六)负责全市网络舆情信息工作。收集、分析、研判、报送和处置网络舆情信息,依法规范舆情服务市场。</w:t>
      </w:r>
    </w:p>
    <w:p>
      <w:pPr>
        <w:pStyle w:val="17"/>
      </w:pPr>
      <w:r>
        <w:t>(七)推动全市网络阵地建设和重点新闻网站规划建设。指导协调网络游戏、网络视听、网络出版等相关业务;推动移动互联网发展,会同有关部门推动传统媒体与新兴媒体融合发展;负责全市网站转载新闻稿源的管理。</w:t>
      </w:r>
    </w:p>
    <w:p>
      <w:pPr>
        <w:pStyle w:val="17"/>
      </w:pPr>
      <w:r>
        <w:t>(八)协调推动全市网络社会工作和网络文化、网络文明建设;发展、联系、服务网络社会组织,指导互联网行业自律,推进网站党建工作。</w:t>
      </w:r>
    </w:p>
    <w:p>
      <w:pPr>
        <w:pStyle w:val="17"/>
      </w:pPr>
      <w:r>
        <w:t>(九)落实国家互联网信息服务资本准入和信息网络行业安全审查的有关政策。依法负责网络新闻业务和论坛、博客、搜索引擎等具有新间舆论及社会动员功能业务的日常监管;指导协调有关部门推进新技术新应用安全评估,统筹协调全市移动互联网管理。</w:t>
      </w:r>
    </w:p>
    <w:p>
      <w:pPr>
        <w:pStyle w:val="17"/>
      </w:pPr>
      <w:r>
        <w:t>（十)指导网络金融信息服务业务,负责网络金融信息服务市场监管,协调金融监管部门建立全市网络金融信息发布、传播监管制度及工作机制。</w:t>
      </w:r>
    </w:p>
    <w:p>
      <w:pPr>
        <w:pStyle w:val="17"/>
      </w:pPr>
      <w:r>
        <w:t>(十一)拟订网络安全和信息化干部人才队伍发展规划,负责网信系统干部教育培训和人才队伍建设,负责全市互联网新闻信息服务从业人员教育培训和考评工作,组织开展网络媒介素养教育。</w:t>
      </w:r>
    </w:p>
    <w:p>
      <w:pPr>
        <w:pStyle w:val="17"/>
      </w:pPr>
      <w:r>
        <w:t>(十二)组织开展相关领域对外交流与合作。</w:t>
      </w:r>
    </w:p>
    <w:p>
      <w:pPr>
        <w:pStyle w:val="17"/>
      </w:pPr>
      <w:r>
        <w:t>(十三)指导有关部门网络安全和信息化工作。</w:t>
      </w:r>
    </w:p>
    <w:p>
      <w:pPr>
        <w:pStyle w:val="17"/>
      </w:pPr>
      <w:r>
        <w:t>(十四)完成石家庄市委网络安全和信息化委员会办公室(石家庄市互联网信息办公室)和市委、市政府及市委网络安全和信息化委员会、市委宣传部交办的其他事项。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中国共产党新乐市委员会网络安全和信息化委员会办公室本级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127.00万元，其中：一般公共预算收入127.00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新乐市委员会网络安全和信息化委员会办公室本级年度单位预算中支出预算的总体情况。2026年支出预算127.00万元，其中基本支出127.00万元，包括人员经费118.53万元和日常公用经费8.47万元；项目支出0.00万元，主要为人员工资保险及单位日常公共运转经费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2026年预算收支安排127.00万元，较2025年预算增加13.42万元，其中：基本支出增加13.42万元，主要为主要是人员经费增加。项目支出增加0.00万元，主要为无项目经费。。预计下年使用的单位资金结余增加0.00万元。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rPr>
          <w:rFonts w:hint="default" w:eastAsia="方正仿宋_GBK"/>
          <w:lang w:val="en-US" w:eastAsia="zh-CN"/>
        </w:rPr>
      </w:pPr>
      <w:r>
        <w:rPr>
          <w:rFonts w:hint="eastAsia"/>
          <w:lang w:val="en-US" w:eastAsia="zh-CN"/>
        </w:rPr>
        <w:t>2026年度，我单位机关运行费用共</w:t>
      </w:r>
      <w:bookmarkStart w:id="2" w:name="_GoBack"/>
      <w:bookmarkEnd w:id="2"/>
      <w:r>
        <w:rPr>
          <w:rFonts w:hint="eastAsia"/>
          <w:lang w:val="en-US" w:eastAsia="zh-CN"/>
        </w:rPr>
        <w:t>计8.47万元，主要用于日常办公耗材、维修等日常运行费用支出。</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 w:name="_Toc_3_3_0000000013"/>
      <w:r>
        <w:rPr>
          <w:rFonts w:ascii="黑体" w:hAnsi="黑体" w:eastAsia="黑体" w:cs="黑体"/>
          <w:color w:val="000000"/>
          <w:sz w:val="32"/>
        </w:rPr>
        <w:t>财政拨款“三公”经费预算情况及增减变化原因</w:t>
      </w:r>
      <w:bookmarkEnd w:id="1"/>
    </w:p>
    <w:p>
      <w:pPr>
        <w:pStyle w:val="23"/>
        <w:rPr>
          <w:rFonts w:hint="default" w:eastAsia="方正仿宋_GBK"/>
          <w:lang w:val="en-US" w:eastAsia="zh-CN"/>
        </w:rPr>
      </w:pPr>
      <w:r>
        <w:rPr>
          <w:rFonts w:hint="eastAsia"/>
          <w:lang w:val="en-US" w:eastAsia="zh-CN"/>
        </w:rPr>
        <w:t>2025年，我单位财政拨款“三公”经费预算安排0.00万元，其中因工出国（境）费0.00万元；公务用车购置及运维费0.00万元，（其中公务用车购置费为0.00万元，公务用车维修费0.00万元）；公务接待费用0.00万元。与2025年相比增加0.00万元，增减变化的主要原因是我单位无公共经费。</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224001中国共产党新乐市委员会网络安全和信息化委员会办公室本级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中国共产党新乐市委员会网络安全和信息化委员会办公室本级上年末固定资产金额为0.00万元（详见下表）。本年度拟购置固定资产总额为0.00万元，已按要求列入政府采购预算，详见政府采购预算表。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224001中国共产党新乐市委员会网络安全和信息化委员会办公室本级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06DDE1"/>
    <w:multiLevelType w:val="singleLevel"/>
    <w:tmpl w:val="AF06DDE1"/>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F7D34B4"/>
    <w:rsid w:val="6E3D001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22</Pages>
  <TotalTime>0</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2026-03-05T10:57:00Z</dcterms:created>
  <dc:creator>Administrator</dc:creator>
  <cp:lastModifiedBy>Administrator</cp:lastModifiedBy>
  <dcterms:modified xsi:type="dcterms:W3CDTF">2026-04-15T03:19:47Z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