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1584.15</w:t>
            </w:r>
          </w:p>
        </w:tc>
        <w:tc>
          <w:tcPr>
            <w:tcW w:w="4535" w:type="dxa"/>
            <w:vAlign w:val="center"/>
          </w:tcPr>
          <w:p>
            <w:pPr>
              <w:pStyle w:val="13"/>
            </w:pPr>
            <w:r>
              <w:t>一、一般公共服务支出</w:t>
            </w:r>
          </w:p>
        </w:tc>
        <w:tc>
          <w:tcPr>
            <w:tcW w:w="2126" w:type="dxa"/>
            <w:vAlign w:val="center"/>
          </w:tcPr>
          <w:p>
            <w:pPr>
              <w:pStyle w:val="12"/>
            </w:pPr>
            <w:r>
              <w:t>1285.89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1584.15</w:t>
            </w:r>
          </w:p>
        </w:tc>
        <w:tc>
          <w:tcPr>
            <w:tcW w:w="4535" w:type="dxa"/>
            <w:vAlign w:val="center"/>
          </w:tcPr>
          <w:p>
            <w:pPr>
              <w:pStyle w:val="15"/>
            </w:pPr>
            <w:r>
              <w:t>本年支出合计</w:t>
            </w:r>
          </w:p>
        </w:tc>
        <w:tc>
          <w:tcPr>
            <w:tcW w:w="2126" w:type="dxa"/>
            <w:vAlign w:val="center"/>
          </w:tcPr>
          <w:p>
            <w:pPr>
              <w:pStyle w:val="16"/>
            </w:pPr>
            <w:r>
              <w:t>1584.15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1584.15</w:t>
            </w:r>
          </w:p>
        </w:tc>
        <w:tc>
          <w:tcPr>
            <w:tcW w:w="4535" w:type="dxa"/>
            <w:vAlign w:val="center"/>
          </w:tcPr>
          <w:p>
            <w:pPr>
              <w:pStyle w:val="15"/>
            </w:pPr>
            <w:r>
              <w:t>支出总计</w:t>
            </w:r>
          </w:p>
        </w:tc>
        <w:tc>
          <w:tcPr>
            <w:tcW w:w="2126" w:type="dxa"/>
            <w:vAlign w:val="center"/>
          </w:tcPr>
          <w:p>
            <w:pPr>
              <w:pStyle w:val="16"/>
            </w:pPr>
            <w:r>
              <w:t>1584.15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1584.15</w:t>
            </w:r>
          </w:p>
        </w:tc>
        <w:tc>
          <w:tcPr>
            <w:tcW w:w="1134" w:type="dxa"/>
            <w:vAlign w:val="center"/>
          </w:tcPr>
          <w:p>
            <w:pPr>
              <w:pStyle w:val="16"/>
            </w:pPr>
            <w:r>
              <w:t>1584.15</w:t>
            </w:r>
          </w:p>
        </w:tc>
        <w:tc>
          <w:tcPr>
            <w:tcW w:w="1134" w:type="dxa"/>
            <w:vAlign w:val="center"/>
          </w:tcPr>
          <w:p>
            <w:pPr>
              <w:pStyle w:val="16"/>
            </w:pPr>
            <w:r>
              <w:t>1584.15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1285.89</w:t>
            </w:r>
          </w:p>
        </w:tc>
        <w:tc>
          <w:tcPr>
            <w:tcW w:w="1134" w:type="dxa"/>
            <w:vAlign w:val="center"/>
          </w:tcPr>
          <w:p>
            <w:pPr>
              <w:pStyle w:val="12"/>
            </w:pPr>
            <w:r>
              <w:t>1285.89</w:t>
            </w:r>
          </w:p>
        </w:tc>
        <w:tc>
          <w:tcPr>
            <w:tcW w:w="1134" w:type="dxa"/>
            <w:vAlign w:val="center"/>
          </w:tcPr>
          <w:p>
            <w:pPr>
              <w:pStyle w:val="12"/>
            </w:pPr>
            <w:r>
              <w:t>1285.89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1285.89</w:t>
            </w:r>
          </w:p>
        </w:tc>
        <w:tc>
          <w:tcPr>
            <w:tcW w:w="1134" w:type="dxa"/>
            <w:vAlign w:val="center"/>
          </w:tcPr>
          <w:p>
            <w:pPr>
              <w:pStyle w:val="12"/>
            </w:pPr>
            <w:r>
              <w:t>1285.89</w:t>
            </w:r>
          </w:p>
        </w:tc>
        <w:tc>
          <w:tcPr>
            <w:tcW w:w="1134" w:type="dxa"/>
            <w:vAlign w:val="center"/>
          </w:tcPr>
          <w:p>
            <w:pPr>
              <w:pStyle w:val="12"/>
            </w:pPr>
            <w:r>
              <w:t>1285.89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2011101</w:t>
            </w:r>
          </w:p>
        </w:tc>
        <w:tc>
          <w:tcPr>
            <w:tcW w:w="1559" w:type="dxa"/>
            <w:vAlign w:val="center"/>
          </w:tcPr>
          <w:p>
            <w:pPr>
              <w:pStyle w:val="13"/>
            </w:pPr>
            <w:r>
              <w:t>行政运行</w:t>
            </w:r>
          </w:p>
        </w:tc>
        <w:tc>
          <w:tcPr>
            <w:tcW w:w="1134" w:type="dxa"/>
            <w:vAlign w:val="center"/>
          </w:tcPr>
          <w:p>
            <w:pPr>
              <w:pStyle w:val="12"/>
            </w:pPr>
            <w:r>
              <w:t>995.69</w:t>
            </w:r>
          </w:p>
        </w:tc>
        <w:tc>
          <w:tcPr>
            <w:tcW w:w="1134" w:type="dxa"/>
            <w:vAlign w:val="center"/>
          </w:tcPr>
          <w:p>
            <w:pPr>
              <w:pStyle w:val="12"/>
            </w:pPr>
            <w:r>
              <w:t>995.69</w:t>
            </w:r>
          </w:p>
        </w:tc>
        <w:tc>
          <w:tcPr>
            <w:tcW w:w="1134" w:type="dxa"/>
            <w:vAlign w:val="center"/>
          </w:tcPr>
          <w:p>
            <w:pPr>
              <w:pStyle w:val="12"/>
            </w:pPr>
            <w:r>
              <w:t>995.69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2011102</w:t>
            </w:r>
          </w:p>
        </w:tc>
        <w:tc>
          <w:tcPr>
            <w:tcW w:w="1559" w:type="dxa"/>
            <w:vAlign w:val="center"/>
          </w:tcPr>
          <w:p>
            <w:pPr>
              <w:pStyle w:val="13"/>
            </w:pPr>
            <w:r>
              <w:t>一般行政管理事务</w:t>
            </w:r>
          </w:p>
        </w:tc>
        <w:tc>
          <w:tcPr>
            <w:tcW w:w="1134" w:type="dxa"/>
            <w:vAlign w:val="center"/>
          </w:tcPr>
          <w:p>
            <w:pPr>
              <w:pStyle w:val="12"/>
            </w:pPr>
            <w:r>
              <w:t>170.00</w:t>
            </w:r>
          </w:p>
        </w:tc>
        <w:tc>
          <w:tcPr>
            <w:tcW w:w="1134" w:type="dxa"/>
            <w:vAlign w:val="center"/>
          </w:tcPr>
          <w:p>
            <w:pPr>
              <w:pStyle w:val="12"/>
            </w:pPr>
            <w:r>
              <w:t>170.00</w:t>
            </w:r>
          </w:p>
        </w:tc>
        <w:tc>
          <w:tcPr>
            <w:tcW w:w="1134" w:type="dxa"/>
            <w:vAlign w:val="center"/>
          </w:tcPr>
          <w:p>
            <w:pPr>
              <w:pStyle w:val="12"/>
            </w:pPr>
            <w:r>
              <w:t>170.00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2011199</w:t>
            </w:r>
          </w:p>
        </w:tc>
        <w:tc>
          <w:tcPr>
            <w:tcW w:w="1559" w:type="dxa"/>
            <w:vAlign w:val="center"/>
          </w:tcPr>
          <w:p>
            <w:pPr>
              <w:pStyle w:val="13"/>
            </w:pPr>
            <w:r>
              <w:t>其他纪检监察事务支出</w:t>
            </w:r>
          </w:p>
        </w:tc>
        <w:tc>
          <w:tcPr>
            <w:tcW w:w="1134" w:type="dxa"/>
            <w:vAlign w:val="center"/>
          </w:tcPr>
          <w:p>
            <w:pPr>
              <w:pStyle w:val="12"/>
            </w:pPr>
            <w:r>
              <w:t>120.20</w:t>
            </w:r>
          </w:p>
        </w:tc>
        <w:tc>
          <w:tcPr>
            <w:tcW w:w="1134" w:type="dxa"/>
            <w:vAlign w:val="center"/>
          </w:tcPr>
          <w:p>
            <w:pPr>
              <w:pStyle w:val="12"/>
            </w:pPr>
            <w:r>
              <w:t>120.20</w:t>
            </w:r>
          </w:p>
        </w:tc>
        <w:tc>
          <w:tcPr>
            <w:tcW w:w="1134" w:type="dxa"/>
            <w:vAlign w:val="center"/>
          </w:tcPr>
          <w:p>
            <w:pPr>
              <w:pStyle w:val="12"/>
            </w:pPr>
            <w:r>
              <w:t>120.20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2050803</w:t>
            </w:r>
          </w:p>
        </w:tc>
        <w:tc>
          <w:tcPr>
            <w:tcW w:w="1559" w:type="dxa"/>
            <w:vAlign w:val="center"/>
          </w:tcPr>
          <w:p>
            <w:pPr>
              <w:pStyle w:val="13"/>
            </w:pPr>
            <w:r>
              <w:t>培训支出</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175.29</w:t>
            </w:r>
          </w:p>
        </w:tc>
        <w:tc>
          <w:tcPr>
            <w:tcW w:w="1134" w:type="dxa"/>
            <w:vAlign w:val="center"/>
          </w:tcPr>
          <w:p>
            <w:pPr>
              <w:pStyle w:val="12"/>
            </w:pPr>
            <w:r>
              <w:t>175.29</w:t>
            </w:r>
          </w:p>
        </w:tc>
        <w:tc>
          <w:tcPr>
            <w:tcW w:w="1134" w:type="dxa"/>
            <w:vAlign w:val="center"/>
          </w:tcPr>
          <w:p>
            <w:pPr>
              <w:pStyle w:val="12"/>
            </w:pPr>
            <w:r>
              <w:t>175.29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171.49</w:t>
            </w:r>
          </w:p>
        </w:tc>
        <w:tc>
          <w:tcPr>
            <w:tcW w:w="1134" w:type="dxa"/>
            <w:vAlign w:val="center"/>
          </w:tcPr>
          <w:p>
            <w:pPr>
              <w:pStyle w:val="12"/>
            </w:pPr>
            <w:r>
              <w:t>171.49</w:t>
            </w:r>
          </w:p>
        </w:tc>
        <w:tc>
          <w:tcPr>
            <w:tcW w:w="1134" w:type="dxa"/>
            <w:vAlign w:val="center"/>
          </w:tcPr>
          <w:p>
            <w:pPr>
              <w:pStyle w:val="12"/>
            </w:pPr>
            <w:r>
              <w:t>171.49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52.49</w:t>
            </w:r>
          </w:p>
        </w:tc>
        <w:tc>
          <w:tcPr>
            <w:tcW w:w="1134" w:type="dxa"/>
            <w:vAlign w:val="center"/>
          </w:tcPr>
          <w:p>
            <w:pPr>
              <w:pStyle w:val="12"/>
            </w:pPr>
            <w:r>
              <w:t>52.49</w:t>
            </w:r>
          </w:p>
        </w:tc>
        <w:tc>
          <w:tcPr>
            <w:tcW w:w="1134" w:type="dxa"/>
            <w:vAlign w:val="center"/>
          </w:tcPr>
          <w:p>
            <w:pPr>
              <w:pStyle w:val="12"/>
            </w:pPr>
            <w:r>
              <w:t>52.49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84.00</w:t>
            </w:r>
          </w:p>
        </w:tc>
        <w:tc>
          <w:tcPr>
            <w:tcW w:w="1134" w:type="dxa"/>
            <w:vAlign w:val="center"/>
          </w:tcPr>
          <w:p>
            <w:pPr>
              <w:pStyle w:val="12"/>
            </w:pPr>
            <w:r>
              <w:t>84.00</w:t>
            </w:r>
          </w:p>
        </w:tc>
        <w:tc>
          <w:tcPr>
            <w:tcW w:w="1134" w:type="dxa"/>
            <w:vAlign w:val="center"/>
          </w:tcPr>
          <w:p>
            <w:pPr>
              <w:pStyle w:val="12"/>
            </w:pPr>
            <w:r>
              <w:t>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82.00</w:t>
            </w:r>
          </w:p>
        </w:tc>
        <w:tc>
          <w:tcPr>
            <w:tcW w:w="1134" w:type="dxa"/>
            <w:vAlign w:val="center"/>
          </w:tcPr>
          <w:p>
            <w:pPr>
              <w:pStyle w:val="12"/>
            </w:pPr>
            <w:r>
              <w:t>82.00</w:t>
            </w:r>
          </w:p>
        </w:tc>
        <w:tc>
          <w:tcPr>
            <w:tcW w:w="1134" w:type="dxa"/>
            <w:vAlign w:val="center"/>
          </w:tcPr>
          <w:p>
            <w:pPr>
              <w:pStyle w:val="12"/>
            </w:pPr>
            <w:r>
              <w:t>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82.00</w:t>
            </w:r>
          </w:p>
        </w:tc>
        <w:tc>
          <w:tcPr>
            <w:tcW w:w="1134" w:type="dxa"/>
            <w:vAlign w:val="center"/>
          </w:tcPr>
          <w:p>
            <w:pPr>
              <w:pStyle w:val="12"/>
            </w:pPr>
            <w:r>
              <w:t>82.00</w:t>
            </w:r>
          </w:p>
        </w:tc>
        <w:tc>
          <w:tcPr>
            <w:tcW w:w="1134" w:type="dxa"/>
            <w:vAlign w:val="center"/>
          </w:tcPr>
          <w:p>
            <w:pPr>
              <w:pStyle w:val="12"/>
            </w:pPr>
            <w:r>
              <w:t>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82.00</w:t>
            </w:r>
          </w:p>
        </w:tc>
        <w:tc>
          <w:tcPr>
            <w:tcW w:w="1134" w:type="dxa"/>
            <w:vAlign w:val="center"/>
          </w:tcPr>
          <w:p>
            <w:pPr>
              <w:pStyle w:val="12"/>
            </w:pPr>
            <w:r>
              <w:t>82.00</w:t>
            </w:r>
          </w:p>
        </w:tc>
        <w:tc>
          <w:tcPr>
            <w:tcW w:w="1134" w:type="dxa"/>
            <w:vAlign w:val="center"/>
          </w:tcPr>
          <w:p>
            <w:pPr>
              <w:pStyle w:val="12"/>
            </w:pPr>
            <w:r>
              <w:t>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1584.15</w:t>
            </w:r>
          </w:p>
        </w:tc>
        <w:tc>
          <w:tcPr>
            <w:tcW w:w="1361" w:type="dxa"/>
            <w:vAlign w:val="center"/>
          </w:tcPr>
          <w:p>
            <w:pPr>
              <w:pStyle w:val="16"/>
            </w:pPr>
            <w:r>
              <w:t>1113.95</w:t>
            </w:r>
          </w:p>
        </w:tc>
        <w:tc>
          <w:tcPr>
            <w:tcW w:w="1361" w:type="dxa"/>
            <w:vAlign w:val="center"/>
          </w:tcPr>
          <w:p>
            <w:pPr>
              <w:pStyle w:val="16"/>
            </w:pPr>
            <w:r>
              <w:t>470.20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1285.89</w:t>
            </w:r>
          </w:p>
        </w:tc>
        <w:tc>
          <w:tcPr>
            <w:tcW w:w="1361" w:type="dxa"/>
            <w:vAlign w:val="center"/>
          </w:tcPr>
          <w:p>
            <w:pPr>
              <w:pStyle w:val="12"/>
            </w:pPr>
            <w:r>
              <w:t>815.69</w:t>
            </w:r>
          </w:p>
        </w:tc>
        <w:tc>
          <w:tcPr>
            <w:tcW w:w="1361" w:type="dxa"/>
            <w:vAlign w:val="center"/>
          </w:tcPr>
          <w:p>
            <w:pPr>
              <w:pStyle w:val="12"/>
            </w:pPr>
            <w:r>
              <w:t>470.20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1285.89</w:t>
            </w:r>
          </w:p>
        </w:tc>
        <w:tc>
          <w:tcPr>
            <w:tcW w:w="1361" w:type="dxa"/>
            <w:vAlign w:val="center"/>
          </w:tcPr>
          <w:p>
            <w:pPr>
              <w:pStyle w:val="12"/>
            </w:pPr>
            <w:r>
              <w:t>815.69</w:t>
            </w:r>
          </w:p>
        </w:tc>
        <w:tc>
          <w:tcPr>
            <w:tcW w:w="1361" w:type="dxa"/>
            <w:vAlign w:val="center"/>
          </w:tcPr>
          <w:p>
            <w:pPr>
              <w:pStyle w:val="12"/>
            </w:pPr>
            <w:r>
              <w:t>470.20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2011101</w:t>
            </w:r>
          </w:p>
        </w:tc>
        <w:tc>
          <w:tcPr>
            <w:tcW w:w="4535" w:type="dxa"/>
            <w:vAlign w:val="center"/>
          </w:tcPr>
          <w:p>
            <w:pPr>
              <w:pStyle w:val="13"/>
            </w:pPr>
            <w:r>
              <w:t>行政运行</w:t>
            </w:r>
          </w:p>
        </w:tc>
        <w:tc>
          <w:tcPr>
            <w:tcW w:w="1361" w:type="dxa"/>
            <w:vAlign w:val="center"/>
          </w:tcPr>
          <w:p>
            <w:pPr>
              <w:pStyle w:val="12"/>
            </w:pPr>
            <w:r>
              <w:t>995.69</w:t>
            </w:r>
          </w:p>
        </w:tc>
        <w:tc>
          <w:tcPr>
            <w:tcW w:w="1361" w:type="dxa"/>
            <w:vAlign w:val="center"/>
          </w:tcPr>
          <w:p>
            <w:pPr>
              <w:pStyle w:val="12"/>
            </w:pPr>
            <w:r>
              <w:t>815.69</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2011102</w:t>
            </w:r>
          </w:p>
        </w:tc>
        <w:tc>
          <w:tcPr>
            <w:tcW w:w="4535" w:type="dxa"/>
            <w:vAlign w:val="center"/>
          </w:tcPr>
          <w:p>
            <w:pPr>
              <w:pStyle w:val="13"/>
            </w:pPr>
            <w:r>
              <w:t>一般行政管理事务</w:t>
            </w:r>
          </w:p>
        </w:tc>
        <w:tc>
          <w:tcPr>
            <w:tcW w:w="1361" w:type="dxa"/>
            <w:vAlign w:val="center"/>
          </w:tcPr>
          <w:p>
            <w:pPr>
              <w:pStyle w:val="12"/>
            </w:pPr>
            <w:r>
              <w:t>170.00</w:t>
            </w:r>
          </w:p>
        </w:tc>
        <w:tc>
          <w:tcPr>
            <w:tcW w:w="1361" w:type="dxa"/>
            <w:vAlign w:val="center"/>
          </w:tcPr>
          <w:p>
            <w:pPr>
              <w:pStyle w:val="12"/>
            </w:pPr>
          </w:p>
        </w:tc>
        <w:tc>
          <w:tcPr>
            <w:tcW w:w="1361" w:type="dxa"/>
            <w:vAlign w:val="center"/>
          </w:tcPr>
          <w:p>
            <w:pPr>
              <w:pStyle w:val="12"/>
            </w:pPr>
            <w:r>
              <w:t>170.00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2011199</w:t>
            </w:r>
          </w:p>
        </w:tc>
        <w:tc>
          <w:tcPr>
            <w:tcW w:w="4535" w:type="dxa"/>
            <w:vAlign w:val="center"/>
          </w:tcPr>
          <w:p>
            <w:pPr>
              <w:pStyle w:val="13"/>
            </w:pPr>
            <w:r>
              <w:t>其他纪检监察事务支出</w:t>
            </w:r>
          </w:p>
        </w:tc>
        <w:tc>
          <w:tcPr>
            <w:tcW w:w="1361" w:type="dxa"/>
            <w:vAlign w:val="center"/>
          </w:tcPr>
          <w:p>
            <w:pPr>
              <w:pStyle w:val="12"/>
            </w:pPr>
            <w:r>
              <w:t>120.20</w:t>
            </w:r>
          </w:p>
        </w:tc>
        <w:tc>
          <w:tcPr>
            <w:tcW w:w="1361" w:type="dxa"/>
            <w:vAlign w:val="center"/>
          </w:tcPr>
          <w:p>
            <w:pPr>
              <w:pStyle w:val="12"/>
            </w:pPr>
          </w:p>
        </w:tc>
        <w:tc>
          <w:tcPr>
            <w:tcW w:w="1361" w:type="dxa"/>
            <w:vAlign w:val="center"/>
          </w:tcPr>
          <w:p>
            <w:pPr>
              <w:pStyle w:val="12"/>
            </w:pPr>
            <w:r>
              <w:t>120.20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0.97</w:t>
            </w:r>
          </w:p>
        </w:tc>
        <w:tc>
          <w:tcPr>
            <w:tcW w:w="1361" w:type="dxa"/>
            <w:vAlign w:val="center"/>
          </w:tcPr>
          <w:p>
            <w:pPr>
              <w:pStyle w:val="12"/>
            </w:pPr>
            <w:r>
              <w:t>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0.97</w:t>
            </w:r>
          </w:p>
        </w:tc>
        <w:tc>
          <w:tcPr>
            <w:tcW w:w="1361" w:type="dxa"/>
            <w:vAlign w:val="center"/>
          </w:tcPr>
          <w:p>
            <w:pPr>
              <w:pStyle w:val="12"/>
            </w:pPr>
            <w:r>
              <w:t>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2050803</w:t>
            </w:r>
          </w:p>
        </w:tc>
        <w:tc>
          <w:tcPr>
            <w:tcW w:w="4535" w:type="dxa"/>
            <w:vAlign w:val="center"/>
          </w:tcPr>
          <w:p>
            <w:pPr>
              <w:pStyle w:val="13"/>
            </w:pPr>
            <w:r>
              <w:t>培训支出</w:t>
            </w:r>
          </w:p>
        </w:tc>
        <w:tc>
          <w:tcPr>
            <w:tcW w:w="1361" w:type="dxa"/>
            <w:vAlign w:val="center"/>
          </w:tcPr>
          <w:p>
            <w:pPr>
              <w:pStyle w:val="12"/>
            </w:pPr>
            <w:r>
              <w:t>0.97</w:t>
            </w:r>
          </w:p>
        </w:tc>
        <w:tc>
          <w:tcPr>
            <w:tcW w:w="1361" w:type="dxa"/>
            <w:vAlign w:val="center"/>
          </w:tcPr>
          <w:p>
            <w:pPr>
              <w:pStyle w:val="12"/>
            </w:pPr>
            <w:r>
              <w:t>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175.29</w:t>
            </w:r>
          </w:p>
        </w:tc>
        <w:tc>
          <w:tcPr>
            <w:tcW w:w="1361" w:type="dxa"/>
            <w:vAlign w:val="center"/>
          </w:tcPr>
          <w:p>
            <w:pPr>
              <w:pStyle w:val="12"/>
            </w:pPr>
            <w:r>
              <w:t>175.29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171.49</w:t>
            </w:r>
          </w:p>
        </w:tc>
        <w:tc>
          <w:tcPr>
            <w:tcW w:w="1361" w:type="dxa"/>
            <w:vAlign w:val="center"/>
          </w:tcPr>
          <w:p>
            <w:pPr>
              <w:pStyle w:val="12"/>
            </w:pPr>
            <w:r>
              <w:t>171.49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52.49</w:t>
            </w:r>
          </w:p>
        </w:tc>
        <w:tc>
          <w:tcPr>
            <w:tcW w:w="1361" w:type="dxa"/>
            <w:vAlign w:val="center"/>
          </w:tcPr>
          <w:p>
            <w:pPr>
              <w:pStyle w:val="12"/>
            </w:pPr>
            <w:r>
              <w:t>52.49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84.00</w:t>
            </w:r>
          </w:p>
        </w:tc>
        <w:tc>
          <w:tcPr>
            <w:tcW w:w="1361" w:type="dxa"/>
            <w:vAlign w:val="center"/>
          </w:tcPr>
          <w:p>
            <w:pPr>
              <w:pStyle w:val="12"/>
            </w:pPr>
            <w:r>
              <w:t>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35.00</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3.80</w:t>
            </w:r>
          </w:p>
        </w:tc>
        <w:tc>
          <w:tcPr>
            <w:tcW w:w="1361" w:type="dxa"/>
            <w:vAlign w:val="center"/>
          </w:tcPr>
          <w:p>
            <w:pPr>
              <w:pStyle w:val="12"/>
            </w:pPr>
            <w:r>
              <w:t>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3.80</w:t>
            </w:r>
          </w:p>
        </w:tc>
        <w:tc>
          <w:tcPr>
            <w:tcW w:w="1361" w:type="dxa"/>
            <w:vAlign w:val="center"/>
          </w:tcPr>
          <w:p>
            <w:pPr>
              <w:pStyle w:val="12"/>
            </w:pPr>
            <w:r>
              <w:t>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82.00</w:t>
            </w:r>
          </w:p>
        </w:tc>
        <w:tc>
          <w:tcPr>
            <w:tcW w:w="1361" w:type="dxa"/>
            <w:vAlign w:val="center"/>
          </w:tcPr>
          <w:p>
            <w:pPr>
              <w:pStyle w:val="12"/>
            </w:pPr>
            <w:r>
              <w:t>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82.00</w:t>
            </w:r>
          </w:p>
        </w:tc>
        <w:tc>
          <w:tcPr>
            <w:tcW w:w="1361" w:type="dxa"/>
            <w:vAlign w:val="center"/>
          </w:tcPr>
          <w:p>
            <w:pPr>
              <w:pStyle w:val="12"/>
            </w:pPr>
            <w:r>
              <w:t>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82.00</w:t>
            </w:r>
          </w:p>
        </w:tc>
        <w:tc>
          <w:tcPr>
            <w:tcW w:w="1361" w:type="dxa"/>
            <w:vAlign w:val="center"/>
          </w:tcPr>
          <w:p>
            <w:pPr>
              <w:pStyle w:val="12"/>
            </w:pPr>
            <w:r>
              <w:t>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1584.15</w:t>
            </w:r>
          </w:p>
        </w:tc>
        <w:tc>
          <w:tcPr>
            <w:tcW w:w="3402" w:type="dxa"/>
            <w:vAlign w:val="center"/>
          </w:tcPr>
          <w:p>
            <w:pPr>
              <w:pStyle w:val="13"/>
            </w:pPr>
            <w:r>
              <w:t>一、一般公共服务支出</w:t>
            </w:r>
          </w:p>
        </w:tc>
        <w:tc>
          <w:tcPr>
            <w:tcW w:w="1474" w:type="dxa"/>
            <w:vAlign w:val="center"/>
          </w:tcPr>
          <w:p>
            <w:pPr>
              <w:pStyle w:val="12"/>
            </w:pPr>
            <w:r>
              <w:t>1285.89</w:t>
            </w:r>
          </w:p>
        </w:tc>
        <w:tc>
          <w:tcPr>
            <w:tcW w:w="1474" w:type="dxa"/>
            <w:vAlign w:val="center"/>
          </w:tcPr>
          <w:p>
            <w:pPr>
              <w:pStyle w:val="12"/>
            </w:pPr>
            <w:r>
              <w:t>1285.89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0.97</w:t>
            </w:r>
          </w:p>
        </w:tc>
        <w:tc>
          <w:tcPr>
            <w:tcW w:w="1474" w:type="dxa"/>
            <w:vAlign w:val="center"/>
          </w:tcPr>
          <w:p>
            <w:pPr>
              <w:pStyle w:val="12"/>
            </w:pPr>
            <w:r>
              <w:t>0.97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175.29</w:t>
            </w:r>
          </w:p>
        </w:tc>
        <w:tc>
          <w:tcPr>
            <w:tcW w:w="1474" w:type="dxa"/>
            <w:vAlign w:val="center"/>
          </w:tcPr>
          <w:p>
            <w:pPr>
              <w:pStyle w:val="12"/>
            </w:pPr>
            <w:r>
              <w:t>175.29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40.00</w:t>
            </w:r>
          </w:p>
        </w:tc>
        <w:tc>
          <w:tcPr>
            <w:tcW w:w="1474" w:type="dxa"/>
            <w:vAlign w:val="center"/>
          </w:tcPr>
          <w:p>
            <w:pPr>
              <w:pStyle w:val="12"/>
            </w:pPr>
            <w:r>
              <w:t>40.00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82.00</w:t>
            </w:r>
          </w:p>
        </w:tc>
        <w:tc>
          <w:tcPr>
            <w:tcW w:w="1474" w:type="dxa"/>
            <w:vAlign w:val="center"/>
          </w:tcPr>
          <w:p>
            <w:pPr>
              <w:pStyle w:val="12"/>
            </w:pPr>
            <w:r>
              <w:t>82.00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1584.15</w:t>
            </w:r>
          </w:p>
        </w:tc>
        <w:tc>
          <w:tcPr>
            <w:tcW w:w="3402" w:type="dxa"/>
            <w:vAlign w:val="center"/>
          </w:tcPr>
          <w:p>
            <w:pPr>
              <w:pStyle w:val="15"/>
            </w:pPr>
            <w:r>
              <w:t>本年支出合计</w:t>
            </w:r>
          </w:p>
        </w:tc>
        <w:tc>
          <w:tcPr>
            <w:tcW w:w="1474" w:type="dxa"/>
            <w:vAlign w:val="center"/>
          </w:tcPr>
          <w:p>
            <w:pPr>
              <w:pStyle w:val="16"/>
            </w:pPr>
            <w:r>
              <w:t>1584.15</w:t>
            </w:r>
          </w:p>
        </w:tc>
        <w:tc>
          <w:tcPr>
            <w:tcW w:w="1474" w:type="dxa"/>
            <w:vAlign w:val="center"/>
          </w:tcPr>
          <w:p>
            <w:pPr>
              <w:pStyle w:val="16"/>
            </w:pPr>
            <w:r>
              <w:t>1584.15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1584.15</w:t>
            </w:r>
          </w:p>
        </w:tc>
        <w:tc>
          <w:tcPr>
            <w:tcW w:w="3402" w:type="dxa"/>
            <w:vAlign w:val="center"/>
          </w:tcPr>
          <w:p>
            <w:pPr>
              <w:pStyle w:val="15"/>
            </w:pPr>
            <w:r>
              <w:t>支出总计</w:t>
            </w:r>
          </w:p>
        </w:tc>
        <w:tc>
          <w:tcPr>
            <w:tcW w:w="1474" w:type="dxa"/>
            <w:vAlign w:val="center"/>
          </w:tcPr>
          <w:p>
            <w:pPr>
              <w:pStyle w:val="16"/>
            </w:pPr>
            <w:r>
              <w:t>1584.15</w:t>
            </w:r>
          </w:p>
        </w:tc>
        <w:tc>
          <w:tcPr>
            <w:tcW w:w="1474" w:type="dxa"/>
            <w:vAlign w:val="center"/>
          </w:tcPr>
          <w:p>
            <w:pPr>
              <w:pStyle w:val="16"/>
            </w:pPr>
            <w:r>
              <w:t>1584.15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1584.15</w:t>
            </w:r>
          </w:p>
        </w:tc>
        <w:tc>
          <w:tcPr>
            <w:tcW w:w="2551" w:type="dxa"/>
            <w:vAlign w:val="center"/>
          </w:tcPr>
          <w:p>
            <w:pPr>
              <w:pStyle w:val="16"/>
            </w:pPr>
            <w:r>
              <w:t>1113.95</w:t>
            </w:r>
          </w:p>
        </w:tc>
        <w:tc>
          <w:tcPr>
            <w:tcW w:w="2551" w:type="dxa"/>
            <w:vAlign w:val="center"/>
          </w:tcPr>
          <w:p>
            <w:pPr>
              <w:pStyle w:val="16"/>
            </w:pPr>
            <w:r>
              <w:t>470.20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1285.89</w:t>
            </w:r>
          </w:p>
        </w:tc>
        <w:tc>
          <w:tcPr>
            <w:tcW w:w="2551" w:type="dxa"/>
            <w:vAlign w:val="center"/>
          </w:tcPr>
          <w:p>
            <w:pPr>
              <w:pStyle w:val="12"/>
            </w:pPr>
            <w:r>
              <w:t>815.69</w:t>
            </w:r>
          </w:p>
        </w:tc>
        <w:tc>
          <w:tcPr>
            <w:tcW w:w="2551" w:type="dxa"/>
            <w:vAlign w:val="center"/>
          </w:tcPr>
          <w:p>
            <w:pPr>
              <w:pStyle w:val="12"/>
            </w:pPr>
            <w:r>
              <w:t>470.20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1285.89</w:t>
            </w:r>
          </w:p>
        </w:tc>
        <w:tc>
          <w:tcPr>
            <w:tcW w:w="2551" w:type="dxa"/>
            <w:vAlign w:val="center"/>
          </w:tcPr>
          <w:p>
            <w:pPr>
              <w:pStyle w:val="12"/>
            </w:pPr>
            <w:r>
              <w:t>815.69</w:t>
            </w:r>
          </w:p>
        </w:tc>
        <w:tc>
          <w:tcPr>
            <w:tcW w:w="2551" w:type="dxa"/>
            <w:vAlign w:val="center"/>
          </w:tcPr>
          <w:p>
            <w:pPr>
              <w:pStyle w:val="12"/>
            </w:pPr>
            <w:r>
              <w:t>470.20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2011101</w:t>
            </w:r>
          </w:p>
        </w:tc>
        <w:tc>
          <w:tcPr>
            <w:tcW w:w="4535" w:type="dxa"/>
            <w:vAlign w:val="center"/>
          </w:tcPr>
          <w:p>
            <w:pPr>
              <w:pStyle w:val="13"/>
            </w:pPr>
            <w:r>
              <w:t>行政运行</w:t>
            </w:r>
          </w:p>
        </w:tc>
        <w:tc>
          <w:tcPr>
            <w:tcW w:w="2551" w:type="dxa"/>
            <w:vAlign w:val="center"/>
          </w:tcPr>
          <w:p>
            <w:pPr>
              <w:pStyle w:val="12"/>
            </w:pPr>
            <w:r>
              <w:t>995.69</w:t>
            </w:r>
          </w:p>
        </w:tc>
        <w:tc>
          <w:tcPr>
            <w:tcW w:w="2551" w:type="dxa"/>
            <w:vAlign w:val="center"/>
          </w:tcPr>
          <w:p>
            <w:pPr>
              <w:pStyle w:val="12"/>
            </w:pPr>
            <w:r>
              <w:t>815.69</w:t>
            </w: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2011102</w:t>
            </w:r>
          </w:p>
        </w:tc>
        <w:tc>
          <w:tcPr>
            <w:tcW w:w="4535" w:type="dxa"/>
            <w:vAlign w:val="center"/>
          </w:tcPr>
          <w:p>
            <w:pPr>
              <w:pStyle w:val="13"/>
            </w:pPr>
            <w:r>
              <w:t>一般行政管理事务</w:t>
            </w:r>
          </w:p>
        </w:tc>
        <w:tc>
          <w:tcPr>
            <w:tcW w:w="2551" w:type="dxa"/>
            <w:vAlign w:val="center"/>
          </w:tcPr>
          <w:p>
            <w:pPr>
              <w:pStyle w:val="12"/>
            </w:pPr>
            <w:r>
              <w:t>170.00</w:t>
            </w:r>
          </w:p>
        </w:tc>
        <w:tc>
          <w:tcPr>
            <w:tcW w:w="2551" w:type="dxa"/>
            <w:vAlign w:val="center"/>
          </w:tcPr>
          <w:p>
            <w:pPr>
              <w:pStyle w:val="12"/>
            </w:pPr>
          </w:p>
        </w:tc>
        <w:tc>
          <w:tcPr>
            <w:tcW w:w="2551" w:type="dxa"/>
            <w:vAlign w:val="center"/>
          </w:tcPr>
          <w:p>
            <w:pPr>
              <w:pStyle w:val="12"/>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2011199</w:t>
            </w:r>
          </w:p>
        </w:tc>
        <w:tc>
          <w:tcPr>
            <w:tcW w:w="4535" w:type="dxa"/>
            <w:vAlign w:val="center"/>
          </w:tcPr>
          <w:p>
            <w:pPr>
              <w:pStyle w:val="13"/>
            </w:pPr>
            <w:r>
              <w:t>其他纪检监察事务支出</w:t>
            </w:r>
          </w:p>
        </w:tc>
        <w:tc>
          <w:tcPr>
            <w:tcW w:w="2551" w:type="dxa"/>
            <w:vAlign w:val="center"/>
          </w:tcPr>
          <w:p>
            <w:pPr>
              <w:pStyle w:val="12"/>
            </w:pPr>
            <w:r>
              <w:t>120.20</w:t>
            </w:r>
          </w:p>
        </w:tc>
        <w:tc>
          <w:tcPr>
            <w:tcW w:w="2551" w:type="dxa"/>
            <w:vAlign w:val="center"/>
          </w:tcPr>
          <w:p>
            <w:pPr>
              <w:pStyle w:val="12"/>
            </w:pPr>
          </w:p>
        </w:tc>
        <w:tc>
          <w:tcPr>
            <w:tcW w:w="2551" w:type="dxa"/>
            <w:vAlign w:val="center"/>
          </w:tcPr>
          <w:p>
            <w:pPr>
              <w:pStyle w:val="12"/>
            </w:pPr>
            <w:r>
              <w:t>120.20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0.97</w:t>
            </w:r>
          </w:p>
        </w:tc>
        <w:tc>
          <w:tcPr>
            <w:tcW w:w="2551" w:type="dxa"/>
            <w:vAlign w:val="center"/>
          </w:tcPr>
          <w:p>
            <w:pPr>
              <w:pStyle w:val="12"/>
            </w:pPr>
            <w:r>
              <w:t>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0.97</w:t>
            </w:r>
          </w:p>
        </w:tc>
        <w:tc>
          <w:tcPr>
            <w:tcW w:w="2551" w:type="dxa"/>
            <w:vAlign w:val="center"/>
          </w:tcPr>
          <w:p>
            <w:pPr>
              <w:pStyle w:val="12"/>
            </w:pPr>
            <w:r>
              <w:t>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2050803</w:t>
            </w:r>
          </w:p>
        </w:tc>
        <w:tc>
          <w:tcPr>
            <w:tcW w:w="4535" w:type="dxa"/>
            <w:vAlign w:val="center"/>
          </w:tcPr>
          <w:p>
            <w:pPr>
              <w:pStyle w:val="13"/>
            </w:pPr>
            <w:r>
              <w:t>培训支出</w:t>
            </w:r>
          </w:p>
        </w:tc>
        <w:tc>
          <w:tcPr>
            <w:tcW w:w="2551" w:type="dxa"/>
            <w:vAlign w:val="center"/>
          </w:tcPr>
          <w:p>
            <w:pPr>
              <w:pStyle w:val="12"/>
            </w:pPr>
            <w:r>
              <w:t>0.97</w:t>
            </w:r>
          </w:p>
        </w:tc>
        <w:tc>
          <w:tcPr>
            <w:tcW w:w="2551" w:type="dxa"/>
            <w:vAlign w:val="center"/>
          </w:tcPr>
          <w:p>
            <w:pPr>
              <w:pStyle w:val="12"/>
            </w:pPr>
            <w:r>
              <w:t>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175.29</w:t>
            </w:r>
          </w:p>
        </w:tc>
        <w:tc>
          <w:tcPr>
            <w:tcW w:w="2551" w:type="dxa"/>
            <w:vAlign w:val="center"/>
          </w:tcPr>
          <w:p>
            <w:pPr>
              <w:pStyle w:val="12"/>
            </w:pPr>
            <w:r>
              <w:t>175.29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171.49</w:t>
            </w:r>
          </w:p>
        </w:tc>
        <w:tc>
          <w:tcPr>
            <w:tcW w:w="2551" w:type="dxa"/>
            <w:vAlign w:val="center"/>
          </w:tcPr>
          <w:p>
            <w:pPr>
              <w:pStyle w:val="12"/>
            </w:pPr>
            <w:r>
              <w:t>171.49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52.49</w:t>
            </w:r>
          </w:p>
        </w:tc>
        <w:tc>
          <w:tcPr>
            <w:tcW w:w="2551" w:type="dxa"/>
            <w:vAlign w:val="center"/>
          </w:tcPr>
          <w:p>
            <w:pPr>
              <w:pStyle w:val="12"/>
            </w:pPr>
            <w:r>
              <w:t>52.49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84.00</w:t>
            </w:r>
          </w:p>
        </w:tc>
        <w:tc>
          <w:tcPr>
            <w:tcW w:w="2551" w:type="dxa"/>
            <w:vAlign w:val="center"/>
          </w:tcPr>
          <w:p>
            <w:pPr>
              <w:pStyle w:val="12"/>
            </w:pPr>
            <w:r>
              <w:t>84.00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82.00</w:t>
            </w:r>
          </w:p>
        </w:tc>
        <w:tc>
          <w:tcPr>
            <w:tcW w:w="2551" w:type="dxa"/>
            <w:vAlign w:val="center"/>
          </w:tcPr>
          <w:p>
            <w:pPr>
              <w:pStyle w:val="12"/>
            </w:pPr>
            <w:r>
              <w:t>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82.00</w:t>
            </w:r>
          </w:p>
        </w:tc>
        <w:tc>
          <w:tcPr>
            <w:tcW w:w="2551" w:type="dxa"/>
            <w:vAlign w:val="center"/>
          </w:tcPr>
          <w:p>
            <w:pPr>
              <w:pStyle w:val="12"/>
            </w:pPr>
            <w:r>
              <w:t>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82.00</w:t>
            </w:r>
          </w:p>
        </w:tc>
        <w:tc>
          <w:tcPr>
            <w:tcW w:w="2551" w:type="dxa"/>
            <w:vAlign w:val="center"/>
          </w:tcPr>
          <w:p>
            <w:pPr>
              <w:pStyle w:val="12"/>
            </w:pPr>
            <w:r>
              <w:t>82.00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1113.95</w:t>
            </w:r>
          </w:p>
        </w:tc>
        <w:tc>
          <w:tcPr>
            <w:tcW w:w="2551" w:type="dxa"/>
            <w:vAlign w:val="center"/>
          </w:tcPr>
          <w:p>
            <w:pPr>
              <w:pStyle w:val="16"/>
            </w:pPr>
            <w:r>
              <w:t>901.59</w:t>
            </w:r>
          </w:p>
        </w:tc>
        <w:tc>
          <w:tcPr>
            <w:tcW w:w="2551" w:type="dxa"/>
            <w:vAlign w:val="center"/>
          </w:tcPr>
          <w:p>
            <w:pPr>
              <w:pStyle w:val="16"/>
            </w:pPr>
            <w:r>
              <w:t>212.36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849.10</w:t>
            </w:r>
          </w:p>
        </w:tc>
        <w:tc>
          <w:tcPr>
            <w:tcW w:w="2551" w:type="dxa"/>
            <w:vAlign w:val="center"/>
          </w:tcPr>
          <w:p>
            <w:pPr>
              <w:pStyle w:val="12"/>
            </w:pPr>
            <w:r>
              <w:t>849.10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297.45</w:t>
            </w:r>
          </w:p>
        </w:tc>
        <w:tc>
          <w:tcPr>
            <w:tcW w:w="2551" w:type="dxa"/>
            <w:vAlign w:val="center"/>
          </w:tcPr>
          <w:p>
            <w:pPr>
              <w:pStyle w:val="12"/>
            </w:pPr>
            <w:r>
              <w:t>297.45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146.12</w:t>
            </w:r>
          </w:p>
        </w:tc>
        <w:tc>
          <w:tcPr>
            <w:tcW w:w="2551" w:type="dxa"/>
            <w:vAlign w:val="center"/>
          </w:tcPr>
          <w:p>
            <w:pPr>
              <w:pStyle w:val="12"/>
            </w:pPr>
            <w:r>
              <w:t>146.12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123.23</w:t>
            </w:r>
          </w:p>
        </w:tc>
        <w:tc>
          <w:tcPr>
            <w:tcW w:w="2551" w:type="dxa"/>
            <w:vAlign w:val="center"/>
          </w:tcPr>
          <w:p>
            <w:pPr>
              <w:pStyle w:val="12"/>
            </w:pPr>
            <w:r>
              <w:t>123.23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25.93</w:t>
            </w:r>
          </w:p>
        </w:tc>
        <w:tc>
          <w:tcPr>
            <w:tcW w:w="2551" w:type="dxa"/>
            <w:vAlign w:val="center"/>
          </w:tcPr>
          <w:p>
            <w:pPr>
              <w:pStyle w:val="12"/>
            </w:pPr>
            <w:r>
              <w:t>25.93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84.00</w:t>
            </w:r>
          </w:p>
        </w:tc>
        <w:tc>
          <w:tcPr>
            <w:tcW w:w="2551" w:type="dxa"/>
            <w:vAlign w:val="center"/>
          </w:tcPr>
          <w:p>
            <w:pPr>
              <w:pStyle w:val="12"/>
            </w:pPr>
            <w:r>
              <w:t>84.00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82.00</w:t>
            </w:r>
          </w:p>
        </w:tc>
        <w:tc>
          <w:tcPr>
            <w:tcW w:w="2551" w:type="dxa"/>
            <w:vAlign w:val="center"/>
          </w:tcPr>
          <w:p>
            <w:pPr>
              <w:pStyle w:val="12"/>
            </w:pPr>
            <w:r>
              <w:t>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11.57</w:t>
            </w:r>
          </w:p>
        </w:tc>
        <w:tc>
          <w:tcPr>
            <w:tcW w:w="2551" w:type="dxa"/>
            <w:vAlign w:val="center"/>
          </w:tcPr>
          <w:p>
            <w:pPr>
              <w:pStyle w:val="12"/>
            </w:pPr>
            <w:r>
              <w:t>11.57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201.86</w:t>
            </w:r>
          </w:p>
        </w:tc>
        <w:tc>
          <w:tcPr>
            <w:tcW w:w="2551" w:type="dxa"/>
            <w:vAlign w:val="center"/>
          </w:tcPr>
          <w:p>
            <w:pPr>
              <w:pStyle w:val="12"/>
            </w:pPr>
          </w:p>
        </w:tc>
        <w:tc>
          <w:tcPr>
            <w:tcW w:w="2551" w:type="dxa"/>
            <w:vAlign w:val="center"/>
          </w:tcPr>
          <w:p>
            <w:pPr>
              <w:pStyle w:val="12"/>
            </w:pPr>
            <w:r>
              <w:t>201.86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19.75</w:t>
            </w:r>
          </w:p>
        </w:tc>
        <w:tc>
          <w:tcPr>
            <w:tcW w:w="2551" w:type="dxa"/>
            <w:vAlign w:val="center"/>
          </w:tcPr>
          <w:p>
            <w:pPr>
              <w:pStyle w:val="12"/>
            </w:pPr>
          </w:p>
        </w:tc>
        <w:tc>
          <w:tcPr>
            <w:tcW w:w="2551" w:type="dxa"/>
            <w:vAlign w:val="center"/>
          </w:tcPr>
          <w:p>
            <w:pPr>
              <w:pStyle w:val="12"/>
            </w:pPr>
            <w:r>
              <w:t>19.75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32.16</w:t>
            </w:r>
          </w:p>
        </w:tc>
        <w:tc>
          <w:tcPr>
            <w:tcW w:w="2551" w:type="dxa"/>
            <w:vAlign w:val="center"/>
          </w:tcPr>
          <w:p>
            <w:pPr>
              <w:pStyle w:val="12"/>
            </w:pPr>
          </w:p>
        </w:tc>
        <w:tc>
          <w:tcPr>
            <w:tcW w:w="2551" w:type="dxa"/>
            <w:vAlign w:val="center"/>
          </w:tcPr>
          <w:p>
            <w:pPr>
              <w:pStyle w:val="12"/>
            </w:pPr>
            <w:r>
              <w:t>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11.80</w:t>
            </w:r>
          </w:p>
        </w:tc>
        <w:tc>
          <w:tcPr>
            <w:tcW w:w="2551" w:type="dxa"/>
            <w:vAlign w:val="center"/>
          </w:tcPr>
          <w:p>
            <w:pPr>
              <w:pStyle w:val="12"/>
            </w:pPr>
          </w:p>
        </w:tc>
        <w:tc>
          <w:tcPr>
            <w:tcW w:w="2551" w:type="dxa"/>
            <w:vAlign w:val="center"/>
          </w:tcPr>
          <w:p>
            <w:pPr>
              <w:pStyle w:val="12"/>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1.90</w:t>
            </w:r>
          </w:p>
        </w:tc>
        <w:tc>
          <w:tcPr>
            <w:tcW w:w="2551" w:type="dxa"/>
            <w:vAlign w:val="center"/>
          </w:tcPr>
          <w:p>
            <w:pPr>
              <w:pStyle w:val="12"/>
            </w:pPr>
          </w:p>
        </w:tc>
        <w:tc>
          <w:tcPr>
            <w:tcW w:w="2551"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0.97</w:t>
            </w:r>
          </w:p>
        </w:tc>
        <w:tc>
          <w:tcPr>
            <w:tcW w:w="2551" w:type="dxa"/>
            <w:vAlign w:val="center"/>
          </w:tcPr>
          <w:p>
            <w:pPr>
              <w:pStyle w:val="12"/>
            </w:pPr>
          </w:p>
        </w:tc>
        <w:tc>
          <w:tcPr>
            <w:tcW w:w="2551" w:type="dxa"/>
            <w:vAlign w:val="center"/>
          </w:tcPr>
          <w:p>
            <w:pPr>
              <w:pStyle w:val="12"/>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5.91</w:t>
            </w:r>
          </w:p>
        </w:tc>
        <w:tc>
          <w:tcPr>
            <w:tcW w:w="2551" w:type="dxa"/>
            <w:vAlign w:val="center"/>
          </w:tcPr>
          <w:p>
            <w:pPr>
              <w:pStyle w:val="12"/>
            </w:pPr>
          </w:p>
        </w:tc>
        <w:tc>
          <w:tcPr>
            <w:tcW w:w="2551" w:type="dxa"/>
            <w:vAlign w:val="center"/>
          </w:tcPr>
          <w:p>
            <w:pPr>
              <w:pStyle w:val="12"/>
            </w:pPr>
            <w:r>
              <w:t>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19.98</w:t>
            </w:r>
          </w:p>
        </w:tc>
        <w:tc>
          <w:tcPr>
            <w:tcW w:w="2551" w:type="dxa"/>
            <w:vAlign w:val="center"/>
          </w:tcPr>
          <w:p>
            <w:pPr>
              <w:pStyle w:val="12"/>
            </w:pPr>
          </w:p>
        </w:tc>
        <w:tc>
          <w:tcPr>
            <w:tcW w:w="2551" w:type="dxa"/>
            <w:vAlign w:val="center"/>
          </w:tcPr>
          <w:p>
            <w:pPr>
              <w:pStyle w:val="12"/>
            </w:pPr>
            <w:r>
              <w:t>19.98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35.16</w:t>
            </w:r>
          </w:p>
        </w:tc>
        <w:tc>
          <w:tcPr>
            <w:tcW w:w="2551" w:type="dxa"/>
            <w:vAlign w:val="center"/>
          </w:tcPr>
          <w:p>
            <w:pPr>
              <w:pStyle w:val="12"/>
            </w:pPr>
          </w:p>
        </w:tc>
        <w:tc>
          <w:tcPr>
            <w:tcW w:w="2551" w:type="dxa"/>
            <w:vAlign w:val="center"/>
          </w:tcPr>
          <w:p>
            <w:pPr>
              <w:pStyle w:val="12"/>
            </w:pPr>
            <w:r>
              <w:t>35.16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18.23</w:t>
            </w:r>
          </w:p>
        </w:tc>
        <w:tc>
          <w:tcPr>
            <w:tcW w:w="2551" w:type="dxa"/>
            <w:vAlign w:val="center"/>
          </w:tcPr>
          <w:p>
            <w:pPr>
              <w:pStyle w:val="12"/>
            </w:pPr>
          </w:p>
        </w:tc>
        <w:tc>
          <w:tcPr>
            <w:tcW w:w="2551" w:type="dxa"/>
            <w:vAlign w:val="center"/>
          </w:tcPr>
          <w:p>
            <w:pPr>
              <w:pStyle w:val="12"/>
            </w:pPr>
            <w:r>
              <w:t>18.23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53.99</w:t>
            </w:r>
          </w:p>
        </w:tc>
        <w:tc>
          <w:tcPr>
            <w:tcW w:w="2551" w:type="dxa"/>
            <w:vAlign w:val="center"/>
          </w:tcPr>
          <w:p>
            <w:pPr>
              <w:pStyle w:val="12"/>
            </w:pPr>
            <w:r>
              <w:t>52.49</w:t>
            </w: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52.49</w:t>
            </w:r>
          </w:p>
        </w:tc>
        <w:tc>
          <w:tcPr>
            <w:tcW w:w="2551" w:type="dxa"/>
            <w:vAlign w:val="center"/>
          </w:tcPr>
          <w:p>
            <w:pPr>
              <w:pStyle w:val="12"/>
            </w:pPr>
            <w:r>
              <w:t>52.49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22.85</w:t>
            </w:r>
          </w:p>
        </w:tc>
        <w:tc>
          <w:tcPr>
            <w:tcW w:w="2381" w:type="dxa"/>
            <w:vAlign w:val="center"/>
          </w:tcPr>
          <w:p>
            <w:pPr>
              <w:pStyle w:val="16"/>
            </w:pPr>
            <w:r>
              <w:t>22.85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19.98</w:t>
            </w:r>
          </w:p>
        </w:tc>
        <w:tc>
          <w:tcPr>
            <w:tcW w:w="2381" w:type="dxa"/>
            <w:vAlign w:val="center"/>
          </w:tcPr>
          <w:p>
            <w:pPr>
              <w:pStyle w:val="12"/>
            </w:pPr>
            <w:r>
              <w:t>19.98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19.98</w:t>
            </w:r>
          </w:p>
        </w:tc>
        <w:tc>
          <w:tcPr>
            <w:tcW w:w="2381" w:type="dxa"/>
            <w:vAlign w:val="center"/>
          </w:tcPr>
          <w:p>
            <w:pPr>
              <w:pStyle w:val="12"/>
            </w:pPr>
            <w:r>
              <w:t>19.98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中国共产党新乐市纪律检查委员会2026年部门预算信息公开情况说明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中国共产党新乐市纪律检查委员会2026年部门预算信息公开情况说明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按照《中华人民共和国预算法》、《地方预决算公开操作规程》和《关于进一步推进预算公开工作的实施意见》规定，现将中国共产党新乐市纪律检查委员会2026年部门预算公开如下：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w:t>
      </w:r>
    </w:p>
    <w:p>
      <w:pPr>
        <w:pStyle w:val="18"/>
      </w:pPr>
      <w:r>
        <w:t>中国共产党新乐市纪律检查委员会主要职能职责。中共新乐市纪律检查委员会、新乐市监察委员会机关合署办公，实行一套工作机构、两个机关名称，履行纪检、监察两项职能。</w:t>
      </w:r>
    </w:p>
    <w:p>
      <w:pPr>
        <w:pStyle w:val="18"/>
      </w:pPr>
      <w:r>
        <w:t>纪检职责：</w:t>
      </w:r>
    </w:p>
    <w:p>
      <w:pPr>
        <w:pStyle w:val="18"/>
      </w:pPr>
      <w:r>
        <w:t>　　维护党的章程和其他党内法规，协助党的委员会加强党风建设，检查党的路线方针政策和决议的执行情况；对党员进行遵守纪律的教育，作出关于维护党纪的决定；检查和处理党的组织和党员违反党章和其他党内法规的比较重要或复杂的案件，决定或取消对这些案件中党员的处分；受理党员的控告和申诉等。</w:t>
      </w:r>
    </w:p>
    <w:p>
      <w:pPr>
        <w:pStyle w:val="18"/>
      </w:pPr>
      <w:r>
        <w:t>监察职责</w:t>
      </w:r>
    </w:p>
    <w:p>
      <w:pPr>
        <w:pStyle w:val="18"/>
      </w:pPr>
      <w:r>
        <w:t>　监察委员会依照《中华人民共和国行政监察法》和有关法律规定履行监督、调查、处置职责：</w:t>
      </w:r>
    </w:p>
    <w:p>
      <w:pPr>
        <w:pStyle w:val="18"/>
      </w:pPr>
      <w:r>
        <w:t>　对公职人员开展廉政教育，对其依法履职、秉公用权、廉洁从政从业以及道德操守情况进行监督检查；</w:t>
      </w:r>
    </w:p>
    <w:p>
      <w:pPr>
        <w:pStyle w:val="18"/>
      </w:pPr>
      <w:r>
        <w:t>　对涉嫌贪污贿赂、滥用职权、玩忽职守、权力寻租、利益输送、徇私舞弊以及浪费国家资财等职务违法和职务犯罪进行调查；</w:t>
      </w:r>
    </w:p>
    <w:p>
      <w:pPr>
        <w:pStyle w:val="18"/>
      </w:pPr>
      <w:r>
        <w:t>　对违法的公职人员依法作出政务处分决定；对履行职责不力、失职失责的领导人员进行问责；对涉嫌职务犯罪的，将调查结果移送人民检察院依法审查、提起公诉；向监察对象所在单位提出监察建议。</w:t>
      </w:r>
    </w:p>
    <w:p>
      <w:pPr>
        <w:pStyle w:val="18"/>
      </w:pPr>
      <w:r>
        <w:t>支持配合巡视、巡察工作。承担巡视、巡察整改日常监督责任，做好巡视、巡察整改督查督办工作，依规依纪依法处置巡视、巡察移交的反映领导干部问题线索。</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中国共产党新乐市纪律检查委员会本级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按照预算管理有关规定，目前部门预算的编制实行综合预算管理，即全部收入和支出都反映在预算中。中国共产党新乐市纪律检查委员会机关及所属事业单位的收支包含在部门预算中。</w:t>
      </w:r>
    </w:p>
    <w:p>
      <w:pPr>
        <w:pStyle w:val="19"/>
      </w:pPr>
      <w:r>
        <w:t>1、收入说明</w:t>
      </w:r>
    </w:p>
    <w:p>
      <w:pPr>
        <w:pStyle w:val="19"/>
      </w:pPr>
      <w:r>
        <w:t>反映本部门当年全部收入。2025年预算收入1195.08万元，其中：一般公共预算收入1195.08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新乐市纪律检查委员会年度部门预算中支出预算的总体情况。2025年支出预算1195.08万元，其中基本支出1095.08万元，包括人员经费875.27万元和日常公用经费219.81万元；项目支出100.00万元，主要为部门运转工作经费和食堂补助经费。</w:t>
      </w:r>
    </w:p>
    <w:p>
      <w:pPr>
        <w:pStyle w:val="19"/>
      </w:pPr>
      <w:r>
        <w:t>3、比上年增减情况</w:t>
      </w:r>
    </w:p>
    <w:p>
      <w:pPr>
        <w:pStyle w:val="19"/>
      </w:pPr>
      <w:r>
        <w:t>2025年预算收支安排1195.08万元，较2024年预算增加153.26万元，其中：基本支出增加114.69万元，主要为本年度人员经费增加。项目支出增加38.57万元，主要为部门运转工作经费。</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2026年，我部门机关运行经费共计安排212.36万元，主要用于日常维修、办公用房水电费、办公用房取暖费、办公用房物业管理费等日常运行支出。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20.60万元，其中因公出国（境）费0.00万元；公务用车购置及运维费20.60万元（其中：公务用车购置费为0.00万元，公务用车运维费20.60万元)；公务接待费0.00万元。与2024年相比增加0.00万元，增减变化的主要原因是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全市纪检监察系统要深入学习贯彻党的十九届五中全会、十九届中央纪委五次全会、省委全会、省纪委全会、石家庄市委全会、石家庄市纪委全会和新乐市委全会精神，胸怀两个大局，旗帜鲜明讲政治，不断提高政治判断力、政治领悟力、政治执行力，坚定维护习近平总书记党中央的核心、全党的核心地位，坚定维护党中央权威和集中统一领导，把党中央决策部署与纪委监委职责科学地、历史地、具体地结合起来，坚持稳中求进、坚定稳妥，坚持实事求是、依规依纪依法，坚持惩前毖后、治病救人，坚持政策策略、纪法情理融合，坚持系统施治、标本兼治，坚定政治方向、把准职能定位、展现担当作为。我们要更加突出政治监督，更加突出高质量发展主题，更加突出整治群众身边腐败和作风问题，更加突出发挥监督治理效能，更加突出严管厚爱结合、激励约束并重，使正风肃纪反腐更好适应现代化建设需要，使监督体系更好融入国家治理体系，释放更大治理效能。</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1、加大纪律检查工作力度，促进党风廉政建设。</w:t>
      </w:r>
    </w:p>
    <w:p>
      <w:pPr>
        <w:pStyle w:val="23"/>
      </w:pPr>
      <w:r>
        <w:t>绩效目标：负责全市党的纪律检查工作</w:t>
      </w:r>
    </w:p>
    <w:p>
      <w:pPr>
        <w:pStyle w:val="23"/>
      </w:pPr>
      <w:r>
        <w:t>绩效指标：增加纪律检查次数，每月不少于2次</w:t>
      </w:r>
    </w:p>
    <w:p>
      <w:pPr>
        <w:pStyle w:val="23"/>
      </w:pPr>
      <w:r>
        <w:t>2、加大对违法违纪案件查处力度，做好反腐败工作</w:t>
      </w:r>
    </w:p>
    <w:p>
      <w:pPr>
        <w:pStyle w:val="23"/>
      </w:pPr>
      <w:r>
        <w:t>绩效目标：依照党的章程和其他党内法规履行监督、执纪、问责职责</w:t>
      </w:r>
    </w:p>
    <w:p>
      <w:pPr>
        <w:pStyle w:val="23"/>
      </w:pPr>
      <w:r>
        <w:t>绩效指标：违法违纪案件办结率≥90%</w:t>
      </w:r>
    </w:p>
    <w:p>
      <w:pPr>
        <w:pStyle w:val="23"/>
      </w:pPr>
      <w:r>
        <w:t>3、支持配合巡视、巡察工作</w:t>
      </w:r>
    </w:p>
    <w:p>
      <w:pPr>
        <w:pStyle w:val="23"/>
      </w:pPr>
      <w:r>
        <w:t>绩效目标：承担巡视、巡察整改日常监督责任，做好巡视、巡察整改督察督办工作，依规依纪依法处置巡视、巡察移交的反映领导干部问题线索。</w:t>
      </w:r>
    </w:p>
    <w:p>
      <w:pPr>
        <w:pStyle w:val="23"/>
      </w:pPr>
      <w:r>
        <w:t>绩效指标：巡察巡视次数≥2次</w:t>
      </w:r>
    </w:p>
    <w:p>
      <w:pPr>
        <w:pStyle w:val="23"/>
      </w:pPr>
      <w:r>
        <w:t>4、加大监察力度，开展廉政建设和反腐败工作。</w:t>
      </w:r>
    </w:p>
    <w:p>
      <w:pPr>
        <w:pStyle w:val="23"/>
      </w:pPr>
      <w:r>
        <w:t>绩效目标：负责全市监察工作</w:t>
      </w:r>
    </w:p>
    <w:p>
      <w:pPr>
        <w:pStyle w:val="23"/>
      </w:pPr>
      <w:r>
        <w:t>绩效指标：职务违法和职务犯罪案件办结率≥90%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1、加强制度建设。建立健全预算绩效管理制度，为全年预算绩效目标的实现奠定制度基础。</w:t>
      </w:r>
    </w:p>
    <w:p>
      <w:pPr>
        <w:pStyle w:val="24"/>
      </w:pPr>
      <w:r>
        <w:t>2、规范财务管理。高度重视财务工作的制度保障、制度执行和流程管理，建立健全财务管理制度，严格审批程序，并加强财务人员的业务培训，提高业务素质，确保财政资金使用合法合规。</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4、加强绩效运行监控。按要求开展绩效运行监控，每月按要求对部门整体绩效目标和预算项目绩效目标实现情况和预算执行进度进行监控，发现问题及时采取措施，确保绩效目标如期保质实现。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1、2026年本级支出-办公院落白变黑工程绩效目标表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13018426P005223101795</w:t>
            </w:r>
          </w:p>
        </w:tc>
        <w:tc>
          <w:tcPr>
            <w:tcW w:w="2835" w:type="dxa"/>
            <w:vAlign w:val="center"/>
          </w:tcPr>
          <w:p>
            <w:pPr>
              <w:pStyle w:val="11"/>
            </w:pPr>
            <w:r>
              <w:t>项目名称</w:t>
            </w:r>
          </w:p>
        </w:tc>
        <w:tc>
          <w:tcPr>
            <w:tcW w:w="6095" w:type="dxa"/>
            <w:gridSpan w:val="3"/>
            <w:vAlign w:val="center"/>
          </w:tcPr>
          <w:p>
            <w:pPr>
              <w:pStyle w:val="13"/>
            </w:pPr>
            <w:r>
              <w:t>2026年本级支出-办公院落白变黑工程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12.50</w:t>
            </w:r>
          </w:p>
        </w:tc>
        <w:tc>
          <w:tcPr>
            <w:tcW w:w="2835" w:type="dxa"/>
            <w:vAlign w:val="center"/>
          </w:tcPr>
          <w:p>
            <w:pPr>
              <w:pStyle w:val="14"/>
            </w:pPr>
            <w:r>
              <w:t>25.00</w:t>
            </w:r>
          </w:p>
        </w:tc>
        <w:tc>
          <w:tcPr>
            <w:tcW w:w="2551" w:type="dxa"/>
            <w:vAlign w:val="center"/>
          </w:tcPr>
          <w:p>
            <w:pPr>
              <w:pStyle w:val="14"/>
            </w:pPr>
            <w:r>
              <w:t>37.50</w:t>
            </w:r>
          </w:p>
        </w:tc>
        <w:tc>
          <w:tcPr>
            <w:tcW w:w="3544"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1.目标内容1确保日常工作顺利开展。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工作人员办公所需</w:t>
            </w:r>
          </w:p>
        </w:tc>
        <w:tc>
          <w:tcPr>
            <w:tcW w:w="5386" w:type="dxa"/>
            <w:vAlign w:val="center"/>
          </w:tcPr>
          <w:p>
            <w:pPr>
              <w:pStyle w:val="13"/>
            </w:pPr>
            <w:r>
              <w:t>保障全体工作人员办公费用支出</w:t>
            </w:r>
          </w:p>
        </w:tc>
        <w:tc>
          <w:tcPr>
            <w:tcW w:w="2268" w:type="dxa"/>
            <w:vAlign w:val="center"/>
          </w:tcPr>
          <w:p>
            <w:pPr>
              <w:pStyle w:val="13"/>
            </w:pPr>
            <w:r>
              <w:t>基本保障</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w:t>
            </w:r>
          </w:p>
        </w:tc>
        <w:tc>
          <w:tcPr>
            <w:tcW w:w="5386" w:type="dxa"/>
            <w:vAlign w:val="center"/>
          </w:tcPr>
          <w:p>
            <w:pPr>
              <w:pStyle w:val="13"/>
            </w:pPr>
            <w:r>
              <w:t>保障办公基本质量</w:t>
            </w:r>
          </w:p>
        </w:tc>
        <w:tc>
          <w:tcPr>
            <w:tcW w:w="2268" w:type="dxa"/>
            <w:vAlign w:val="center"/>
          </w:tcPr>
          <w:p>
            <w:pPr>
              <w:pStyle w:val="13"/>
            </w:pPr>
            <w:r>
              <w:t>确保质量</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保障办公用品配备及时</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配备标准</w:t>
            </w:r>
          </w:p>
        </w:tc>
        <w:tc>
          <w:tcPr>
            <w:tcW w:w="5386" w:type="dxa"/>
            <w:vAlign w:val="center"/>
          </w:tcPr>
          <w:p>
            <w:pPr>
              <w:pStyle w:val="13"/>
            </w:pPr>
            <w:r>
              <w:t>严控配备标准不超标</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保障各项工作顺利开展</w:t>
            </w:r>
          </w:p>
        </w:tc>
        <w:tc>
          <w:tcPr>
            <w:tcW w:w="2268" w:type="dxa"/>
            <w:vAlign w:val="center"/>
          </w:tcPr>
          <w:p>
            <w:pPr>
              <w:pStyle w:val="13"/>
            </w:pPr>
            <w:r>
              <w:t>稳步提升</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满意程度</w:t>
            </w:r>
          </w:p>
        </w:tc>
        <w:tc>
          <w:tcPr>
            <w:tcW w:w="2268" w:type="dxa"/>
            <w:vAlign w:val="center"/>
          </w:tcPr>
          <w:p>
            <w:pPr>
              <w:pStyle w:val="13"/>
            </w:pPr>
            <w:r>
              <w:t>持续提高</w:t>
            </w:r>
          </w:p>
        </w:tc>
        <w:tc>
          <w:tcPr>
            <w:tcW w:w="1276" w:type="dxa"/>
            <w:vAlign w:val="center"/>
          </w:tcPr>
          <w:p>
            <w:pPr>
              <w:pStyle w:val="13"/>
            </w:pPr>
            <w:r>
              <w:t>根据实际</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2、2026年本级支出-大数据中心建设绩效目标表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13018426P00522310180G</w:t>
            </w:r>
          </w:p>
        </w:tc>
        <w:tc>
          <w:tcPr>
            <w:tcW w:w="2835" w:type="dxa"/>
            <w:vAlign w:val="center"/>
          </w:tcPr>
          <w:p>
            <w:pPr>
              <w:pStyle w:val="11"/>
            </w:pPr>
            <w:r>
              <w:t>项目名称</w:t>
            </w:r>
          </w:p>
        </w:tc>
        <w:tc>
          <w:tcPr>
            <w:tcW w:w="6095" w:type="dxa"/>
            <w:gridSpan w:val="3"/>
            <w:vAlign w:val="center"/>
          </w:tcPr>
          <w:p>
            <w:pPr>
              <w:pStyle w:val="13"/>
            </w:pPr>
            <w:r>
              <w:t>2026年本级支出-大数据中心建设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用于大数据中心建设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37.50</w:t>
            </w:r>
          </w:p>
        </w:tc>
        <w:tc>
          <w:tcPr>
            <w:tcW w:w="2835" w:type="dxa"/>
            <w:vAlign w:val="center"/>
          </w:tcPr>
          <w:p>
            <w:pPr>
              <w:pStyle w:val="14"/>
            </w:pPr>
            <w:r>
              <w:t>75.00</w:t>
            </w:r>
          </w:p>
        </w:tc>
        <w:tc>
          <w:tcPr>
            <w:tcW w:w="2551" w:type="dxa"/>
            <w:vAlign w:val="center"/>
          </w:tcPr>
          <w:p>
            <w:pPr>
              <w:pStyle w:val="14"/>
            </w:pPr>
            <w:r>
              <w:t>112.50</w:t>
            </w:r>
          </w:p>
        </w:tc>
        <w:tc>
          <w:tcPr>
            <w:tcW w:w="3544" w:type="dxa"/>
            <w:gridSpan w:val="2"/>
            <w:vAlign w:val="center"/>
          </w:tcPr>
          <w:p>
            <w:pPr>
              <w:pStyle w:val="14"/>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1.大数据中心建设，保障工作顺利进行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工作人员办公所需</w:t>
            </w:r>
          </w:p>
        </w:tc>
        <w:tc>
          <w:tcPr>
            <w:tcW w:w="5386" w:type="dxa"/>
            <w:vAlign w:val="center"/>
          </w:tcPr>
          <w:p>
            <w:pPr>
              <w:pStyle w:val="13"/>
            </w:pPr>
            <w:r>
              <w:t>保障全体工作人员办公费用支出</w:t>
            </w:r>
          </w:p>
        </w:tc>
        <w:tc>
          <w:tcPr>
            <w:tcW w:w="2268" w:type="dxa"/>
            <w:vAlign w:val="center"/>
          </w:tcPr>
          <w:p>
            <w:pPr>
              <w:pStyle w:val="13"/>
            </w:pPr>
            <w:r>
              <w:t>基本保障</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w:t>
            </w:r>
          </w:p>
        </w:tc>
        <w:tc>
          <w:tcPr>
            <w:tcW w:w="5386" w:type="dxa"/>
            <w:vAlign w:val="center"/>
          </w:tcPr>
          <w:p>
            <w:pPr>
              <w:pStyle w:val="13"/>
            </w:pPr>
            <w:r>
              <w:t>保障办公基本质量</w:t>
            </w:r>
          </w:p>
        </w:tc>
        <w:tc>
          <w:tcPr>
            <w:tcW w:w="2268" w:type="dxa"/>
            <w:vAlign w:val="center"/>
          </w:tcPr>
          <w:p>
            <w:pPr>
              <w:pStyle w:val="13"/>
            </w:pPr>
            <w:r>
              <w:t>确保质量</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保障办公用品配备及时</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配备标准</w:t>
            </w:r>
          </w:p>
        </w:tc>
        <w:tc>
          <w:tcPr>
            <w:tcW w:w="5386" w:type="dxa"/>
            <w:vAlign w:val="center"/>
          </w:tcPr>
          <w:p>
            <w:pPr>
              <w:pStyle w:val="13"/>
            </w:pPr>
            <w:r>
              <w:t>严控配备标准不超标</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保障各项工作顺利开展</w:t>
            </w:r>
          </w:p>
        </w:tc>
        <w:tc>
          <w:tcPr>
            <w:tcW w:w="2268" w:type="dxa"/>
            <w:vAlign w:val="center"/>
          </w:tcPr>
          <w:p>
            <w:pPr>
              <w:pStyle w:val="13"/>
            </w:pPr>
            <w:r>
              <w:t>稳步提升</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满意程度</w:t>
            </w:r>
          </w:p>
        </w:tc>
        <w:tc>
          <w:tcPr>
            <w:tcW w:w="2268" w:type="dxa"/>
            <w:vAlign w:val="center"/>
          </w:tcPr>
          <w:p>
            <w:pPr>
              <w:pStyle w:val="13"/>
            </w:pPr>
            <w:r>
              <w:t>持续提高</w:t>
            </w:r>
          </w:p>
        </w:tc>
        <w:tc>
          <w:tcPr>
            <w:tcW w:w="1276" w:type="dxa"/>
            <w:vAlign w:val="center"/>
          </w:tcPr>
          <w:p>
            <w:pPr>
              <w:pStyle w:val="13"/>
            </w:pPr>
            <w:r>
              <w:t>根据实际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3、2026年本级支出-工作经费绩效目标表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13018426P00522310176A</w:t>
            </w:r>
          </w:p>
        </w:tc>
        <w:tc>
          <w:tcPr>
            <w:tcW w:w="2835" w:type="dxa"/>
            <w:vAlign w:val="center"/>
          </w:tcPr>
          <w:p>
            <w:pPr>
              <w:pStyle w:val="11"/>
            </w:pPr>
            <w:r>
              <w:t>项目名称</w:t>
            </w:r>
          </w:p>
        </w:tc>
        <w:tc>
          <w:tcPr>
            <w:tcW w:w="6095" w:type="dxa"/>
            <w:gridSpan w:val="3"/>
            <w:vAlign w:val="center"/>
          </w:tcPr>
          <w:p>
            <w:pPr>
              <w:pStyle w:val="13"/>
            </w:pPr>
            <w:r>
              <w:t>2026年本级支出-工作经费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工作人员办公所需</w:t>
            </w:r>
          </w:p>
        </w:tc>
        <w:tc>
          <w:tcPr>
            <w:tcW w:w="5386" w:type="dxa"/>
            <w:vAlign w:val="center"/>
          </w:tcPr>
          <w:p>
            <w:pPr>
              <w:pStyle w:val="13"/>
            </w:pPr>
            <w:r>
              <w:t>保障全体工作人员办公费用支出</w:t>
            </w:r>
          </w:p>
        </w:tc>
        <w:tc>
          <w:tcPr>
            <w:tcW w:w="2268" w:type="dxa"/>
            <w:vAlign w:val="center"/>
          </w:tcPr>
          <w:p>
            <w:pPr>
              <w:pStyle w:val="13"/>
            </w:pPr>
            <w:r>
              <w:t>基本保障</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w:t>
            </w:r>
          </w:p>
        </w:tc>
        <w:tc>
          <w:tcPr>
            <w:tcW w:w="5386" w:type="dxa"/>
            <w:vAlign w:val="center"/>
          </w:tcPr>
          <w:p>
            <w:pPr>
              <w:pStyle w:val="13"/>
            </w:pPr>
            <w:r>
              <w:t>保障办公基本质量</w:t>
            </w:r>
          </w:p>
        </w:tc>
        <w:tc>
          <w:tcPr>
            <w:tcW w:w="2268" w:type="dxa"/>
            <w:vAlign w:val="center"/>
          </w:tcPr>
          <w:p>
            <w:pPr>
              <w:pStyle w:val="13"/>
            </w:pPr>
            <w:r>
              <w:t>确保质量</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保障办公用品配备及时</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配备标准</w:t>
            </w:r>
          </w:p>
        </w:tc>
        <w:tc>
          <w:tcPr>
            <w:tcW w:w="5386" w:type="dxa"/>
            <w:vAlign w:val="center"/>
          </w:tcPr>
          <w:p>
            <w:pPr>
              <w:pStyle w:val="13"/>
            </w:pPr>
            <w:r>
              <w:t>严控配备标准不超标</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保障各项工作顺利开展</w:t>
            </w:r>
          </w:p>
        </w:tc>
        <w:tc>
          <w:tcPr>
            <w:tcW w:w="2268" w:type="dxa"/>
            <w:vAlign w:val="center"/>
          </w:tcPr>
          <w:p>
            <w:pPr>
              <w:pStyle w:val="13"/>
            </w:pPr>
            <w:r>
              <w:t>稳步提升</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满意程度</w:t>
            </w:r>
          </w:p>
        </w:tc>
        <w:tc>
          <w:tcPr>
            <w:tcW w:w="2268" w:type="dxa"/>
            <w:vAlign w:val="center"/>
          </w:tcPr>
          <w:p>
            <w:pPr>
              <w:pStyle w:val="13"/>
            </w:pPr>
            <w:r>
              <w:t>持续提高</w:t>
            </w:r>
          </w:p>
        </w:tc>
        <w:tc>
          <w:tcPr>
            <w:tcW w:w="1276" w:type="dxa"/>
            <w:vAlign w:val="center"/>
          </w:tcPr>
          <w:p>
            <w:pPr>
              <w:pStyle w:val="13"/>
            </w:pPr>
            <w:r>
              <w:t>根据实际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4、2026年本级支出-纪检监察办案经费绩效目标表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13018426P00522310178H</w:t>
            </w:r>
          </w:p>
        </w:tc>
        <w:tc>
          <w:tcPr>
            <w:tcW w:w="2835" w:type="dxa"/>
            <w:vAlign w:val="center"/>
          </w:tcPr>
          <w:p>
            <w:pPr>
              <w:pStyle w:val="11"/>
            </w:pPr>
            <w:r>
              <w:t>项目名称</w:t>
            </w:r>
          </w:p>
        </w:tc>
        <w:tc>
          <w:tcPr>
            <w:tcW w:w="6095" w:type="dxa"/>
            <w:gridSpan w:val="3"/>
            <w:vAlign w:val="center"/>
          </w:tcPr>
          <w:p>
            <w:pPr>
              <w:pStyle w:val="13"/>
            </w:pPr>
            <w:r>
              <w:t>2026年本级支出-纪检监察办案经费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用于纪检监察办公支出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27.50</w:t>
            </w:r>
          </w:p>
        </w:tc>
        <w:tc>
          <w:tcPr>
            <w:tcW w:w="2835" w:type="dxa"/>
            <w:vAlign w:val="center"/>
          </w:tcPr>
          <w:p>
            <w:pPr>
              <w:pStyle w:val="14"/>
            </w:pPr>
            <w:r>
              <w:t>55.00</w:t>
            </w:r>
          </w:p>
        </w:tc>
        <w:tc>
          <w:tcPr>
            <w:tcW w:w="2551" w:type="dxa"/>
            <w:vAlign w:val="center"/>
          </w:tcPr>
          <w:p>
            <w:pPr>
              <w:pStyle w:val="14"/>
            </w:pPr>
            <w:r>
              <w:t>82.50</w:t>
            </w:r>
          </w:p>
        </w:tc>
        <w:tc>
          <w:tcPr>
            <w:tcW w:w="3544" w:type="dxa"/>
            <w:gridSpan w:val="2"/>
            <w:vAlign w:val="center"/>
          </w:tcPr>
          <w:p>
            <w:pPr>
              <w:pStyle w:val="14"/>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1.保障纪检监察正常工作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办案数量</w:t>
            </w:r>
          </w:p>
        </w:tc>
        <w:tc>
          <w:tcPr>
            <w:tcW w:w="5386" w:type="dxa"/>
            <w:vAlign w:val="center"/>
          </w:tcPr>
          <w:p>
            <w:pPr>
              <w:pStyle w:val="13"/>
            </w:pPr>
            <w:r>
              <w:t>办案数量</w:t>
            </w:r>
          </w:p>
        </w:tc>
        <w:tc>
          <w:tcPr>
            <w:tcW w:w="2268" w:type="dxa"/>
            <w:vAlign w:val="center"/>
          </w:tcPr>
          <w:p>
            <w:pPr>
              <w:pStyle w:val="13"/>
            </w:pPr>
            <w:r>
              <w:t>稳步提升</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办案质量</w:t>
            </w:r>
          </w:p>
        </w:tc>
        <w:tc>
          <w:tcPr>
            <w:tcW w:w="5386" w:type="dxa"/>
            <w:vAlign w:val="center"/>
          </w:tcPr>
          <w:p>
            <w:pPr>
              <w:pStyle w:val="13"/>
            </w:pPr>
            <w:r>
              <w:t>保障办案质量</w:t>
            </w:r>
          </w:p>
        </w:tc>
        <w:tc>
          <w:tcPr>
            <w:tcW w:w="2268" w:type="dxa"/>
            <w:vAlign w:val="center"/>
          </w:tcPr>
          <w:p>
            <w:pPr>
              <w:pStyle w:val="13"/>
            </w:pPr>
            <w:r>
              <w:t>确保质量</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案件查办计划执行率</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配备标准</w:t>
            </w:r>
          </w:p>
        </w:tc>
        <w:tc>
          <w:tcPr>
            <w:tcW w:w="5386" w:type="dxa"/>
            <w:vAlign w:val="center"/>
          </w:tcPr>
          <w:p>
            <w:pPr>
              <w:pStyle w:val="13"/>
            </w:pPr>
            <w:r>
              <w:t>严控配备标准不超标</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保障工作开展</w:t>
            </w:r>
          </w:p>
        </w:tc>
        <w:tc>
          <w:tcPr>
            <w:tcW w:w="5386" w:type="dxa"/>
            <w:vAlign w:val="center"/>
          </w:tcPr>
          <w:p>
            <w:pPr>
              <w:pStyle w:val="13"/>
            </w:pPr>
            <w:r>
              <w:t>保障工作开展</w:t>
            </w:r>
          </w:p>
        </w:tc>
        <w:tc>
          <w:tcPr>
            <w:tcW w:w="2268" w:type="dxa"/>
            <w:vAlign w:val="center"/>
          </w:tcPr>
          <w:p>
            <w:pPr>
              <w:pStyle w:val="13"/>
            </w:pPr>
            <w:r>
              <w:t>稳步提升</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持续提高</w:t>
            </w:r>
          </w:p>
        </w:tc>
        <w:tc>
          <w:tcPr>
            <w:tcW w:w="1276" w:type="dxa"/>
            <w:vAlign w:val="center"/>
          </w:tcPr>
          <w:p>
            <w:pPr>
              <w:pStyle w:val="13"/>
            </w:pPr>
            <w:r>
              <w:t>根据实际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5、2026年本级支出-食堂补助经费绩效目标表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13018426P00522310177X</w:t>
            </w:r>
          </w:p>
        </w:tc>
        <w:tc>
          <w:tcPr>
            <w:tcW w:w="2835" w:type="dxa"/>
            <w:vAlign w:val="center"/>
          </w:tcPr>
          <w:p>
            <w:pPr>
              <w:pStyle w:val="11"/>
            </w:pPr>
            <w:r>
              <w:t>项目名称</w:t>
            </w:r>
          </w:p>
        </w:tc>
        <w:tc>
          <w:tcPr>
            <w:tcW w:w="6095" w:type="dxa"/>
            <w:gridSpan w:val="3"/>
            <w:vAlign w:val="center"/>
          </w:tcPr>
          <w:p>
            <w:pPr>
              <w:pStyle w:val="13"/>
            </w:pPr>
            <w:r>
              <w:t>2026年本级支出-食堂补助经费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确保机关食堂正常运转。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w:t>
            </w:r>
          </w:p>
        </w:tc>
        <w:tc>
          <w:tcPr>
            <w:tcW w:w="2835" w:type="dxa"/>
            <w:vAlign w:val="center"/>
          </w:tcPr>
          <w:p>
            <w:pPr>
              <w:pStyle w:val="14"/>
            </w:pPr>
            <w:r>
              <w:t>15.00</w:t>
            </w:r>
          </w:p>
        </w:tc>
        <w:tc>
          <w:tcPr>
            <w:tcW w:w="2551" w:type="dxa"/>
            <w:vAlign w:val="center"/>
          </w:tcPr>
          <w:p>
            <w:pPr>
              <w:pStyle w:val="14"/>
            </w:pPr>
            <w:r>
              <w:t>22.50</w:t>
            </w:r>
          </w:p>
        </w:tc>
        <w:tc>
          <w:tcPr>
            <w:tcW w:w="3544"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1.确保机关食堂正常运转。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食堂惠及工作人员</w:t>
            </w:r>
          </w:p>
        </w:tc>
        <w:tc>
          <w:tcPr>
            <w:tcW w:w="5386" w:type="dxa"/>
            <w:vAlign w:val="center"/>
          </w:tcPr>
          <w:p>
            <w:pPr>
              <w:pStyle w:val="13"/>
            </w:pPr>
            <w:r>
              <w:t>惠及职工人数</w:t>
            </w:r>
          </w:p>
        </w:tc>
        <w:tc>
          <w:tcPr>
            <w:tcW w:w="2268" w:type="dxa"/>
            <w:vAlign w:val="center"/>
          </w:tcPr>
          <w:p>
            <w:pPr>
              <w:pStyle w:val="13"/>
            </w:pPr>
            <w:r>
              <w:t>≥100%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w:t>
            </w:r>
          </w:p>
        </w:tc>
        <w:tc>
          <w:tcPr>
            <w:tcW w:w="5386" w:type="dxa"/>
            <w:vAlign w:val="center"/>
          </w:tcPr>
          <w:p>
            <w:pPr>
              <w:pStyle w:val="13"/>
            </w:pPr>
            <w:r>
              <w:t>质量达标率</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按时保障</w:t>
            </w:r>
          </w:p>
        </w:tc>
        <w:tc>
          <w:tcPr>
            <w:tcW w:w="2268" w:type="dxa"/>
            <w:vAlign w:val="center"/>
          </w:tcPr>
          <w:p>
            <w:pPr>
              <w:pStyle w:val="13"/>
            </w:pPr>
            <w:r>
              <w:t>≥95%</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配备标准</w:t>
            </w:r>
          </w:p>
        </w:tc>
        <w:tc>
          <w:tcPr>
            <w:tcW w:w="5386" w:type="dxa"/>
            <w:vAlign w:val="center"/>
          </w:tcPr>
          <w:p>
            <w:pPr>
              <w:pStyle w:val="13"/>
            </w:pPr>
            <w:r>
              <w:t>严控配备标准不超标</w:t>
            </w:r>
          </w:p>
        </w:tc>
        <w:tc>
          <w:tcPr>
            <w:tcW w:w="2268" w:type="dxa"/>
            <w:vAlign w:val="center"/>
          </w:tcPr>
          <w:p>
            <w:pPr>
              <w:pStyle w:val="13"/>
            </w:pPr>
            <w:r>
              <w:t>≥95%</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可持续服务</w:t>
            </w:r>
          </w:p>
        </w:tc>
        <w:tc>
          <w:tcPr>
            <w:tcW w:w="5386" w:type="dxa"/>
            <w:vAlign w:val="center"/>
          </w:tcPr>
          <w:p>
            <w:pPr>
              <w:pStyle w:val="13"/>
            </w:pPr>
            <w:r>
              <w:t>可持续服务</w:t>
            </w:r>
          </w:p>
        </w:tc>
        <w:tc>
          <w:tcPr>
            <w:tcW w:w="2268" w:type="dxa"/>
            <w:vAlign w:val="center"/>
          </w:tcPr>
          <w:p>
            <w:pPr>
              <w:pStyle w:val="13"/>
            </w:pPr>
            <w:r>
              <w:t>≥90%</w:t>
            </w:r>
          </w:p>
        </w:tc>
        <w:tc>
          <w:tcPr>
            <w:tcW w:w="1276" w:type="dxa"/>
            <w:vAlign w:val="center"/>
          </w:tcPr>
          <w:p>
            <w:pPr>
              <w:pStyle w:val="13"/>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满意程度</w:t>
            </w:r>
          </w:p>
        </w:tc>
        <w:tc>
          <w:tcPr>
            <w:tcW w:w="2268" w:type="dxa"/>
            <w:vAlign w:val="center"/>
          </w:tcPr>
          <w:p>
            <w:pPr>
              <w:pStyle w:val="13"/>
            </w:pPr>
            <w:r>
              <w:t>≥80%</w:t>
            </w:r>
          </w:p>
        </w:tc>
        <w:tc>
          <w:tcPr>
            <w:tcW w:w="1276" w:type="dxa"/>
            <w:vAlign w:val="center"/>
          </w:tcPr>
          <w:p>
            <w:pPr>
              <w:pStyle w:val="13"/>
            </w:pPr>
            <w:r>
              <w:t>根据实际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6、冀财政法【2025】43号-2026年中央政法纪检监察转移支付资金绩效目标表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13018425P000055100283</w:t>
            </w:r>
          </w:p>
        </w:tc>
        <w:tc>
          <w:tcPr>
            <w:tcW w:w="2835" w:type="dxa"/>
            <w:vAlign w:val="center"/>
          </w:tcPr>
          <w:p>
            <w:pPr>
              <w:pStyle w:val="11"/>
            </w:pPr>
            <w:r>
              <w:t>项目名称</w:t>
            </w:r>
          </w:p>
        </w:tc>
        <w:tc>
          <w:tcPr>
            <w:tcW w:w="6095" w:type="dxa"/>
            <w:gridSpan w:val="3"/>
            <w:vAlign w:val="center"/>
          </w:tcPr>
          <w:p>
            <w:pPr>
              <w:pStyle w:val="13"/>
            </w:pPr>
            <w:r>
              <w:t>冀财政法【2025】43号-2026年中央政法纪检监察转移支付资金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10.20</w:t>
            </w:r>
          </w:p>
        </w:tc>
        <w:tc>
          <w:tcPr>
            <w:tcW w:w="2835" w:type="dxa"/>
            <w:vAlign w:val="center"/>
          </w:tcPr>
          <w:p>
            <w:pPr>
              <w:pStyle w:val="11"/>
            </w:pPr>
            <w:r>
              <w:t>其中：财政    资金</w:t>
            </w:r>
          </w:p>
        </w:tc>
        <w:tc>
          <w:tcPr>
            <w:tcW w:w="2551" w:type="dxa"/>
            <w:vAlign w:val="center"/>
          </w:tcPr>
          <w:p>
            <w:pPr>
              <w:pStyle w:val="13"/>
            </w:pPr>
            <w:r>
              <w:t>10.20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办案监管和装备配备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2.55</w:t>
            </w:r>
          </w:p>
        </w:tc>
        <w:tc>
          <w:tcPr>
            <w:tcW w:w="2835" w:type="dxa"/>
            <w:vAlign w:val="center"/>
          </w:tcPr>
          <w:p>
            <w:pPr>
              <w:pStyle w:val="14"/>
            </w:pPr>
            <w:r>
              <w:t>5.00</w:t>
            </w:r>
          </w:p>
        </w:tc>
        <w:tc>
          <w:tcPr>
            <w:tcW w:w="2551" w:type="dxa"/>
            <w:vAlign w:val="center"/>
          </w:tcPr>
          <w:p>
            <w:pPr>
              <w:pStyle w:val="14"/>
            </w:pPr>
            <w:r>
              <w:t>7.65</w:t>
            </w:r>
          </w:p>
        </w:tc>
        <w:tc>
          <w:tcPr>
            <w:tcW w:w="3544" w:type="dxa"/>
            <w:gridSpan w:val="2"/>
            <w:vAlign w:val="center"/>
          </w:tcPr>
          <w:p>
            <w:pPr>
              <w:pStyle w:val="14"/>
            </w:pPr>
            <w:r>
              <w:t>10.20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1.支持纪检监察机关开展业务工作，提高纪检监察机关的办案和装备经费保障。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纪检监察办案数量</w:t>
            </w:r>
          </w:p>
        </w:tc>
        <w:tc>
          <w:tcPr>
            <w:tcW w:w="5386" w:type="dxa"/>
            <w:vAlign w:val="center"/>
          </w:tcPr>
          <w:p>
            <w:pPr>
              <w:pStyle w:val="13"/>
            </w:pPr>
            <w:r>
              <w:t>纪检监察办案数量</w:t>
            </w:r>
          </w:p>
        </w:tc>
        <w:tc>
          <w:tcPr>
            <w:tcW w:w="2268" w:type="dxa"/>
            <w:vAlign w:val="center"/>
          </w:tcPr>
          <w:p>
            <w:pPr>
              <w:pStyle w:val="13"/>
            </w:pPr>
            <w:r>
              <w:t>≥10个</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业务装备采购及时性</w:t>
            </w:r>
          </w:p>
        </w:tc>
        <w:tc>
          <w:tcPr>
            <w:tcW w:w="5386" w:type="dxa"/>
            <w:vAlign w:val="center"/>
          </w:tcPr>
          <w:p>
            <w:pPr>
              <w:pStyle w:val="13"/>
            </w:pPr>
            <w:r>
              <w:t>业务装备采购及时性</w:t>
            </w:r>
          </w:p>
        </w:tc>
        <w:tc>
          <w:tcPr>
            <w:tcW w:w="2268" w:type="dxa"/>
            <w:vAlign w:val="center"/>
          </w:tcPr>
          <w:p>
            <w:pPr>
              <w:pStyle w:val="13"/>
            </w:pPr>
            <w:r>
              <w:t>及时响应</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业务装备采购合格率</w:t>
            </w:r>
          </w:p>
        </w:tc>
        <w:tc>
          <w:tcPr>
            <w:tcW w:w="5386" w:type="dxa"/>
            <w:vAlign w:val="center"/>
          </w:tcPr>
          <w:p>
            <w:pPr>
              <w:pStyle w:val="13"/>
            </w:pPr>
            <w:r>
              <w:t>业务装备采购合格率</w:t>
            </w:r>
          </w:p>
        </w:tc>
        <w:tc>
          <w:tcPr>
            <w:tcW w:w="2268" w:type="dxa"/>
            <w:vAlign w:val="center"/>
          </w:tcPr>
          <w:p>
            <w:pPr>
              <w:pStyle w:val="13"/>
            </w:pPr>
            <w:r>
              <w:t>≥96%</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严格控制上限</w:t>
            </w:r>
          </w:p>
        </w:tc>
        <w:tc>
          <w:tcPr>
            <w:tcW w:w="5386" w:type="dxa"/>
            <w:vAlign w:val="center"/>
          </w:tcPr>
          <w:p>
            <w:pPr>
              <w:pStyle w:val="13"/>
            </w:pPr>
            <w:r>
              <w:t>严格控制上限</w:t>
            </w:r>
          </w:p>
        </w:tc>
        <w:tc>
          <w:tcPr>
            <w:tcW w:w="2268" w:type="dxa"/>
            <w:vAlign w:val="center"/>
          </w:tcPr>
          <w:p>
            <w:pPr>
              <w:pStyle w:val="13"/>
            </w:pPr>
            <w:r>
              <w:t>控制上限</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促进改善办案条件，提升纪检监察履职</w:t>
            </w:r>
          </w:p>
        </w:tc>
        <w:tc>
          <w:tcPr>
            <w:tcW w:w="5386" w:type="dxa"/>
            <w:vAlign w:val="center"/>
          </w:tcPr>
          <w:p>
            <w:pPr>
              <w:pStyle w:val="13"/>
            </w:pPr>
            <w:r>
              <w:t>促进改善办案条件，提升纪检监察履职</w:t>
            </w:r>
          </w:p>
        </w:tc>
        <w:tc>
          <w:tcPr>
            <w:tcW w:w="2268" w:type="dxa"/>
            <w:vAlign w:val="center"/>
          </w:tcPr>
          <w:p>
            <w:pPr>
              <w:pStyle w:val="13"/>
            </w:pPr>
            <w:r>
              <w:t>良好</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为经济发展提供良好环境</w:t>
            </w:r>
          </w:p>
        </w:tc>
        <w:tc>
          <w:tcPr>
            <w:tcW w:w="5386" w:type="dxa"/>
            <w:vAlign w:val="center"/>
          </w:tcPr>
          <w:p>
            <w:pPr>
              <w:pStyle w:val="13"/>
            </w:pPr>
            <w:r>
              <w:t>为经济发展提供良好环境</w:t>
            </w:r>
          </w:p>
        </w:tc>
        <w:tc>
          <w:tcPr>
            <w:tcW w:w="2268" w:type="dxa"/>
            <w:vAlign w:val="center"/>
          </w:tcPr>
          <w:p>
            <w:pPr>
              <w:pStyle w:val="13"/>
            </w:pPr>
            <w:r>
              <w:t>良好</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办案人员满意度</w:t>
            </w:r>
          </w:p>
        </w:tc>
        <w:tc>
          <w:tcPr>
            <w:tcW w:w="5386" w:type="dxa"/>
            <w:vAlign w:val="center"/>
          </w:tcPr>
          <w:p>
            <w:pPr>
              <w:pStyle w:val="13"/>
            </w:pPr>
            <w:r>
              <w:t>办案人员满意度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中国共产党新乐市纪律检查委员会（含所属单位）上年末固定资产金额为2175.13万元（详见下表）。本年度拟购置固定资产总额为0.00万元，已按要求列入政府采购预算，详见政府采购预算表。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222中国共产党新乐市纪律检查委员会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2175.13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8386.06</w:t>
            </w:r>
          </w:p>
        </w:tc>
        <w:tc>
          <w:tcPr>
            <w:tcW w:w="2835" w:type="dxa"/>
            <w:vAlign w:val="center"/>
          </w:tcPr>
          <w:p>
            <w:pPr>
              <w:pStyle w:val="12"/>
            </w:pPr>
            <w:r>
              <w:t>1682.91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8386.06</w:t>
            </w:r>
          </w:p>
        </w:tc>
        <w:tc>
          <w:tcPr>
            <w:tcW w:w="2835" w:type="dxa"/>
            <w:vAlign w:val="center"/>
          </w:tcPr>
          <w:p>
            <w:pPr>
              <w:pStyle w:val="12"/>
            </w:pPr>
            <w:r>
              <w:t>1682.91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9</w:t>
            </w:r>
          </w:p>
        </w:tc>
        <w:tc>
          <w:tcPr>
            <w:tcW w:w="2835" w:type="dxa"/>
            <w:vAlign w:val="center"/>
          </w:tcPr>
          <w:p>
            <w:pPr>
              <w:pStyle w:val="12"/>
            </w:pPr>
            <w:r>
              <w:t>127.92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1714</w:t>
            </w:r>
          </w:p>
        </w:tc>
        <w:tc>
          <w:tcPr>
            <w:tcW w:w="2835" w:type="dxa"/>
            <w:vAlign w:val="center"/>
          </w:tcPr>
          <w:p>
            <w:pPr>
              <w:pStyle w:val="12"/>
            </w:pPr>
            <w:r>
              <w:t>364.30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黑体">
    <w:altName w:val="宋体"/>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119534B"/>
    <w:rsid w:val="5210359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2</TotalTime>
  <ScaleCrop>false</ScaleCrop>
  <LinksUpToDate>false</LinksUpToDate>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2026-04-14T09:56:00Z</dcterms:created>
  <dc:creator>Administrator</dc:creator>
  <cp:lastModifiedBy>Administrator</cp:lastModifiedBy>
  <dcterms:modified xsi:type="dcterms:W3CDTF">2026-04-14T02:00:53Z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C8E868D78E84403691D8D6ED84753A92</vt:lpwstr>
  </property>
</Properties>
</file>