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333新乐市住房和城乡建设局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2305.09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5652.50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454.02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8657.97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1644.29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17518.60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7957.59</w:t>
            </w:r>
          </w:p>
        </w:tc>
        <w:tc>
          <w:tcPr>
            <w:tcW w:w="4535" w:type="dxa"/>
            <w:vAlign w:val="center"/>
          </w:tcPr>
          <w:p>
            <w:pPr>
              <w:pStyle w:val="15"/>
            </w:pPr>
            <w:r>
              <w:t>本年支出合计</w:t>
            </w:r>
          </w:p>
        </w:tc>
        <w:tc>
          <w:tcPr>
            <w:tcW w:w="2126" w:type="dxa"/>
            <w:vAlign w:val="center"/>
          </w:tcPr>
          <w:p>
            <w:pPr>
              <w:pStyle w:val="16"/>
            </w:pPr>
            <w:r>
              <w:t>28565.19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20607.60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28565.19</w:t>
            </w:r>
          </w:p>
        </w:tc>
        <w:tc>
          <w:tcPr>
            <w:tcW w:w="4535" w:type="dxa"/>
            <w:vAlign w:val="center"/>
          </w:tcPr>
          <w:p>
            <w:pPr>
              <w:pStyle w:val="15"/>
            </w:pPr>
            <w:r>
              <w:t>支出总计</w:t>
            </w:r>
          </w:p>
        </w:tc>
        <w:tc>
          <w:tcPr>
            <w:tcW w:w="2126" w:type="dxa"/>
            <w:vAlign w:val="center"/>
          </w:tcPr>
          <w:p>
            <w:pPr>
              <w:pStyle w:val="16"/>
            </w:pPr>
            <w:r>
              <w:t>28565.19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333新乐市住房和城乡建设局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28565.19</w:t>
            </w:r>
          </w:p>
        </w:tc>
        <w:tc>
          <w:tcPr>
            <w:tcW w:w="1134" w:type="dxa"/>
            <w:vAlign w:val="center"/>
          </w:tcPr>
          <w:p>
            <w:pPr>
              <w:pStyle w:val="16"/>
            </w:pPr>
            <w:r>
              <w:t>7957.59</w:t>
            </w:r>
          </w:p>
        </w:tc>
        <w:tc>
          <w:tcPr>
            <w:tcW w:w="1134" w:type="dxa"/>
            <w:vAlign w:val="center"/>
          </w:tcPr>
          <w:p>
            <w:pPr>
              <w:pStyle w:val="16"/>
            </w:pPr>
            <w:r>
              <w:t>7957.59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20607.60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0.68</w:t>
            </w:r>
          </w:p>
        </w:tc>
        <w:tc>
          <w:tcPr>
            <w:tcW w:w="1134" w:type="dxa"/>
            <w:vAlign w:val="center"/>
          </w:tcPr>
          <w:p>
            <w:pPr>
              <w:pStyle w:val="12"/>
            </w:pPr>
            <w:r>
              <w:t>0.68</w:t>
            </w:r>
          </w:p>
        </w:tc>
        <w:tc>
          <w:tcPr>
            <w:tcW w:w="1134" w:type="dxa"/>
            <w:vAlign w:val="center"/>
          </w:tcPr>
          <w:p>
            <w:pPr>
              <w:pStyle w:val="12"/>
            </w:pPr>
            <w:r>
              <w:t>0.68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0.68</w:t>
            </w:r>
          </w:p>
        </w:tc>
        <w:tc>
          <w:tcPr>
            <w:tcW w:w="1134" w:type="dxa"/>
            <w:vAlign w:val="center"/>
          </w:tcPr>
          <w:p>
            <w:pPr>
              <w:pStyle w:val="12"/>
            </w:pPr>
            <w:r>
              <w:t>0.68</w:t>
            </w:r>
          </w:p>
        </w:tc>
        <w:tc>
          <w:tcPr>
            <w:tcW w:w="1134" w:type="dxa"/>
            <w:vAlign w:val="center"/>
          </w:tcPr>
          <w:p>
            <w:pPr>
              <w:pStyle w:val="12"/>
            </w:pPr>
            <w:r>
              <w:t>0.68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2050803</w:t>
            </w:r>
          </w:p>
        </w:tc>
        <w:tc>
          <w:tcPr>
            <w:tcW w:w="1559" w:type="dxa"/>
            <w:vAlign w:val="center"/>
          </w:tcPr>
          <w:p>
            <w:pPr>
              <w:pStyle w:val="13"/>
            </w:pPr>
            <w:r>
              <w:t>培训支出</w:t>
            </w:r>
          </w:p>
        </w:tc>
        <w:tc>
          <w:tcPr>
            <w:tcW w:w="1134" w:type="dxa"/>
            <w:vAlign w:val="center"/>
          </w:tcPr>
          <w:p>
            <w:pPr>
              <w:pStyle w:val="12"/>
            </w:pPr>
            <w:r>
              <w:t>0.68</w:t>
            </w:r>
          </w:p>
        </w:tc>
        <w:tc>
          <w:tcPr>
            <w:tcW w:w="1134" w:type="dxa"/>
            <w:vAlign w:val="center"/>
          </w:tcPr>
          <w:p>
            <w:pPr>
              <w:pStyle w:val="12"/>
            </w:pPr>
            <w:r>
              <w:t>0.68</w:t>
            </w:r>
          </w:p>
        </w:tc>
        <w:tc>
          <w:tcPr>
            <w:tcW w:w="1134" w:type="dxa"/>
            <w:vAlign w:val="center"/>
          </w:tcPr>
          <w:p>
            <w:pPr>
              <w:pStyle w:val="12"/>
            </w:pPr>
            <w:r>
              <w:t>0.68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454.02</w:t>
            </w:r>
          </w:p>
        </w:tc>
        <w:tc>
          <w:tcPr>
            <w:tcW w:w="1134" w:type="dxa"/>
            <w:vAlign w:val="center"/>
          </w:tcPr>
          <w:p>
            <w:pPr>
              <w:pStyle w:val="12"/>
            </w:pPr>
            <w:r>
              <w:t>454.02</w:t>
            </w:r>
          </w:p>
        </w:tc>
        <w:tc>
          <w:tcPr>
            <w:tcW w:w="1134" w:type="dxa"/>
            <w:vAlign w:val="center"/>
          </w:tcPr>
          <w:p>
            <w:pPr>
              <w:pStyle w:val="12"/>
            </w:pPr>
            <w:r>
              <w:t>454.02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434.85</w:t>
            </w:r>
          </w:p>
        </w:tc>
        <w:tc>
          <w:tcPr>
            <w:tcW w:w="1134" w:type="dxa"/>
            <w:vAlign w:val="center"/>
          </w:tcPr>
          <w:p>
            <w:pPr>
              <w:pStyle w:val="12"/>
            </w:pPr>
            <w:r>
              <w:t>434.85</w:t>
            </w:r>
          </w:p>
        </w:tc>
        <w:tc>
          <w:tcPr>
            <w:tcW w:w="1134" w:type="dxa"/>
            <w:vAlign w:val="center"/>
          </w:tcPr>
          <w:p>
            <w:pPr>
              <w:pStyle w:val="12"/>
            </w:pPr>
            <w:r>
              <w:t>434.85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188.94</w:t>
            </w:r>
          </w:p>
        </w:tc>
        <w:tc>
          <w:tcPr>
            <w:tcW w:w="1134" w:type="dxa"/>
            <w:vAlign w:val="center"/>
          </w:tcPr>
          <w:p>
            <w:pPr>
              <w:pStyle w:val="12"/>
            </w:pPr>
            <w:r>
              <w:t>188.94</w:t>
            </w:r>
          </w:p>
        </w:tc>
        <w:tc>
          <w:tcPr>
            <w:tcW w:w="1134" w:type="dxa"/>
            <w:vAlign w:val="center"/>
          </w:tcPr>
          <w:p>
            <w:pPr>
              <w:pStyle w:val="12"/>
            </w:pPr>
            <w:r>
              <w:t>188.94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150.64</w:t>
            </w:r>
          </w:p>
        </w:tc>
        <w:tc>
          <w:tcPr>
            <w:tcW w:w="1134" w:type="dxa"/>
            <w:vAlign w:val="center"/>
          </w:tcPr>
          <w:p>
            <w:pPr>
              <w:pStyle w:val="12"/>
            </w:pPr>
            <w:r>
              <w:t>150.64</w:t>
            </w:r>
          </w:p>
        </w:tc>
        <w:tc>
          <w:tcPr>
            <w:tcW w:w="1134" w:type="dxa"/>
            <w:vAlign w:val="center"/>
          </w:tcPr>
          <w:p>
            <w:pPr>
              <w:pStyle w:val="12"/>
            </w:pPr>
            <w:r>
              <w:t>150.64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95.27</w:t>
            </w:r>
          </w:p>
        </w:tc>
        <w:tc>
          <w:tcPr>
            <w:tcW w:w="1134" w:type="dxa"/>
            <w:vAlign w:val="center"/>
          </w:tcPr>
          <w:p>
            <w:pPr>
              <w:pStyle w:val="12"/>
            </w:pPr>
            <w:r>
              <w:t>95.27</w:t>
            </w:r>
          </w:p>
        </w:tc>
        <w:tc>
          <w:tcPr>
            <w:tcW w:w="1134" w:type="dxa"/>
            <w:vAlign w:val="center"/>
          </w:tcPr>
          <w:p>
            <w:pPr>
              <w:pStyle w:val="12"/>
            </w:pPr>
            <w:r>
              <w:t>95.27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8.06</w:t>
            </w:r>
          </w:p>
        </w:tc>
        <w:tc>
          <w:tcPr>
            <w:tcW w:w="1134" w:type="dxa"/>
            <w:vAlign w:val="center"/>
          </w:tcPr>
          <w:p>
            <w:pPr>
              <w:pStyle w:val="12"/>
            </w:pPr>
            <w:r>
              <w:t>8.06</w:t>
            </w:r>
          </w:p>
        </w:tc>
        <w:tc>
          <w:tcPr>
            <w:tcW w:w="1134" w:type="dxa"/>
            <w:vAlign w:val="center"/>
          </w:tcPr>
          <w:p>
            <w:pPr>
              <w:pStyle w:val="12"/>
            </w:pPr>
            <w:r>
              <w:t>8.06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3.17</w:t>
            </w:r>
          </w:p>
        </w:tc>
        <w:tc>
          <w:tcPr>
            <w:tcW w:w="1134" w:type="dxa"/>
            <w:vAlign w:val="center"/>
          </w:tcPr>
          <w:p>
            <w:pPr>
              <w:pStyle w:val="12"/>
            </w:pPr>
            <w:r>
              <w:t>3.17</w:t>
            </w:r>
          </w:p>
        </w:tc>
        <w:tc>
          <w:tcPr>
            <w:tcW w:w="1134" w:type="dxa"/>
            <w:vAlign w:val="center"/>
          </w:tcPr>
          <w:p>
            <w:pPr>
              <w:pStyle w:val="12"/>
            </w:pPr>
            <w:r>
              <w:t>3.17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2080802</w:t>
            </w:r>
          </w:p>
        </w:tc>
        <w:tc>
          <w:tcPr>
            <w:tcW w:w="1559" w:type="dxa"/>
            <w:vAlign w:val="center"/>
          </w:tcPr>
          <w:p>
            <w:pPr>
              <w:pStyle w:val="13"/>
            </w:pPr>
            <w:r>
              <w:t>伤残抚恤</w:t>
            </w:r>
          </w:p>
        </w:tc>
        <w:tc>
          <w:tcPr>
            <w:tcW w:w="1134" w:type="dxa"/>
            <w:vAlign w:val="center"/>
          </w:tcPr>
          <w:p>
            <w:pPr>
              <w:pStyle w:val="12"/>
            </w:pPr>
            <w:r>
              <w:t>4.89</w:t>
            </w:r>
          </w:p>
        </w:tc>
        <w:tc>
          <w:tcPr>
            <w:tcW w:w="1134" w:type="dxa"/>
            <w:vAlign w:val="center"/>
          </w:tcPr>
          <w:p>
            <w:pPr>
              <w:pStyle w:val="12"/>
            </w:pPr>
            <w:r>
              <w:t>4.89</w:t>
            </w:r>
          </w:p>
        </w:tc>
        <w:tc>
          <w:tcPr>
            <w:tcW w:w="1134" w:type="dxa"/>
            <w:vAlign w:val="center"/>
          </w:tcPr>
          <w:p>
            <w:pPr>
              <w:pStyle w:val="12"/>
            </w:pPr>
            <w:r>
              <w:t>4.89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11.11</w:t>
            </w:r>
          </w:p>
        </w:tc>
        <w:tc>
          <w:tcPr>
            <w:tcW w:w="1134" w:type="dxa"/>
            <w:vAlign w:val="center"/>
          </w:tcPr>
          <w:p>
            <w:pPr>
              <w:pStyle w:val="12"/>
            </w:pPr>
            <w:r>
              <w:t>11.11</w:t>
            </w:r>
          </w:p>
        </w:tc>
        <w:tc>
          <w:tcPr>
            <w:tcW w:w="1134" w:type="dxa"/>
            <w:vAlign w:val="center"/>
          </w:tcPr>
          <w:p>
            <w:pPr>
              <w:pStyle w:val="12"/>
            </w:pPr>
            <w:r>
              <w:t>11.11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11.11</w:t>
            </w:r>
          </w:p>
        </w:tc>
        <w:tc>
          <w:tcPr>
            <w:tcW w:w="1134" w:type="dxa"/>
            <w:vAlign w:val="center"/>
          </w:tcPr>
          <w:p>
            <w:pPr>
              <w:pStyle w:val="12"/>
            </w:pPr>
            <w:r>
              <w:t>11.11</w:t>
            </w:r>
          </w:p>
        </w:tc>
        <w:tc>
          <w:tcPr>
            <w:tcW w:w="1134" w:type="dxa"/>
            <w:vAlign w:val="center"/>
          </w:tcPr>
          <w:p>
            <w:pPr>
              <w:pStyle w:val="12"/>
            </w:pPr>
            <w:r>
              <w:t>11.11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70.63</w:t>
            </w:r>
          </w:p>
        </w:tc>
        <w:tc>
          <w:tcPr>
            <w:tcW w:w="1134" w:type="dxa"/>
            <w:vAlign w:val="center"/>
          </w:tcPr>
          <w:p>
            <w:pPr>
              <w:pStyle w:val="12"/>
            </w:pPr>
            <w:r>
              <w:t>70.63</w:t>
            </w:r>
          </w:p>
        </w:tc>
        <w:tc>
          <w:tcPr>
            <w:tcW w:w="1134" w:type="dxa"/>
            <w:vAlign w:val="center"/>
          </w:tcPr>
          <w:p>
            <w:pPr>
              <w:pStyle w:val="12"/>
            </w:pPr>
            <w:r>
              <w:t>70.63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70.63</w:t>
            </w:r>
          </w:p>
        </w:tc>
        <w:tc>
          <w:tcPr>
            <w:tcW w:w="1134" w:type="dxa"/>
            <w:vAlign w:val="center"/>
          </w:tcPr>
          <w:p>
            <w:pPr>
              <w:pStyle w:val="12"/>
            </w:pPr>
            <w:r>
              <w:t>70.63</w:t>
            </w:r>
          </w:p>
        </w:tc>
        <w:tc>
          <w:tcPr>
            <w:tcW w:w="1134" w:type="dxa"/>
            <w:vAlign w:val="center"/>
          </w:tcPr>
          <w:p>
            <w:pPr>
              <w:pStyle w:val="12"/>
            </w:pPr>
            <w:r>
              <w:t>70.63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70.63</w:t>
            </w:r>
          </w:p>
        </w:tc>
        <w:tc>
          <w:tcPr>
            <w:tcW w:w="1134" w:type="dxa"/>
            <w:vAlign w:val="center"/>
          </w:tcPr>
          <w:p>
            <w:pPr>
              <w:pStyle w:val="12"/>
            </w:pPr>
            <w:r>
              <w:t>70.63</w:t>
            </w:r>
          </w:p>
        </w:tc>
        <w:tc>
          <w:tcPr>
            <w:tcW w:w="1134" w:type="dxa"/>
            <w:vAlign w:val="center"/>
          </w:tcPr>
          <w:p>
            <w:pPr>
              <w:pStyle w:val="12"/>
            </w:pPr>
            <w:r>
              <w:t>70.63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8657.97</w:t>
            </w:r>
          </w:p>
        </w:tc>
        <w:tc>
          <w:tcPr>
            <w:tcW w:w="1134" w:type="dxa"/>
            <w:vAlign w:val="center"/>
          </w:tcPr>
          <w:p>
            <w:pPr>
              <w:pStyle w:val="12"/>
            </w:pPr>
            <w:r>
              <w:t>7107.97</w:t>
            </w:r>
          </w:p>
        </w:tc>
        <w:tc>
          <w:tcPr>
            <w:tcW w:w="1134" w:type="dxa"/>
            <w:vAlign w:val="center"/>
          </w:tcPr>
          <w:p>
            <w:pPr>
              <w:pStyle w:val="12"/>
            </w:pPr>
            <w:r>
              <w:t>7107.97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1435.47</w:t>
            </w:r>
          </w:p>
        </w:tc>
        <w:tc>
          <w:tcPr>
            <w:tcW w:w="1134" w:type="dxa"/>
            <w:vAlign w:val="center"/>
          </w:tcPr>
          <w:p>
            <w:pPr>
              <w:pStyle w:val="12"/>
            </w:pPr>
            <w:r>
              <w:t>1435.47</w:t>
            </w:r>
          </w:p>
        </w:tc>
        <w:tc>
          <w:tcPr>
            <w:tcW w:w="1134" w:type="dxa"/>
            <w:vAlign w:val="center"/>
          </w:tcPr>
          <w:p>
            <w:pPr>
              <w:pStyle w:val="12"/>
            </w:pPr>
            <w:r>
              <w:t>1435.47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1435.47</w:t>
            </w:r>
          </w:p>
        </w:tc>
        <w:tc>
          <w:tcPr>
            <w:tcW w:w="1134" w:type="dxa"/>
            <w:vAlign w:val="center"/>
          </w:tcPr>
          <w:p>
            <w:pPr>
              <w:pStyle w:val="12"/>
            </w:pPr>
            <w:r>
              <w:t>1435.47</w:t>
            </w:r>
          </w:p>
        </w:tc>
        <w:tc>
          <w:tcPr>
            <w:tcW w:w="1134" w:type="dxa"/>
            <w:vAlign w:val="center"/>
          </w:tcPr>
          <w:p>
            <w:pPr>
              <w:pStyle w:val="12"/>
            </w:pPr>
            <w:r>
              <w:t>1435.47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1570.00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1570.00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5652.50</w:t>
            </w:r>
          </w:p>
        </w:tc>
        <w:tc>
          <w:tcPr>
            <w:tcW w:w="1134" w:type="dxa"/>
            <w:vAlign w:val="center"/>
          </w:tcPr>
          <w:p>
            <w:pPr>
              <w:pStyle w:val="12"/>
            </w:pPr>
            <w:r>
              <w:t>5652.50</w:t>
            </w:r>
          </w:p>
        </w:tc>
        <w:tc>
          <w:tcPr>
            <w:tcW w:w="1134" w:type="dxa"/>
            <w:vAlign w:val="center"/>
          </w:tcPr>
          <w:p>
            <w:pPr>
              <w:pStyle w:val="12"/>
            </w:pPr>
            <w:r>
              <w:t>5652.50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500.00</w:t>
            </w:r>
          </w:p>
        </w:tc>
        <w:tc>
          <w:tcPr>
            <w:tcW w:w="1134" w:type="dxa"/>
            <w:vAlign w:val="center"/>
          </w:tcPr>
          <w:p>
            <w:pPr>
              <w:pStyle w:val="12"/>
            </w:pPr>
            <w:r>
              <w:t>500.00</w:t>
            </w:r>
          </w:p>
        </w:tc>
        <w:tc>
          <w:tcPr>
            <w:tcW w:w="1134" w:type="dxa"/>
            <w:vAlign w:val="center"/>
          </w:tcPr>
          <w:p>
            <w:pPr>
              <w:pStyle w:val="12"/>
            </w:pPr>
            <w:r>
              <w:t>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2120810</w:t>
            </w:r>
          </w:p>
        </w:tc>
        <w:tc>
          <w:tcPr>
            <w:tcW w:w="1559" w:type="dxa"/>
            <w:vAlign w:val="center"/>
          </w:tcPr>
          <w:p>
            <w:pPr>
              <w:pStyle w:val="13"/>
            </w:pPr>
            <w:r>
              <w:t>棚户区改造支出</w:t>
            </w:r>
          </w:p>
        </w:tc>
        <w:tc>
          <w:tcPr>
            <w:tcW w:w="1134" w:type="dxa"/>
            <w:vAlign w:val="center"/>
          </w:tcPr>
          <w:p>
            <w:pPr>
              <w:pStyle w:val="12"/>
            </w:pPr>
            <w:r>
              <w:t>5152.50</w:t>
            </w:r>
          </w:p>
        </w:tc>
        <w:tc>
          <w:tcPr>
            <w:tcW w:w="1134" w:type="dxa"/>
            <w:vAlign w:val="center"/>
          </w:tcPr>
          <w:p>
            <w:pPr>
              <w:pStyle w:val="12"/>
            </w:pPr>
            <w:r>
              <w:t>5152.50</w:t>
            </w:r>
          </w:p>
        </w:tc>
        <w:tc>
          <w:tcPr>
            <w:tcW w:w="1134" w:type="dxa"/>
            <w:vAlign w:val="center"/>
          </w:tcPr>
          <w:p>
            <w:pPr>
              <w:pStyle w:val="12"/>
            </w:pPr>
            <w:r>
              <w:t>5152.50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219.00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219.00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219.00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1644.29</w:t>
            </w:r>
          </w:p>
        </w:tc>
        <w:tc>
          <w:tcPr>
            <w:tcW w:w="1134" w:type="dxa"/>
            <w:vAlign w:val="center"/>
          </w:tcPr>
          <w:p>
            <w:pPr>
              <w:pStyle w:val="12"/>
            </w:pPr>
            <w:r>
              <w:t>144.29</w:t>
            </w:r>
          </w:p>
        </w:tc>
        <w:tc>
          <w:tcPr>
            <w:tcW w:w="1134" w:type="dxa"/>
            <w:vAlign w:val="center"/>
          </w:tcPr>
          <w:p>
            <w:pPr>
              <w:pStyle w:val="12"/>
            </w:pPr>
            <w:r>
              <w:t>144.29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22101</w:t>
            </w:r>
          </w:p>
        </w:tc>
        <w:tc>
          <w:tcPr>
            <w:tcW w:w="1559" w:type="dxa"/>
            <w:vAlign w:val="center"/>
          </w:tcPr>
          <w:p>
            <w:pPr>
              <w:pStyle w:val="13"/>
            </w:pPr>
            <w:r>
              <w:t>保障性安居工程支出</w:t>
            </w:r>
          </w:p>
        </w:tc>
        <w:tc>
          <w:tcPr>
            <w:tcW w:w="1134" w:type="dxa"/>
            <w:vAlign w:val="center"/>
          </w:tcPr>
          <w:p>
            <w:pPr>
              <w:pStyle w:val="12"/>
            </w:pPr>
            <w:r>
              <w:t>1523.20</w:t>
            </w:r>
          </w:p>
        </w:tc>
        <w:tc>
          <w:tcPr>
            <w:tcW w:w="1134" w:type="dxa"/>
            <w:vAlign w:val="center"/>
          </w:tcPr>
          <w:p>
            <w:pPr>
              <w:pStyle w:val="12"/>
            </w:pPr>
            <w:r>
              <w:t>23.20</w:t>
            </w:r>
          </w:p>
        </w:tc>
        <w:tc>
          <w:tcPr>
            <w:tcW w:w="1134" w:type="dxa"/>
            <w:vAlign w:val="center"/>
          </w:tcPr>
          <w:p>
            <w:pPr>
              <w:pStyle w:val="12"/>
            </w:pPr>
            <w:r>
              <w:t>23.20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2210105</w:t>
            </w:r>
          </w:p>
        </w:tc>
        <w:tc>
          <w:tcPr>
            <w:tcW w:w="1559" w:type="dxa"/>
            <w:vAlign w:val="center"/>
          </w:tcPr>
          <w:p>
            <w:pPr>
              <w:pStyle w:val="13"/>
            </w:pPr>
            <w:r>
              <w:t>农村危房改造</w:t>
            </w:r>
          </w:p>
        </w:tc>
        <w:tc>
          <w:tcPr>
            <w:tcW w:w="1134" w:type="dxa"/>
            <w:vAlign w:val="center"/>
          </w:tcPr>
          <w:p>
            <w:pPr>
              <w:pStyle w:val="12"/>
            </w:pPr>
            <w:r>
              <w:t>22.20</w:t>
            </w:r>
          </w:p>
        </w:tc>
        <w:tc>
          <w:tcPr>
            <w:tcW w:w="1134" w:type="dxa"/>
            <w:vAlign w:val="center"/>
          </w:tcPr>
          <w:p>
            <w:pPr>
              <w:pStyle w:val="12"/>
            </w:pPr>
            <w:r>
              <w:t>22.20</w:t>
            </w:r>
          </w:p>
        </w:tc>
        <w:tc>
          <w:tcPr>
            <w:tcW w:w="1134" w:type="dxa"/>
            <w:vAlign w:val="center"/>
          </w:tcPr>
          <w:p>
            <w:pPr>
              <w:pStyle w:val="12"/>
            </w:pPr>
            <w:r>
              <w:t>22.20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2210108</w:t>
            </w:r>
          </w:p>
        </w:tc>
        <w:tc>
          <w:tcPr>
            <w:tcW w:w="1559" w:type="dxa"/>
            <w:vAlign w:val="center"/>
          </w:tcPr>
          <w:p>
            <w:pPr>
              <w:pStyle w:val="13"/>
            </w:pPr>
            <w:r>
              <w:t>老旧小区改造</w:t>
            </w:r>
          </w:p>
        </w:tc>
        <w:tc>
          <w:tcPr>
            <w:tcW w:w="1134" w:type="dxa"/>
            <w:vAlign w:val="center"/>
          </w:tcPr>
          <w:p>
            <w:pPr>
              <w:pStyle w:val="12"/>
            </w:pPr>
            <w:r>
              <w:t>1500.00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2210111</w:t>
            </w:r>
          </w:p>
        </w:tc>
        <w:tc>
          <w:tcPr>
            <w:tcW w:w="1559" w:type="dxa"/>
            <w:vAlign w:val="center"/>
          </w:tcPr>
          <w:p>
            <w:pPr>
              <w:pStyle w:val="13"/>
            </w:pPr>
            <w:r>
              <w:t>配租型住房保障</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121.09</w:t>
            </w:r>
          </w:p>
        </w:tc>
        <w:tc>
          <w:tcPr>
            <w:tcW w:w="1134" w:type="dxa"/>
            <w:vAlign w:val="center"/>
          </w:tcPr>
          <w:p>
            <w:pPr>
              <w:pStyle w:val="12"/>
            </w:pPr>
            <w:r>
              <w:t>121.09</w:t>
            </w:r>
          </w:p>
        </w:tc>
        <w:tc>
          <w:tcPr>
            <w:tcW w:w="1134" w:type="dxa"/>
            <w:vAlign w:val="center"/>
          </w:tcPr>
          <w:p>
            <w:pPr>
              <w:pStyle w:val="12"/>
            </w:pPr>
            <w:r>
              <w:t>121.09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121.09</w:t>
            </w:r>
          </w:p>
        </w:tc>
        <w:tc>
          <w:tcPr>
            <w:tcW w:w="1134" w:type="dxa"/>
            <w:vAlign w:val="center"/>
          </w:tcPr>
          <w:p>
            <w:pPr>
              <w:pStyle w:val="12"/>
            </w:pPr>
            <w:r>
              <w:t>121.09</w:t>
            </w:r>
          </w:p>
        </w:tc>
        <w:tc>
          <w:tcPr>
            <w:tcW w:w="1134" w:type="dxa"/>
            <w:vAlign w:val="center"/>
          </w:tcPr>
          <w:p>
            <w:pPr>
              <w:pStyle w:val="12"/>
            </w:pPr>
            <w:r>
              <w:t>121.09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17518.60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17518.60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17518.60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17518.60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17518.60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17518.60</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333新乐市住房和城乡建设局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28565.19</w:t>
            </w:r>
          </w:p>
        </w:tc>
        <w:tc>
          <w:tcPr>
            <w:tcW w:w="1361" w:type="dxa"/>
            <w:vAlign w:val="center"/>
          </w:tcPr>
          <w:p>
            <w:pPr>
              <w:pStyle w:val="16"/>
            </w:pPr>
            <w:r>
              <w:t>2061.89</w:t>
            </w:r>
          </w:p>
        </w:tc>
        <w:tc>
          <w:tcPr>
            <w:tcW w:w="1361" w:type="dxa"/>
            <w:vAlign w:val="center"/>
          </w:tcPr>
          <w:p>
            <w:pPr>
              <w:pStyle w:val="16"/>
            </w:pPr>
            <w:r>
              <w:t>26503.30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0.68</w:t>
            </w:r>
          </w:p>
        </w:tc>
        <w:tc>
          <w:tcPr>
            <w:tcW w:w="1361" w:type="dxa"/>
            <w:vAlign w:val="center"/>
          </w:tcPr>
          <w:p>
            <w:pPr>
              <w:pStyle w:val="12"/>
            </w:pPr>
            <w:r>
              <w:t>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0.68</w:t>
            </w:r>
          </w:p>
        </w:tc>
        <w:tc>
          <w:tcPr>
            <w:tcW w:w="1361" w:type="dxa"/>
            <w:vAlign w:val="center"/>
          </w:tcPr>
          <w:p>
            <w:pPr>
              <w:pStyle w:val="12"/>
            </w:pPr>
            <w:r>
              <w:t>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2050803</w:t>
            </w:r>
          </w:p>
        </w:tc>
        <w:tc>
          <w:tcPr>
            <w:tcW w:w="4535" w:type="dxa"/>
            <w:vAlign w:val="center"/>
          </w:tcPr>
          <w:p>
            <w:pPr>
              <w:pStyle w:val="13"/>
            </w:pPr>
            <w:r>
              <w:t>培训支出</w:t>
            </w:r>
          </w:p>
        </w:tc>
        <w:tc>
          <w:tcPr>
            <w:tcW w:w="1361" w:type="dxa"/>
            <w:vAlign w:val="center"/>
          </w:tcPr>
          <w:p>
            <w:pPr>
              <w:pStyle w:val="12"/>
            </w:pPr>
            <w:r>
              <w:t>0.68</w:t>
            </w:r>
          </w:p>
        </w:tc>
        <w:tc>
          <w:tcPr>
            <w:tcW w:w="1361" w:type="dxa"/>
            <w:vAlign w:val="center"/>
          </w:tcPr>
          <w:p>
            <w:pPr>
              <w:pStyle w:val="12"/>
            </w:pPr>
            <w:r>
              <w:t>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454.02</w:t>
            </w:r>
          </w:p>
        </w:tc>
        <w:tc>
          <w:tcPr>
            <w:tcW w:w="1361" w:type="dxa"/>
            <w:vAlign w:val="center"/>
          </w:tcPr>
          <w:p>
            <w:pPr>
              <w:pStyle w:val="12"/>
            </w:pPr>
            <w:r>
              <w:t>454.02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434.85</w:t>
            </w:r>
          </w:p>
        </w:tc>
        <w:tc>
          <w:tcPr>
            <w:tcW w:w="1361" w:type="dxa"/>
            <w:vAlign w:val="center"/>
          </w:tcPr>
          <w:p>
            <w:pPr>
              <w:pStyle w:val="12"/>
            </w:pPr>
            <w:r>
              <w:t>434.85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188.94</w:t>
            </w:r>
          </w:p>
        </w:tc>
        <w:tc>
          <w:tcPr>
            <w:tcW w:w="1361" w:type="dxa"/>
            <w:vAlign w:val="center"/>
          </w:tcPr>
          <w:p>
            <w:pPr>
              <w:pStyle w:val="12"/>
            </w:pPr>
            <w:r>
              <w:t>188.94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150.64</w:t>
            </w:r>
          </w:p>
        </w:tc>
        <w:tc>
          <w:tcPr>
            <w:tcW w:w="1361" w:type="dxa"/>
            <w:vAlign w:val="center"/>
          </w:tcPr>
          <w:p>
            <w:pPr>
              <w:pStyle w:val="12"/>
            </w:pPr>
            <w:r>
              <w:t>150.64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95.27</w:t>
            </w:r>
          </w:p>
        </w:tc>
        <w:tc>
          <w:tcPr>
            <w:tcW w:w="1361" w:type="dxa"/>
            <w:vAlign w:val="center"/>
          </w:tcPr>
          <w:p>
            <w:pPr>
              <w:pStyle w:val="12"/>
            </w:pPr>
            <w:r>
              <w:t>95.27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8.06</w:t>
            </w:r>
          </w:p>
        </w:tc>
        <w:tc>
          <w:tcPr>
            <w:tcW w:w="1361" w:type="dxa"/>
            <w:vAlign w:val="center"/>
          </w:tcPr>
          <w:p>
            <w:pPr>
              <w:pStyle w:val="12"/>
            </w:pPr>
            <w:r>
              <w:t>8.06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3.17</w:t>
            </w:r>
          </w:p>
        </w:tc>
        <w:tc>
          <w:tcPr>
            <w:tcW w:w="1361" w:type="dxa"/>
            <w:vAlign w:val="center"/>
          </w:tcPr>
          <w:p>
            <w:pPr>
              <w:pStyle w:val="12"/>
            </w:pPr>
            <w:r>
              <w:t>3.17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2080802</w:t>
            </w:r>
          </w:p>
        </w:tc>
        <w:tc>
          <w:tcPr>
            <w:tcW w:w="4535" w:type="dxa"/>
            <w:vAlign w:val="center"/>
          </w:tcPr>
          <w:p>
            <w:pPr>
              <w:pStyle w:val="13"/>
            </w:pPr>
            <w:r>
              <w:t>伤残抚恤</w:t>
            </w:r>
          </w:p>
        </w:tc>
        <w:tc>
          <w:tcPr>
            <w:tcW w:w="1361" w:type="dxa"/>
            <w:vAlign w:val="center"/>
          </w:tcPr>
          <w:p>
            <w:pPr>
              <w:pStyle w:val="12"/>
            </w:pPr>
            <w:r>
              <w:t>4.89</w:t>
            </w:r>
          </w:p>
        </w:tc>
        <w:tc>
          <w:tcPr>
            <w:tcW w:w="1361" w:type="dxa"/>
            <w:vAlign w:val="center"/>
          </w:tcPr>
          <w:p>
            <w:pPr>
              <w:pStyle w:val="12"/>
            </w:pPr>
            <w:r>
              <w:t>4.89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11.11</w:t>
            </w:r>
          </w:p>
        </w:tc>
        <w:tc>
          <w:tcPr>
            <w:tcW w:w="1361" w:type="dxa"/>
            <w:vAlign w:val="center"/>
          </w:tcPr>
          <w:p>
            <w:pPr>
              <w:pStyle w:val="12"/>
            </w:pPr>
            <w:r>
              <w:t>11.11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11.11</w:t>
            </w:r>
          </w:p>
        </w:tc>
        <w:tc>
          <w:tcPr>
            <w:tcW w:w="1361" w:type="dxa"/>
            <w:vAlign w:val="center"/>
          </w:tcPr>
          <w:p>
            <w:pPr>
              <w:pStyle w:val="12"/>
            </w:pPr>
            <w:r>
              <w:t>11.11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70.63</w:t>
            </w:r>
          </w:p>
        </w:tc>
        <w:tc>
          <w:tcPr>
            <w:tcW w:w="1361" w:type="dxa"/>
            <w:vAlign w:val="center"/>
          </w:tcPr>
          <w:p>
            <w:pPr>
              <w:pStyle w:val="12"/>
            </w:pPr>
            <w:r>
              <w:t>70.63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70.63</w:t>
            </w:r>
          </w:p>
        </w:tc>
        <w:tc>
          <w:tcPr>
            <w:tcW w:w="1361" w:type="dxa"/>
            <w:vAlign w:val="center"/>
          </w:tcPr>
          <w:p>
            <w:pPr>
              <w:pStyle w:val="12"/>
            </w:pPr>
            <w:r>
              <w:t>70.63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70.63</w:t>
            </w:r>
          </w:p>
        </w:tc>
        <w:tc>
          <w:tcPr>
            <w:tcW w:w="1361" w:type="dxa"/>
            <w:vAlign w:val="center"/>
          </w:tcPr>
          <w:p>
            <w:pPr>
              <w:pStyle w:val="12"/>
            </w:pPr>
            <w:r>
              <w:t>70.63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8657.97</w:t>
            </w:r>
          </w:p>
        </w:tc>
        <w:tc>
          <w:tcPr>
            <w:tcW w:w="1361" w:type="dxa"/>
            <w:vAlign w:val="center"/>
          </w:tcPr>
          <w:p>
            <w:pPr>
              <w:pStyle w:val="12"/>
            </w:pPr>
            <w:r>
              <w:t>1415.47</w:t>
            </w:r>
          </w:p>
        </w:tc>
        <w:tc>
          <w:tcPr>
            <w:tcW w:w="1361" w:type="dxa"/>
            <w:vAlign w:val="center"/>
          </w:tcPr>
          <w:p>
            <w:pPr>
              <w:pStyle w:val="12"/>
            </w:pPr>
            <w:r>
              <w:t>7242.50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1435.47</w:t>
            </w:r>
          </w:p>
        </w:tc>
        <w:tc>
          <w:tcPr>
            <w:tcW w:w="1361" w:type="dxa"/>
            <w:vAlign w:val="center"/>
          </w:tcPr>
          <w:p>
            <w:pPr>
              <w:pStyle w:val="12"/>
            </w:pPr>
            <w:r>
              <w:t>1415.47</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1435.47</w:t>
            </w:r>
          </w:p>
        </w:tc>
        <w:tc>
          <w:tcPr>
            <w:tcW w:w="1361" w:type="dxa"/>
            <w:vAlign w:val="center"/>
          </w:tcPr>
          <w:p>
            <w:pPr>
              <w:pStyle w:val="12"/>
            </w:pPr>
            <w:r>
              <w:t>1415.47</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1570.00</w:t>
            </w:r>
          </w:p>
        </w:tc>
        <w:tc>
          <w:tcPr>
            <w:tcW w:w="1361" w:type="dxa"/>
            <w:vAlign w:val="center"/>
          </w:tcPr>
          <w:p>
            <w:pPr>
              <w:pStyle w:val="12"/>
            </w:pPr>
          </w:p>
        </w:tc>
        <w:tc>
          <w:tcPr>
            <w:tcW w:w="1361" w:type="dxa"/>
            <w:vAlign w:val="center"/>
          </w:tcPr>
          <w:p>
            <w:pPr>
              <w:pStyle w:val="12"/>
            </w:pPr>
            <w:r>
              <w:t>1570.00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1570.00</w:t>
            </w:r>
          </w:p>
        </w:tc>
        <w:tc>
          <w:tcPr>
            <w:tcW w:w="1361" w:type="dxa"/>
            <w:vAlign w:val="center"/>
          </w:tcPr>
          <w:p>
            <w:pPr>
              <w:pStyle w:val="12"/>
            </w:pPr>
          </w:p>
        </w:tc>
        <w:tc>
          <w:tcPr>
            <w:tcW w:w="1361" w:type="dxa"/>
            <w:vAlign w:val="center"/>
          </w:tcPr>
          <w:p>
            <w:pPr>
              <w:pStyle w:val="12"/>
            </w:pPr>
            <w:r>
              <w:t>1570.00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5652.50</w:t>
            </w:r>
          </w:p>
        </w:tc>
        <w:tc>
          <w:tcPr>
            <w:tcW w:w="1361" w:type="dxa"/>
            <w:vAlign w:val="center"/>
          </w:tcPr>
          <w:p>
            <w:pPr>
              <w:pStyle w:val="12"/>
            </w:pPr>
          </w:p>
        </w:tc>
        <w:tc>
          <w:tcPr>
            <w:tcW w:w="1361" w:type="dxa"/>
            <w:vAlign w:val="center"/>
          </w:tcPr>
          <w:p>
            <w:pPr>
              <w:pStyle w:val="12"/>
            </w:pPr>
            <w:r>
              <w:t>5652.50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2120810</w:t>
            </w:r>
          </w:p>
        </w:tc>
        <w:tc>
          <w:tcPr>
            <w:tcW w:w="4535" w:type="dxa"/>
            <w:vAlign w:val="center"/>
          </w:tcPr>
          <w:p>
            <w:pPr>
              <w:pStyle w:val="13"/>
            </w:pPr>
            <w:r>
              <w:t>棚户区改造支出</w:t>
            </w:r>
          </w:p>
        </w:tc>
        <w:tc>
          <w:tcPr>
            <w:tcW w:w="1361" w:type="dxa"/>
            <w:vAlign w:val="center"/>
          </w:tcPr>
          <w:p>
            <w:pPr>
              <w:pStyle w:val="12"/>
            </w:pPr>
            <w:r>
              <w:t>5152.50</w:t>
            </w:r>
          </w:p>
        </w:tc>
        <w:tc>
          <w:tcPr>
            <w:tcW w:w="1361" w:type="dxa"/>
            <w:vAlign w:val="center"/>
          </w:tcPr>
          <w:p>
            <w:pPr>
              <w:pStyle w:val="12"/>
            </w:pPr>
          </w:p>
        </w:tc>
        <w:tc>
          <w:tcPr>
            <w:tcW w:w="1361" w:type="dxa"/>
            <w:vAlign w:val="center"/>
          </w:tcPr>
          <w:p>
            <w:pPr>
              <w:pStyle w:val="12"/>
            </w:pPr>
            <w:r>
              <w:t>5152.50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219.00</w:t>
            </w:r>
          </w:p>
        </w:tc>
        <w:tc>
          <w:tcPr>
            <w:tcW w:w="1361" w:type="dxa"/>
            <w:vAlign w:val="center"/>
          </w:tcPr>
          <w:p>
            <w:pPr>
              <w:pStyle w:val="12"/>
            </w:pPr>
          </w:p>
        </w:tc>
        <w:tc>
          <w:tcPr>
            <w:tcW w:w="1361" w:type="dxa"/>
            <w:vAlign w:val="center"/>
          </w:tcPr>
          <w:p>
            <w:pPr>
              <w:pStyle w:val="12"/>
            </w:pPr>
            <w:r>
              <w:t>219.00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219.00</w:t>
            </w:r>
          </w:p>
        </w:tc>
        <w:tc>
          <w:tcPr>
            <w:tcW w:w="1361" w:type="dxa"/>
            <w:vAlign w:val="center"/>
          </w:tcPr>
          <w:p>
            <w:pPr>
              <w:pStyle w:val="12"/>
            </w:pPr>
          </w:p>
        </w:tc>
        <w:tc>
          <w:tcPr>
            <w:tcW w:w="1361" w:type="dxa"/>
            <w:vAlign w:val="center"/>
          </w:tcPr>
          <w:p>
            <w:pPr>
              <w:pStyle w:val="12"/>
            </w:pPr>
            <w:r>
              <w:t>219.00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219.00</w:t>
            </w:r>
          </w:p>
        </w:tc>
        <w:tc>
          <w:tcPr>
            <w:tcW w:w="1361" w:type="dxa"/>
            <w:vAlign w:val="center"/>
          </w:tcPr>
          <w:p>
            <w:pPr>
              <w:pStyle w:val="12"/>
            </w:pPr>
          </w:p>
        </w:tc>
        <w:tc>
          <w:tcPr>
            <w:tcW w:w="1361" w:type="dxa"/>
            <w:vAlign w:val="center"/>
          </w:tcPr>
          <w:p>
            <w:pPr>
              <w:pStyle w:val="12"/>
            </w:pPr>
            <w:r>
              <w:t>219.00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1644.29</w:t>
            </w:r>
          </w:p>
        </w:tc>
        <w:tc>
          <w:tcPr>
            <w:tcW w:w="1361" w:type="dxa"/>
            <w:vAlign w:val="center"/>
          </w:tcPr>
          <w:p>
            <w:pPr>
              <w:pStyle w:val="12"/>
            </w:pPr>
            <w:r>
              <w:t>121.09</w:t>
            </w:r>
          </w:p>
        </w:tc>
        <w:tc>
          <w:tcPr>
            <w:tcW w:w="1361" w:type="dxa"/>
            <w:vAlign w:val="center"/>
          </w:tcPr>
          <w:p>
            <w:pPr>
              <w:pStyle w:val="12"/>
            </w:pPr>
            <w:r>
              <w:t>1523.20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22101</w:t>
            </w:r>
          </w:p>
        </w:tc>
        <w:tc>
          <w:tcPr>
            <w:tcW w:w="4535" w:type="dxa"/>
            <w:vAlign w:val="center"/>
          </w:tcPr>
          <w:p>
            <w:pPr>
              <w:pStyle w:val="13"/>
            </w:pPr>
            <w:r>
              <w:t>保障性安居工程支出</w:t>
            </w:r>
          </w:p>
        </w:tc>
        <w:tc>
          <w:tcPr>
            <w:tcW w:w="1361" w:type="dxa"/>
            <w:vAlign w:val="center"/>
          </w:tcPr>
          <w:p>
            <w:pPr>
              <w:pStyle w:val="12"/>
            </w:pPr>
            <w:r>
              <w:t>1523.20</w:t>
            </w:r>
          </w:p>
        </w:tc>
        <w:tc>
          <w:tcPr>
            <w:tcW w:w="1361" w:type="dxa"/>
            <w:vAlign w:val="center"/>
          </w:tcPr>
          <w:p>
            <w:pPr>
              <w:pStyle w:val="12"/>
            </w:pPr>
          </w:p>
        </w:tc>
        <w:tc>
          <w:tcPr>
            <w:tcW w:w="1361" w:type="dxa"/>
            <w:vAlign w:val="center"/>
          </w:tcPr>
          <w:p>
            <w:pPr>
              <w:pStyle w:val="12"/>
            </w:pPr>
            <w:r>
              <w:t>1523.20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2210105</w:t>
            </w:r>
          </w:p>
        </w:tc>
        <w:tc>
          <w:tcPr>
            <w:tcW w:w="4535" w:type="dxa"/>
            <w:vAlign w:val="center"/>
          </w:tcPr>
          <w:p>
            <w:pPr>
              <w:pStyle w:val="13"/>
            </w:pPr>
            <w:r>
              <w:t>农村危房改造</w:t>
            </w:r>
          </w:p>
        </w:tc>
        <w:tc>
          <w:tcPr>
            <w:tcW w:w="1361" w:type="dxa"/>
            <w:vAlign w:val="center"/>
          </w:tcPr>
          <w:p>
            <w:pPr>
              <w:pStyle w:val="12"/>
            </w:pPr>
            <w:r>
              <w:t>22.20</w:t>
            </w:r>
          </w:p>
        </w:tc>
        <w:tc>
          <w:tcPr>
            <w:tcW w:w="1361" w:type="dxa"/>
            <w:vAlign w:val="center"/>
          </w:tcPr>
          <w:p>
            <w:pPr>
              <w:pStyle w:val="12"/>
            </w:pPr>
          </w:p>
        </w:tc>
        <w:tc>
          <w:tcPr>
            <w:tcW w:w="1361" w:type="dxa"/>
            <w:vAlign w:val="center"/>
          </w:tcPr>
          <w:p>
            <w:pPr>
              <w:pStyle w:val="12"/>
            </w:pPr>
            <w:r>
              <w:t>22.20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2210108</w:t>
            </w:r>
          </w:p>
        </w:tc>
        <w:tc>
          <w:tcPr>
            <w:tcW w:w="4535" w:type="dxa"/>
            <w:vAlign w:val="center"/>
          </w:tcPr>
          <w:p>
            <w:pPr>
              <w:pStyle w:val="13"/>
            </w:pPr>
            <w:r>
              <w:t>老旧小区改造</w:t>
            </w: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2210111</w:t>
            </w:r>
          </w:p>
        </w:tc>
        <w:tc>
          <w:tcPr>
            <w:tcW w:w="4535" w:type="dxa"/>
            <w:vAlign w:val="center"/>
          </w:tcPr>
          <w:p>
            <w:pPr>
              <w:pStyle w:val="13"/>
            </w:pPr>
            <w:r>
              <w:t>配租型住房保障</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121.09</w:t>
            </w:r>
          </w:p>
        </w:tc>
        <w:tc>
          <w:tcPr>
            <w:tcW w:w="1361" w:type="dxa"/>
            <w:vAlign w:val="center"/>
          </w:tcPr>
          <w:p>
            <w:pPr>
              <w:pStyle w:val="12"/>
            </w:pPr>
            <w:r>
              <w:t>121.09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121.09</w:t>
            </w:r>
          </w:p>
        </w:tc>
        <w:tc>
          <w:tcPr>
            <w:tcW w:w="1361" w:type="dxa"/>
            <w:vAlign w:val="center"/>
          </w:tcPr>
          <w:p>
            <w:pPr>
              <w:pStyle w:val="12"/>
            </w:pPr>
            <w:r>
              <w:t>121.09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17518.60</w:t>
            </w:r>
          </w:p>
        </w:tc>
        <w:tc>
          <w:tcPr>
            <w:tcW w:w="1361" w:type="dxa"/>
            <w:vAlign w:val="center"/>
          </w:tcPr>
          <w:p>
            <w:pPr>
              <w:pStyle w:val="12"/>
            </w:pPr>
          </w:p>
        </w:tc>
        <w:tc>
          <w:tcPr>
            <w:tcW w:w="1361" w:type="dxa"/>
            <w:vAlign w:val="center"/>
          </w:tcPr>
          <w:p>
            <w:pPr>
              <w:pStyle w:val="12"/>
            </w:pPr>
            <w:r>
              <w:t>17518.60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17518.60</w:t>
            </w:r>
          </w:p>
        </w:tc>
        <w:tc>
          <w:tcPr>
            <w:tcW w:w="1361" w:type="dxa"/>
            <w:vAlign w:val="center"/>
          </w:tcPr>
          <w:p>
            <w:pPr>
              <w:pStyle w:val="12"/>
            </w:pPr>
          </w:p>
        </w:tc>
        <w:tc>
          <w:tcPr>
            <w:tcW w:w="1361" w:type="dxa"/>
            <w:vAlign w:val="center"/>
          </w:tcPr>
          <w:p>
            <w:pPr>
              <w:pStyle w:val="12"/>
            </w:pPr>
            <w:r>
              <w:t>17518.60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17518.60</w:t>
            </w:r>
          </w:p>
        </w:tc>
        <w:tc>
          <w:tcPr>
            <w:tcW w:w="1361" w:type="dxa"/>
            <w:vAlign w:val="center"/>
          </w:tcPr>
          <w:p>
            <w:pPr>
              <w:pStyle w:val="12"/>
            </w:pPr>
          </w:p>
        </w:tc>
        <w:tc>
          <w:tcPr>
            <w:tcW w:w="1361" w:type="dxa"/>
            <w:vAlign w:val="center"/>
          </w:tcPr>
          <w:p>
            <w:pPr>
              <w:pStyle w:val="12"/>
            </w:pPr>
            <w:r>
              <w:t>17518.60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333新乐市住房和城乡建设局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2305.09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5652.50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0.68</w:t>
            </w:r>
          </w:p>
        </w:tc>
        <w:tc>
          <w:tcPr>
            <w:tcW w:w="1474" w:type="dxa"/>
            <w:vAlign w:val="center"/>
          </w:tcPr>
          <w:p>
            <w:pPr>
              <w:pStyle w:val="12"/>
            </w:pPr>
            <w:r>
              <w:t>0.68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454.02</w:t>
            </w:r>
          </w:p>
        </w:tc>
        <w:tc>
          <w:tcPr>
            <w:tcW w:w="1474" w:type="dxa"/>
            <w:vAlign w:val="center"/>
          </w:tcPr>
          <w:p>
            <w:pPr>
              <w:pStyle w:val="12"/>
            </w:pPr>
            <w:r>
              <w:t>454.02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70.63</w:t>
            </w:r>
          </w:p>
        </w:tc>
        <w:tc>
          <w:tcPr>
            <w:tcW w:w="1474" w:type="dxa"/>
            <w:vAlign w:val="center"/>
          </w:tcPr>
          <w:p>
            <w:pPr>
              <w:pStyle w:val="12"/>
            </w:pPr>
            <w:r>
              <w:t>70.63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8657.97</w:t>
            </w:r>
          </w:p>
        </w:tc>
        <w:tc>
          <w:tcPr>
            <w:tcW w:w="1474" w:type="dxa"/>
            <w:vAlign w:val="center"/>
          </w:tcPr>
          <w:p>
            <w:pPr>
              <w:pStyle w:val="12"/>
            </w:pPr>
            <w:r>
              <w:t>3005.47</w:t>
            </w:r>
          </w:p>
        </w:tc>
        <w:tc>
          <w:tcPr>
            <w:tcW w:w="1474" w:type="dxa"/>
            <w:vAlign w:val="center"/>
          </w:tcPr>
          <w:p>
            <w:pPr>
              <w:pStyle w:val="12"/>
            </w:pPr>
            <w:r>
              <w:t>5652.50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219.00</w:t>
            </w:r>
          </w:p>
        </w:tc>
        <w:tc>
          <w:tcPr>
            <w:tcW w:w="1474" w:type="dxa"/>
            <w:vAlign w:val="center"/>
          </w:tcPr>
          <w:p>
            <w:pPr>
              <w:pStyle w:val="12"/>
            </w:pPr>
            <w:r>
              <w:t>219.00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1644.29</w:t>
            </w:r>
          </w:p>
        </w:tc>
        <w:tc>
          <w:tcPr>
            <w:tcW w:w="1474" w:type="dxa"/>
            <w:vAlign w:val="center"/>
          </w:tcPr>
          <w:p>
            <w:pPr>
              <w:pStyle w:val="12"/>
            </w:pPr>
            <w:r>
              <w:t>1644.29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17518.60</w:t>
            </w:r>
          </w:p>
        </w:tc>
        <w:tc>
          <w:tcPr>
            <w:tcW w:w="1474" w:type="dxa"/>
            <w:vAlign w:val="center"/>
          </w:tcPr>
          <w:p>
            <w:pPr>
              <w:pStyle w:val="12"/>
            </w:pPr>
          </w:p>
        </w:tc>
        <w:tc>
          <w:tcPr>
            <w:tcW w:w="1474" w:type="dxa"/>
            <w:vAlign w:val="center"/>
          </w:tcPr>
          <w:p>
            <w:pPr>
              <w:pStyle w:val="12"/>
            </w:pPr>
            <w:r>
              <w:t>17518.60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7957.59</w:t>
            </w:r>
          </w:p>
        </w:tc>
        <w:tc>
          <w:tcPr>
            <w:tcW w:w="3402" w:type="dxa"/>
            <w:vAlign w:val="center"/>
          </w:tcPr>
          <w:p>
            <w:pPr>
              <w:pStyle w:val="15"/>
            </w:pPr>
            <w:r>
              <w:t>本年支出合计</w:t>
            </w:r>
          </w:p>
        </w:tc>
        <w:tc>
          <w:tcPr>
            <w:tcW w:w="1474" w:type="dxa"/>
            <w:vAlign w:val="center"/>
          </w:tcPr>
          <w:p>
            <w:pPr>
              <w:pStyle w:val="16"/>
            </w:pPr>
            <w:r>
              <w:t>28565.19</w:t>
            </w:r>
          </w:p>
        </w:tc>
        <w:tc>
          <w:tcPr>
            <w:tcW w:w="1474" w:type="dxa"/>
            <w:vAlign w:val="center"/>
          </w:tcPr>
          <w:p>
            <w:pPr>
              <w:pStyle w:val="16"/>
            </w:pPr>
            <w:r>
              <w:t>5394.09</w:t>
            </w:r>
          </w:p>
        </w:tc>
        <w:tc>
          <w:tcPr>
            <w:tcW w:w="1474" w:type="dxa"/>
            <w:vAlign w:val="center"/>
          </w:tcPr>
          <w:p>
            <w:pPr>
              <w:pStyle w:val="16"/>
            </w:pPr>
            <w:r>
              <w:t>23171.10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20607.60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3089.00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17518.60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28565.19</w:t>
            </w:r>
          </w:p>
        </w:tc>
        <w:tc>
          <w:tcPr>
            <w:tcW w:w="3402" w:type="dxa"/>
            <w:vAlign w:val="center"/>
          </w:tcPr>
          <w:p>
            <w:pPr>
              <w:pStyle w:val="15"/>
            </w:pPr>
            <w:r>
              <w:t>支出总计</w:t>
            </w:r>
          </w:p>
        </w:tc>
        <w:tc>
          <w:tcPr>
            <w:tcW w:w="1474" w:type="dxa"/>
            <w:vAlign w:val="center"/>
          </w:tcPr>
          <w:p>
            <w:pPr>
              <w:pStyle w:val="16"/>
            </w:pPr>
            <w:r>
              <w:t>28565.19</w:t>
            </w:r>
          </w:p>
        </w:tc>
        <w:tc>
          <w:tcPr>
            <w:tcW w:w="1474" w:type="dxa"/>
            <w:vAlign w:val="center"/>
          </w:tcPr>
          <w:p>
            <w:pPr>
              <w:pStyle w:val="16"/>
            </w:pPr>
            <w:r>
              <w:t>5394.09</w:t>
            </w:r>
          </w:p>
        </w:tc>
        <w:tc>
          <w:tcPr>
            <w:tcW w:w="1474" w:type="dxa"/>
            <w:vAlign w:val="center"/>
          </w:tcPr>
          <w:p>
            <w:pPr>
              <w:pStyle w:val="16"/>
            </w:pPr>
            <w:r>
              <w:t>23171.10</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333新乐市住房和城乡建设局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5394.09</w:t>
            </w:r>
          </w:p>
        </w:tc>
        <w:tc>
          <w:tcPr>
            <w:tcW w:w="2551" w:type="dxa"/>
            <w:vAlign w:val="center"/>
          </w:tcPr>
          <w:p>
            <w:pPr>
              <w:pStyle w:val="16"/>
            </w:pPr>
            <w:r>
              <w:t>2061.89</w:t>
            </w:r>
          </w:p>
        </w:tc>
        <w:tc>
          <w:tcPr>
            <w:tcW w:w="2551" w:type="dxa"/>
            <w:vAlign w:val="center"/>
          </w:tcPr>
          <w:p>
            <w:pPr>
              <w:pStyle w:val="16"/>
            </w:pPr>
            <w:r>
              <w:t>3332.20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0.68</w:t>
            </w:r>
          </w:p>
        </w:tc>
        <w:tc>
          <w:tcPr>
            <w:tcW w:w="2551" w:type="dxa"/>
            <w:vAlign w:val="center"/>
          </w:tcPr>
          <w:p>
            <w:pPr>
              <w:pStyle w:val="12"/>
            </w:pPr>
            <w:r>
              <w:t>0.68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0.68</w:t>
            </w:r>
          </w:p>
        </w:tc>
        <w:tc>
          <w:tcPr>
            <w:tcW w:w="2551" w:type="dxa"/>
            <w:vAlign w:val="center"/>
          </w:tcPr>
          <w:p>
            <w:pPr>
              <w:pStyle w:val="12"/>
            </w:pPr>
            <w:r>
              <w:t>0.68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2050803</w:t>
            </w:r>
          </w:p>
        </w:tc>
        <w:tc>
          <w:tcPr>
            <w:tcW w:w="4535" w:type="dxa"/>
            <w:vAlign w:val="center"/>
          </w:tcPr>
          <w:p>
            <w:pPr>
              <w:pStyle w:val="13"/>
            </w:pPr>
            <w:r>
              <w:t>培训支出</w:t>
            </w:r>
          </w:p>
        </w:tc>
        <w:tc>
          <w:tcPr>
            <w:tcW w:w="2551" w:type="dxa"/>
            <w:vAlign w:val="center"/>
          </w:tcPr>
          <w:p>
            <w:pPr>
              <w:pStyle w:val="12"/>
            </w:pPr>
            <w:r>
              <w:t>0.68</w:t>
            </w:r>
          </w:p>
        </w:tc>
        <w:tc>
          <w:tcPr>
            <w:tcW w:w="2551" w:type="dxa"/>
            <w:vAlign w:val="center"/>
          </w:tcPr>
          <w:p>
            <w:pPr>
              <w:pStyle w:val="12"/>
            </w:pPr>
            <w:r>
              <w:t>0.68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454.02</w:t>
            </w:r>
          </w:p>
        </w:tc>
        <w:tc>
          <w:tcPr>
            <w:tcW w:w="2551" w:type="dxa"/>
            <w:vAlign w:val="center"/>
          </w:tcPr>
          <w:p>
            <w:pPr>
              <w:pStyle w:val="12"/>
            </w:pPr>
            <w:r>
              <w:t>454.02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434.85</w:t>
            </w:r>
          </w:p>
        </w:tc>
        <w:tc>
          <w:tcPr>
            <w:tcW w:w="2551" w:type="dxa"/>
            <w:vAlign w:val="center"/>
          </w:tcPr>
          <w:p>
            <w:pPr>
              <w:pStyle w:val="12"/>
            </w:pPr>
            <w:r>
              <w:t>434.85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188.94</w:t>
            </w:r>
          </w:p>
        </w:tc>
        <w:tc>
          <w:tcPr>
            <w:tcW w:w="2551" w:type="dxa"/>
            <w:vAlign w:val="center"/>
          </w:tcPr>
          <w:p>
            <w:pPr>
              <w:pStyle w:val="12"/>
            </w:pPr>
            <w:r>
              <w:t>188.94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150.64</w:t>
            </w:r>
          </w:p>
        </w:tc>
        <w:tc>
          <w:tcPr>
            <w:tcW w:w="2551" w:type="dxa"/>
            <w:vAlign w:val="center"/>
          </w:tcPr>
          <w:p>
            <w:pPr>
              <w:pStyle w:val="12"/>
            </w:pPr>
            <w:r>
              <w:t>150.64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95.27</w:t>
            </w:r>
          </w:p>
        </w:tc>
        <w:tc>
          <w:tcPr>
            <w:tcW w:w="2551" w:type="dxa"/>
            <w:vAlign w:val="center"/>
          </w:tcPr>
          <w:p>
            <w:pPr>
              <w:pStyle w:val="12"/>
            </w:pPr>
            <w:r>
              <w:t>95.27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8.06</w:t>
            </w:r>
          </w:p>
        </w:tc>
        <w:tc>
          <w:tcPr>
            <w:tcW w:w="2551" w:type="dxa"/>
            <w:vAlign w:val="center"/>
          </w:tcPr>
          <w:p>
            <w:pPr>
              <w:pStyle w:val="12"/>
            </w:pPr>
            <w:r>
              <w:t>8.06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3.17</w:t>
            </w:r>
          </w:p>
        </w:tc>
        <w:tc>
          <w:tcPr>
            <w:tcW w:w="2551" w:type="dxa"/>
            <w:vAlign w:val="center"/>
          </w:tcPr>
          <w:p>
            <w:pPr>
              <w:pStyle w:val="12"/>
            </w:pPr>
            <w:r>
              <w:t>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2080802</w:t>
            </w:r>
          </w:p>
        </w:tc>
        <w:tc>
          <w:tcPr>
            <w:tcW w:w="4535" w:type="dxa"/>
            <w:vAlign w:val="center"/>
          </w:tcPr>
          <w:p>
            <w:pPr>
              <w:pStyle w:val="13"/>
            </w:pPr>
            <w:r>
              <w:t>伤残抚恤</w:t>
            </w:r>
          </w:p>
        </w:tc>
        <w:tc>
          <w:tcPr>
            <w:tcW w:w="2551" w:type="dxa"/>
            <w:vAlign w:val="center"/>
          </w:tcPr>
          <w:p>
            <w:pPr>
              <w:pStyle w:val="12"/>
            </w:pPr>
            <w:r>
              <w:t>4.89</w:t>
            </w:r>
          </w:p>
        </w:tc>
        <w:tc>
          <w:tcPr>
            <w:tcW w:w="2551" w:type="dxa"/>
            <w:vAlign w:val="center"/>
          </w:tcPr>
          <w:p>
            <w:pPr>
              <w:pStyle w:val="12"/>
            </w:pPr>
            <w:r>
              <w:t>4.89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11.11</w:t>
            </w:r>
          </w:p>
        </w:tc>
        <w:tc>
          <w:tcPr>
            <w:tcW w:w="2551" w:type="dxa"/>
            <w:vAlign w:val="center"/>
          </w:tcPr>
          <w:p>
            <w:pPr>
              <w:pStyle w:val="12"/>
            </w:pPr>
            <w:r>
              <w:t>11.11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11.11</w:t>
            </w:r>
          </w:p>
        </w:tc>
        <w:tc>
          <w:tcPr>
            <w:tcW w:w="2551" w:type="dxa"/>
            <w:vAlign w:val="center"/>
          </w:tcPr>
          <w:p>
            <w:pPr>
              <w:pStyle w:val="12"/>
            </w:pPr>
            <w:r>
              <w:t>11.11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70.63</w:t>
            </w:r>
          </w:p>
        </w:tc>
        <w:tc>
          <w:tcPr>
            <w:tcW w:w="2551" w:type="dxa"/>
            <w:vAlign w:val="center"/>
          </w:tcPr>
          <w:p>
            <w:pPr>
              <w:pStyle w:val="12"/>
            </w:pPr>
            <w:r>
              <w:t>70.63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70.63</w:t>
            </w:r>
          </w:p>
        </w:tc>
        <w:tc>
          <w:tcPr>
            <w:tcW w:w="2551" w:type="dxa"/>
            <w:vAlign w:val="center"/>
          </w:tcPr>
          <w:p>
            <w:pPr>
              <w:pStyle w:val="12"/>
            </w:pPr>
            <w:r>
              <w:t>70.63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70.63</w:t>
            </w:r>
          </w:p>
        </w:tc>
        <w:tc>
          <w:tcPr>
            <w:tcW w:w="2551" w:type="dxa"/>
            <w:vAlign w:val="center"/>
          </w:tcPr>
          <w:p>
            <w:pPr>
              <w:pStyle w:val="12"/>
            </w:pPr>
            <w:r>
              <w:t>70.63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3005.47</w:t>
            </w:r>
          </w:p>
        </w:tc>
        <w:tc>
          <w:tcPr>
            <w:tcW w:w="2551" w:type="dxa"/>
            <w:vAlign w:val="center"/>
          </w:tcPr>
          <w:p>
            <w:pPr>
              <w:pStyle w:val="12"/>
            </w:pPr>
            <w:r>
              <w:t>1415.47</w:t>
            </w:r>
          </w:p>
        </w:tc>
        <w:tc>
          <w:tcPr>
            <w:tcW w:w="2551" w:type="dxa"/>
            <w:vAlign w:val="center"/>
          </w:tcPr>
          <w:p>
            <w:pPr>
              <w:pStyle w:val="12"/>
            </w:pPr>
            <w:r>
              <w:t>1590.00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1435.47</w:t>
            </w:r>
          </w:p>
        </w:tc>
        <w:tc>
          <w:tcPr>
            <w:tcW w:w="2551" w:type="dxa"/>
            <w:vAlign w:val="center"/>
          </w:tcPr>
          <w:p>
            <w:pPr>
              <w:pStyle w:val="12"/>
            </w:pPr>
            <w:r>
              <w:t>1415.47</w:t>
            </w: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1435.47</w:t>
            </w:r>
          </w:p>
        </w:tc>
        <w:tc>
          <w:tcPr>
            <w:tcW w:w="2551" w:type="dxa"/>
            <w:vAlign w:val="center"/>
          </w:tcPr>
          <w:p>
            <w:pPr>
              <w:pStyle w:val="12"/>
            </w:pPr>
            <w:r>
              <w:t>1415.47</w:t>
            </w: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1570.00</w:t>
            </w:r>
          </w:p>
        </w:tc>
        <w:tc>
          <w:tcPr>
            <w:tcW w:w="2551" w:type="dxa"/>
            <w:vAlign w:val="center"/>
          </w:tcPr>
          <w:p>
            <w:pPr>
              <w:pStyle w:val="12"/>
            </w:pPr>
          </w:p>
        </w:tc>
        <w:tc>
          <w:tcPr>
            <w:tcW w:w="2551" w:type="dxa"/>
            <w:vAlign w:val="center"/>
          </w:tcPr>
          <w:p>
            <w:pPr>
              <w:pStyle w:val="12"/>
            </w:pPr>
            <w:r>
              <w:t>1570.00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1570.00</w:t>
            </w:r>
          </w:p>
        </w:tc>
        <w:tc>
          <w:tcPr>
            <w:tcW w:w="2551" w:type="dxa"/>
            <w:vAlign w:val="center"/>
          </w:tcPr>
          <w:p>
            <w:pPr>
              <w:pStyle w:val="12"/>
            </w:pPr>
          </w:p>
        </w:tc>
        <w:tc>
          <w:tcPr>
            <w:tcW w:w="2551" w:type="dxa"/>
            <w:vAlign w:val="center"/>
          </w:tcPr>
          <w:p>
            <w:pPr>
              <w:pStyle w:val="12"/>
            </w:pPr>
            <w:r>
              <w:t>1570.00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219.00</w:t>
            </w:r>
          </w:p>
        </w:tc>
        <w:tc>
          <w:tcPr>
            <w:tcW w:w="2551" w:type="dxa"/>
            <w:vAlign w:val="center"/>
          </w:tcPr>
          <w:p>
            <w:pPr>
              <w:pStyle w:val="12"/>
            </w:pPr>
          </w:p>
        </w:tc>
        <w:tc>
          <w:tcPr>
            <w:tcW w:w="2551" w:type="dxa"/>
            <w:vAlign w:val="center"/>
          </w:tcPr>
          <w:p>
            <w:pPr>
              <w:pStyle w:val="12"/>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219.00</w:t>
            </w:r>
          </w:p>
        </w:tc>
        <w:tc>
          <w:tcPr>
            <w:tcW w:w="2551" w:type="dxa"/>
            <w:vAlign w:val="center"/>
          </w:tcPr>
          <w:p>
            <w:pPr>
              <w:pStyle w:val="12"/>
            </w:pPr>
          </w:p>
        </w:tc>
        <w:tc>
          <w:tcPr>
            <w:tcW w:w="2551" w:type="dxa"/>
            <w:vAlign w:val="center"/>
          </w:tcPr>
          <w:p>
            <w:pPr>
              <w:pStyle w:val="12"/>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219.00</w:t>
            </w:r>
          </w:p>
        </w:tc>
        <w:tc>
          <w:tcPr>
            <w:tcW w:w="2551" w:type="dxa"/>
            <w:vAlign w:val="center"/>
          </w:tcPr>
          <w:p>
            <w:pPr>
              <w:pStyle w:val="12"/>
            </w:pPr>
          </w:p>
        </w:tc>
        <w:tc>
          <w:tcPr>
            <w:tcW w:w="2551" w:type="dxa"/>
            <w:vAlign w:val="center"/>
          </w:tcPr>
          <w:p>
            <w:pPr>
              <w:pStyle w:val="12"/>
            </w:pPr>
            <w:r>
              <w:t>219.00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1644.29</w:t>
            </w:r>
          </w:p>
        </w:tc>
        <w:tc>
          <w:tcPr>
            <w:tcW w:w="2551" w:type="dxa"/>
            <w:vAlign w:val="center"/>
          </w:tcPr>
          <w:p>
            <w:pPr>
              <w:pStyle w:val="12"/>
            </w:pPr>
            <w:r>
              <w:t>121.09</w:t>
            </w:r>
          </w:p>
        </w:tc>
        <w:tc>
          <w:tcPr>
            <w:tcW w:w="2551" w:type="dxa"/>
            <w:vAlign w:val="center"/>
          </w:tcPr>
          <w:p>
            <w:pPr>
              <w:pStyle w:val="12"/>
            </w:pPr>
            <w:r>
              <w:t>1523.20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22101</w:t>
            </w:r>
          </w:p>
        </w:tc>
        <w:tc>
          <w:tcPr>
            <w:tcW w:w="4535" w:type="dxa"/>
            <w:vAlign w:val="center"/>
          </w:tcPr>
          <w:p>
            <w:pPr>
              <w:pStyle w:val="13"/>
            </w:pPr>
            <w:r>
              <w:t>保障性安居工程支出</w:t>
            </w:r>
          </w:p>
        </w:tc>
        <w:tc>
          <w:tcPr>
            <w:tcW w:w="2551" w:type="dxa"/>
            <w:vAlign w:val="center"/>
          </w:tcPr>
          <w:p>
            <w:pPr>
              <w:pStyle w:val="12"/>
            </w:pPr>
            <w:r>
              <w:t>1523.20</w:t>
            </w:r>
          </w:p>
        </w:tc>
        <w:tc>
          <w:tcPr>
            <w:tcW w:w="2551" w:type="dxa"/>
            <w:vAlign w:val="center"/>
          </w:tcPr>
          <w:p>
            <w:pPr>
              <w:pStyle w:val="12"/>
            </w:pPr>
          </w:p>
        </w:tc>
        <w:tc>
          <w:tcPr>
            <w:tcW w:w="2551" w:type="dxa"/>
            <w:vAlign w:val="center"/>
          </w:tcPr>
          <w:p>
            <w:pPr>
              <w:pStyle w:val="12"/>
            </w:pPr>
            <w:r>
              <w:t>1523.20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2210105</w:t>
            </w:r>
          </w:p>
        </w:tc>
        <w:tc>
          <w:tcPr>
            <w:tcW w:w="4535" w:type="dxa"/>
            <w:vAlign w:val="center"/>
          </w:tcPr>
          <w:p>
            <w:pPr>
              <w:pStyle w:val="13"/>
            </w:pPr>
            <w:r>
              <w:t>农村危房改造</w:t>
            </w:r>
          </w:p>
        </w:tc>
        <w:tc>
          <w:tcPr>
            <w:tcW w:w="2551" w:type="dxa"/>
            <w:vAlign w:val="center"/>
          </w:tcPr>
          <w:p>
            <w:pPr>
              <w:pStyle w:val="12"/>
            </w:pPr>
            <w:r>
              <w:t>22.20</w:t>
            </w:r>
          </w:p>
        </w:tc>
        <w:tc>
          <w:tcPr>
            <w:tcW w:w="2551" w:type="dxa"/>
            <w:vAlign w:val="center"/>
          </w:tcPr>
          <w:p>
            <w:pPr>
              <w:pStyle w:val="12"/>
            </w:pPr>
          </w:p>
        </w:tc>
        <w:tc>
          <w:tcPr>
            <w:tcW w:w="2551" w:type="dxa"/>
            <w:vAlign w:val="center"/>
          </w:tcPr>
          <w:p>
            <w:pPr>
              <w:pStyle w:val="12"/>
            </w:pPr>
            <w:r>
              <w:t>22.20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2210108</w:t>
            </w:r>
          </w:p>
        </w:tc>
        <w:tc>
          <w:tcPr>
            <w:tcW w:w="4535" w:type="dxa"/>
            <w:vAlign w:val="center"/>
          </w:tcPr>
          <w:p>
            <w:pPr>
              <w:pStyle w:val="13"/>
            </w:pPr>
            <w:r>
              <w:t>老旧小区改造</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2210111</w:t>
            </w:r>
          </w:p>
        </w:tc>
        <w:tc>
          <w:tcPr>
            <w:tcW w:w="4535" w:type="dxa"/>
            <w:vAlign w:val="center"/>
          </w:tcPr>
          <w:p>
            <w:pPr>
              <w:pStyle w:val="13"/>
            </w:pPr>
            <w:r>
              <w:t>配租型住房保障</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121.09</w:t>
            </w:r>
          </w:p>
        </w:tc>
        <w:tc>
          <w:tcPr>
            <w:tcW w:w="2551" w:type="dxa"/>
            <w:vAlign w:val="center"/>
          </w:tcPr>
          <w:p>
            <w:pPr>
              <w:pStyle w:val="12"/>
            </w:pPr>
            <w:r>
              <w:t>121.09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121.09</w:t>
            </w:r>
          </w:p>
        </w:tc>
        <w:tc>
          <w:tcPr>
            <w:tcW w:w="2551" w:type="dxa"/>
            <w:vAlign w:val="center"/>
          </w:tcPr>
          <w:p>
            <w:pPr>
              <w:pStyle w:val="12"/>
            </w:pPr>
            <w:r>
              <w:t>121.09</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333新乐市住房和城乡建设局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2061.89</w:t>
            </w:r>
          </w:p>
        </w:tc>
        <w:tc>
          <w:tcPr>
            <w:tcW w:w="2551" w:type="dxa"/>
            <w:vAlign w:val="center"/>
          </w:tcPr>
          <w:p>
            <w:pPr>
              <w:pStyle w:val="16"/>
            </w:pPr>
            <w:r>
              <w:t>1970.93</w:t>
            </w:r>
          </w:p>
        </w:tc>
        <w:tc>
          <w:tcPr>
            <w:tcW w:w="2551" w:type="dxa"/>
            <w:vAlign w:val="center"/>
          </w:tcPr>
          <w:p>
            <w:pPr>
              <w:pStyle w:val="16"/>
            </w:pPr>
            <w:r>
              <w:t>90.96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1773.93</w:t>
            </w:r>
          </w:p>
        </w:tc>
        <w:tc>
          <w:tcPr>
            <w:tcW w:w="2551" w:type="dxa"/>
            <w:vAlign w:val="center"/>
          </w:tcPr>
          <w:p>
            <w:pPr>
              <w:pStyle w:val="12"/>
            </w:pPr>
            <w:r>
              <w:t>1773.93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579.44</w:t>
            </w:r>
          </w:p>
        </w:tc>
        <w:tc>
          <w:tcPr>
            <w:tcW w:w="2551" w:type="dxa"/>
            <w:vAlign w:val="center"/>
          </w:tcPr>
          <w:p>
            <w:pPr>
              <w:pStyle w:val="12"/>
            </w:pPr>
            <w:r>
              <w:t>579.44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100.15</w:t>
            </w:r>
          </w:p>
        </w:tc>
        <w:tc>
          <w:tcPr>
            <w:tcW w:w="2551" w:type="dxa"/>
            <w:vAlign w:val="center"/>
          </w:tcPr>
          <w:p>
            <w:pPr>
              <w:pStyle w:val="12"/>
            </w:pPr>
            <w:r>
              <w:t>100.15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28.99</w:t>
            </w:r>
          </w:p>
        </w:tc>
        <w:tc>
          <w:tcPr>
            <w:tcW w:w="2551" w:type="dxa"/>
            <w:vAlign w:val="center"/>
          </w:tcPr>
          <w:p>
            <w:pPr>
              <w:pStyle w:val="12"/>
            </w:pPr>
            <w:r>
              <w:t>28.99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362.05</w:t>
            </w:r>
          </w:p>
        </w:tc>
        <w:tc>
          <w:tcPr>
            <w:tcW w:w="2551" w:type="dxa"/>
            <w:vAlign w:val="center"/>
          </w:tcPr>
          <w:p>
            <w:pPr>
              <w:pStyle w:val="12"/>
            </w:pPr>
            <w:r>
              <w:t>362.05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150.64</w:t>
            </w:r>
          </w:p>
        </w:tc>
        <w:tc>
          <w:tcPr>
            <w:tcW w:w="2551" w:type="dxa"/>
            <w:vAlign w:val="center"/>
          </w:tcPr>
          <w:p>
            <w:pPr>
              <w:pStyle w:val="12"/>
            </w:pPr>
            <w:r>
              <w:t>150.64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95.27</w:t>
            </w:r>
          </w:p>
        </w:tc>
        <w:tc>
          <w:tcPr>
            <w:tcW w:w="2551" w:type="dxa"/>
            <w:vAlign w:val="center"/>
          </w:tcPr>
          <w:p>
            <w:pPr>
              <w:pStyle w:val="12"/>
            </w:pPr>
            <w:r>
              <w:t>95.27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70.63</w:t>
            </w:r>
          </w:p>
        </w:tc>
        <w:tc>
          <w:tcPr>
            <w:tcW w:w="2551" w:type="dxa"/>
            <w:vAlign w:val="center"/>
          </w:tcPr>
          <w:p>
            <w:pPr>
              <w:pStyle w:val="12"/>
            </w:pPr>
            <w:r>
              <w:t>70.63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11.11</w:t>
            </w:r>
          </w:p>
        </w:tc>
        <w:tc>
          <w:tcPr>
            <w:tcW w:w="2551" w:type="dxa"/>
            <w:vAlign w:val="center"/>
          </w:tcPr>
          <w:p>
            <w:pPr>
              <w:pStyle w:val="12"/>
            </w:pPr>
            <w:r>
              <w:t>11.11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121.09</w:t>
            </w:r>
          </w:p>
        </w:tc>
        <w:tc>
          <w:tcPr>
            <w:tcW w:w="2551" w:type="dxa"/>
            <w:vAlign w:val="center"/>
          </w:tcPr>
          <w:p>
            <w:pPr>
              <w:pStyle w:val="12"/>
            </w:pPr>
            <w:r>
              <w:t>121.09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254.56</w:t>
            </w:r>
          </w:p>
        </w:tc>
        <w:tc>
          <w:tcPr>
            <w:tcW w:w="2551" w:type="dxa"/>
            <w:vAlign w:val="center"/>
          </w:tcPr>
          <w:p>
            <w:pPr>
              <w:pStyle w:val="12"/>
            </w:pPr>
            <w:r>
              <w:t>254.56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90.96</w:t>
            </w:r>
          </w:p>
        </w:tc>
        <w:tc>
          <w:tcPr>
            <w:tcW w:w="2551" w:type="dxa"/>
            <w:vAlign w:val="center"/>
          </w:tcPr>
          <w:p>
            <w:pPr>
              <w:pStyle w:val="12"/>
            </w:pPr>
          </w:p>
        </w:tc>
        <w:tc>
          <w:tcPr>
            <w:tcW w:w="2551" w:type="dxa"/>
            <w:vAlign w:val="center"/>
          </w:tcPr>
          <w:p>
            <w:pPr>
              <w:pStyle w:val="12"/>
            </w:pPr>
            <w:r>
              <w:t>90.96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3.33</w:t>
            </w:r>
          </w:p>
        </w:tc>
        <w:tc>
          <w:tcPr>
            <w:tcW w:w="2551" w:type="dxa"/>
            <w:vAlign w:val="center"/>
          </w:tcPr>
          <w:p>
            <w:pPr>
              <w:pStyle w:val="12"/>
            </w:pPr>
          </w:p>
        </w:tc>
        <w:tc>
          <w:tcPr>
            <w:tcW w:w="2551" w:type="dxa"/>
            <w:vAlign w:val="center"/>
          </w:tcPr>
          <w:p>
            <w:pPr>
              <w:pStyle w:val="12"/>
            </w:pPr>
            <w: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9.18</w:t>
            </w:r>
          </w:p>
        </w:tc>
        <w:tc>
          <w:tcPr>
            <w:tcW w:w="2551" w:type="dxa"/>
            <w:vAlign w:val="center"/>
          </w:tcPr>
          <w:p>
            <w:pPr>
              <w:pStyle w:val="12"/>
            </w:pPr>
          </w:p>
        </w:tc>
        <w:tc>
          <w:tcPr>
            <w:tcW w:w="2551" w:type="dxa"/>
            <w:vAlign w:val="center"/>
          </w:tcPr>
          <w:p>
            <w:pPr>
              <w:pStyle w:val="12"/>
            </w:pPr>
            <w:r>
              <w:t>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10.90</w:t>
            </w:r>
          </w:p>
        </w:tc>
        <w:tc>
          <w:tcPr>
            <w:tcW w:w="2551" w:type="dxa"/>
            <w:vAlign w:val="center"/>
          </w:tcPr>
          <w:p>
            <w:pPr>
              <w:pStyle w:val="12"/>
            </w:pPr>
          </w:p>
        </w:tc>
        <w:tc>
          <w:tcPr>
            <w:tcW w:w="2551" w:type="dxa"/>
            <w:vAlign w:val="center"/>
          </w:tcPr>
          <w:p>
            <w:pPr>
              <w:pStyle w:val="12"/>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2.34</w:t>
            </w:r>
          </w:p>
        </w:tc>
        <w:tc>
          <w:tcPr>
            <w:tcW w:w="2551" w:type="dxa"/>
            <w:vAlign w:val="center"/>
          </w:tcPr>
          <w:p>
            <w:pPr>
              <w:pStyle w:val="12"/>
            </w:pPr>
          </w:p>
        </w:tc>
        <w:tc>
          <w:tcPr>
            <w:tcW w:w="2551" w:type="dxa"/>
            <w:vAlign w:val="center"/>
          </w:tcPr>
          <w:p>
            <w:pPr>
              <w:pStyle w:val="12"/>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0.76</w:t>
            </w:r>
          </w:p>
        </w:tc>
        <w:tc>
          <w:tcPr>
            <w:tcW w:w="2551" w:type="dxa"/>
            <w:vAlign w:val="center"/>
          </w:tcPr>
          <w:p>
            <w:pPr>
              <w:pStyle w:val="12"/>
            </w:pPr>
          </w:p>
        </w:tc>
        <w:tc>
          <w:tcPr>
            <w:tcW w:w="2551" w:type="dxa"/>
            <w:vAlign w:val="center"/>
          </w:tcPr>
          <w:p>
            <w:pPr>
              <w:pStyle w:val="12"/>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0.68</w:t>
            </w:r>
          </w:p>
        </w:tc>
        <w:tc>
          <w:tcPr>
            <w:tcW w:w="2551" w:type="dxa"/>
            <w:vAlign w:val="center"/>
          </w:tcPr>
          <w:p>
            <w:pPr>
              <w:pStyle w:val="12"/>
            </w:pPr>
          </w:p>
        </w:tc>
        <w:tc>
          <w:tcPr>
            <w:tcW w:w="2551" w:type="dxa"/>
            <w:vAlign w:val="center"/>
          </w:tcPr>
          <w:p>
            <w:pPr>
              <w:pStyle w:val="12"/>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12.85</w:t>
            </w:r>
          </w:p>
        </w:tc>
        <w:tc>
          <w:tcPr>
            <w:tcW w:w="2551" w:type="dxa"/>
            <w:vAlign w:val="center"/>
          </w:tcPr>
          <w:p>
            <w:pPr>
              <w:pStyle w:val="12"/>
            </w:pPr>
          </w:p>
        </w:tc>
        <w:tc>
          <w:tcPr>
            <w:tcW w:w="2551" w:type="dxa"/>
            <w:vAlign w:val="center"/>
          </w:tcPr>
          <w:p>
            <w:pPr>
              <w:pStyle w:val="12"/>
            </w:pPr>
            <w:r>
              <w:t>12.85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8.73</w:t>
            </w:r>
          </w:p>
        </w:tc>
        <w:tc>
          <w:tcPr>
            <w:tcW w:w="2551" w:type="dxa"/>
            <w:vAlign w:val="center"/>
          </w:tcPr>
          <w:p>
            <w:pPr>
              <w:pStyle w:val="12"/>
            </w:pPr>
          </w:p>
        </w:tc>
        <w:tc>
          <w:tcPr>
            <w:tcW w:w="2551" w:type="dxa"/>
            <w:vAlign w:val="center"/>
          </w:tcPr>
          <w:p>
            <w:pPr>
              <w:pStyle w:val="12"/>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8.76</w:t>
            </w:r>
          </w:p>
        </w:tc>
        <w:tc>
          <w:tcPr>
            <w:tcW w:w="2551" w:type="dxa"/>
            <w:vAlign w:val="center"/>
          </w:tcPr>
          <w:p>
            <w:pPr>
              <w:pStyle w:val="12"/>
            </w:pPr>
          </w:p>
        </w:tc>
        <w:tc>
          <w:tcPr>
            <w:tcW w:w="2551" w:type="dxa"/>
            <w:vAlign w:val="center"/>
          </w:tcPr>
          <w:p>
            <w:pPr>
              <w:pStyle w:val="12"/>
            </w:pPr>
            <w:r>
              <w:t>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29.83</w:t>
            </w:r>
          </w:p>
        </w:tc>
        <w:tc>
          <w:tcPr>
            <w:tcW w:w="2551" w:type="dxa"/>
            <w:vAlign w:val="center"/>
          </w:tcPr>
          <w:p>
            <w:pPr>
              <w:pStyle w:val="12"/>
            </w:pPr>
          </w:p>
        </w:tc>
        <w:tc>
          <w:tcPr>
            <w:tcW w:w="2551" w:type="dxa"/>
            <w:vAlign w:val="center"/>
          </w:tcPr>
          <w:p>
            <w:pPr>
              <w:pStyle w:val="12"/>
            </w:pPr>
            <w:r>
              <w:t>29.83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197.00</w:t>
            </w:r>
          </w:p>
        </w:tc>
        <w:tc>
          <w:tcPr>
            <w:tcW w:w="2551" w:type="dxa"/>
            <w:vAlign w:val="center"/>
          </w:tcPr>
          <w:p>
            <w:pPr>
              <w:pStyle w:val="12"/>
            </w:pPr>
            <w:r>
              <w:t>197.00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188.94</w:t>
            </w:r>
          </w:p>
        </w:tc>
        <w:tc>
          <w:tcPr>
            <w:tcW w:w="2551" w:type="dxa"/>
            <w:vAlign w:val="center"/>
          </w:tcPr>
          <w:p>
            <w:pPr>
              <w:pStyle w:val="12"/>
            </w:pPr>
            <w:r>
              <w:t>188.94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4.89</w:t>
            </w:r>
          </w:p>
        </w:tc>
        <w:tc>
          <w:tcPr>
            <w:tcW w:w="2551" w:type="dxa"/>
            <w:vAlign w:val="center"/>
          </w:tcPr>
          <w:p>
            <w:pPr>
              <w:pStyle w:val="12"/>
            </w:pPr>
            <w:r>
              <w:t>4.89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3.17</w:t>
            </w:r>
          </w:p>
        </w:tc>
        <w:tc>
          <w:tcPr>
            <w:tcW w:w="2551" w:type="dxa"/>
            <w:vAlign w:val="center"/>
          </w:tcPr>
          <w:p>
            <w:pPr>
              <w:pStyle w:val="12"/>
            </w:pPr>
            <w:r>
              <w:t>3.17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333新乐市住房和城乡建设局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23171.10</w:t>
            </w:r>
          </w:p>
        </w:tc>
        <w:tc>
          <w:tcPr>
            <w:tcW w:w="2551" w:type="dxa"/>
            <w:vAlign w:val="center"/>
          </w:tcPr>
          <w:p>
            <w:pPr>
              <w:pStyle w:val="16"/>
            </w:pPr>
          </w:p>
        </w:tc>
        <w:tc>
          <w:tcPr>
            <w:tcW w:w="2551" w:type="dxa"/>
            <w:vAlign w:val="center"/>
          </w:tcPr>
          <w:p>
            <w:pPr>
              <w:pStyle w:val="16"/>
            </w:pPr>
            <w:r>
              <w:t>23171.10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5652.50</w:t>
            </w:r>
          </w:p>
        </w:tc>
        <w:tc>
          <w:tcPr>
            <w:tcW w:w="2551" w:type="dxa"/>
            <w:vAlign w:val="center"/>
          </w:tcPr>
          <w:p>
            <w:pPr>
              <w:pStyle w:val="12"/>
            </w:pPr>
          </w:p>
        </w:tc>
        <w:tc>
          <w:tcPr>
            <w:tcW w:w="2551" w:type="dxa"/>
            <w:vAlign w:val="center"/>
          </w:tcPr>
          <w:p>
            <w:pPr>
              <w:pStyle w:val="12"/>
            </w:pPr>
            <w:r>
              <w:t>5652.50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5652.50</w:t>
            </w:r>
          </w:p>
        </w:tc>
        <w:tc>
          <w:tcPr>
            <w:tcW w:w="2551" w:type="dxa"/>
            <w:vAlign w:val="center"/>
          </w:tcPr>
          <w:p>
            <w:pPr>
              <w:pStyle w:val="12"/>
            </w:pPr>
          </w:p>
        </w:tc>
        <w:tc>
          <w:tcPr>
            <w:tcW w:w="2551" w:type="dxa"/>
            <w:vAlign w:val="center"/>
          </w:tcPr>
          <w:p>
            <w:pPr>
              <w:pStyle w:val="12"/>
            </w:pPr>
            <w:r>
              <w:t>5652.50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500.00</w:t>
            </w:r>
          </w:p>
        </w:tc>
        <w:tc>
          <w:tcPr>
            <w:tcW w:w="2551" w:type="dxa"/>
            <w:vAlign w:val="center"/>
          </w:tcPr>
          <w:p>
            <w:pPr>
              <w:pStyle w:val="12"/>
            </w:pPr>
          </w:p>
        </w:tc>
        <w:tc>
          <w:tcPr>
            <w:tcW w:w="2551" w:type="dxa"/>
            <w:vAlign w:val="center"/>
          </w:tcPr>
          <w:p>
            <w:pPr>
              <w:pStyle w:val="12"/>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2120810</w:t>
            </w:r>
          </w:p>
        </w:tc>
        <w:tc>
          <w:tcPr>
            <w:tcW w:w="4535" w:type="dxa"/>
            <w:vAlign w:val="center"/>
          </w:tcPr>
          <w:p>
            <w:pPr>
              <w:pStyle w:val="13"/>
            </w:pPr>
            <w:r>
              <w:t>棚户区改造支出</w:t>
            </w:r>
          </w:p>
        </w:tc>
        <w:tc>
          <w:tcPr>
            <w:tcW w:w="2551" w:type="dxa"/>
            <w:vAlign w:val="center"/>
          </w:tcPr>
          <w:p>
            <w:pPr>
              <w:pStyle w:val="12"/>
            </w:pPr>
            <w:r>
              <w:t>5152.50</w:t>
            </w:r>
          </w:p>
        </w:tc>
        <w:tc>
          <w:tcPr>
            <w:tcW w:w="2551" w:type="dxa"/>
            <w:vAlign w:val="center"/>
          </w:tcPr>
          <w:p>
            <w:pPr>
              <w:pStyle w:val="12"/>
            </w:pPr>
          </w:p>
        </w:tc>
        <w:tc>
          <w:tcPr>
            <w:tcW w:w="2551" w:type="dxa"/>
            <w:vAlign w:val="center"/>
          </w:tcPr>
          <w:p>
            <w:pPr>
              <w:pStyle w:val="12"/>
            </w:pPr>
            <w:r>
              <w:t>5152.50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17518.60</w:t>
            </w:r>
          </w:p>
        </w:tc>
        <w:tc>
          <w:tcPr>
            <w:tcW w:w="2551" w:type="dxa"/>
            <w:vAlign w:val="center"/>
          </w:tcPr>
          <w:p>
            <w:pPr>
              <w:pStyle w:val="12"/>
            </w:pPr>
          </w:p>
        </w:tc>
        <w:tc>
          <w:tcPr>
            <w:tcW w:w="2551" w:type="dxa"/>
            <w:vAlign w:val="center"/>
          </w:tcPr>
          <w:p>
            <w:pPr>
              <w:pStyle w:val="12"/>
            </w:pPr>
            <w:r>
              <w:t>17518.60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17518.60</w:t>
            </w:r>
          </w:p>
        </w:tc>
        <w:tc>
          <w:tcPr>
            <w:tcW w:w="2551" w:type="dxa"/>
            <w:vAlign w:val="center"/>
          </w:tcPr>
          <w:p>
            <w:pPr>
              <w:pStyle w:val="12"/>
            </w:pPr>
          </w:p>
        </w:tc>
        <w:tc>
          <w:tcPr>
            <w:tcW w:w="2551" w:type="dxa"/>
            <w:vAlign w:val="center"/>
          </w:tcPr>
          <w:p>
            <w:pPr>
              <w:pStyle w:val="12"/>
            </w:pPr>
            <w:r>
              <w:t>17518.60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17518.60</w:t>
            </w:r>
          </w:p>
        </w:tc>
        <w:tc>
          <w:tcPr>
            <w:tcW w:w="2551" w:type="dxa"/>
            <w:vAlign w:val="center"/>
          </w:tcPr>
          <w:p>
            <w:pPr>
              <w:pStyle w:val="12"/>
            </w:pPr>
          </w:p>
        </w:tc>
        <w:tc>
          <w:tcPr>
            <w:tcW w:w="2551" w:type="dxa"/>
            <w:vAlign w:val="center"/>
          </w:tcPr>
          <w:p>
            <w:pPr>
              <w:pStyle w:val="12"/>
            </w:pPr>
            <w:r>
              <w:t>17518.60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333新乐市住房和城乡建设局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333新乐市住房和城乡建设局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8.73</w:t>
            </w:r>
          </w:p>
        </w:tc>
        <w:tc>
          <w:tcPr>
            <w:tcW w:w="2381" w:type="dxa"/>
            <w:vAlign w:val="center"/>
          </w:tcPr>
          <w:p>
            <w:pPr>
              <w:pStyle w:val="16"/>
            </w:pPr>
            <w:r>
              <w:t>8.73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8.73</w:t>
            </w:r>
          </w:p>
        </w:tc>
        <w:tc>
          <w:tcPr>
            <w:tcW w:w="2381" w:type="dxa"/>
            <w:vAlign w:val="center"/>
          </w:tcPr>
          <w:p>
            <w:pPr>
              <w:pStyle w:val="12"/>
            </w:pPr>
            <w:r>
              <w:t>8.73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8.73</w:t>
            </w:r>
          </w:p>
        </w:tc>
        <w:tc>
          <w:tcPr>
            <w:tcW w:w="2381" w:type="dxa"/>
            <w:vAlign w:val="center"/>
          </w:tcPr>
          <w:p>
            <w:pPr>
              <w:pStyle w:val="12"/>
            </w:pPr>
            <w:r>
              <w:t>8.73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新乐市住房和城乡建设局2026年部门预算信息公开情况说明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新乐市住房和城乡建设局2026年部门预算信息公开情况说明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按照《中华人民共和国预算法》、《地方预决算公开操作规程》和《关于进一步推进预算公开工作的实施意见》规定，现将新乐市住房和城乡建设局2026年部门预算公开如下：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（一）贯彻执行国家和省、石家庄市住房城乡建设工作的方针、政策和法律、法规。拟订全市城乡建设发展规划并组织实施；研究提出住房城乡建设领域重大问题的政策建议。</w:t>
      </w:r>
    </w:p>
    <w:p>
      <w:pPr>
        <w:pStyle w:val="18"/>
      </w:pPr>
      <w:r>
        <w:t>（二）拟订城镇住房保障相关政策并组织实施；组织编制、实施城镇住房保障发展规划和年度计划；负责全市保障房配建工作；负责房改房、经济适用住房出售工作；会同有关部门做好中央和省、石家庄市保障性安居工程资金安排并监督实施。</w:t>
      </w:r>
    </w:p>
    <w:p>
      <w:pPr>
        <w:pStyle w:val="18"/>
      </w:pPr>
      <w:r>
        <w:t>（三）负责推进住房制度改革。拟订适合市情的住房政策，指导住房建设，推动住房制度改革；拟订住房建设发展规划并组织实施。</w:t>
      </w:r>
    </w:p>
    <w:p>
      <w:pPr>
        <w:pStyle w:val="18"/>
      </w:pPr>
      <w:r>
        <w:t>（四）负责全市房地产市场的监督管理。会同有关部门拟订房地产市场调控政策并监督执行；拟订房地产业行业发展规划、产业政策，制定房地产开发、房屋交易、房屋租赁、房地产估价与经纪管理的规章制度并监督实施。</w:t>
      </w:r>
    </w:p>
    <w:p>
      <w:pPr>
        <w:pStyle w:val="18"/>
      </w:pPr>
      <w:r>
        <w:t>（五）负责建筑市场的监督管理。拟订建筑市场发展规划和管理制度并监督实施；负责建筑劳务市场管理；负责建筑业企业、勘察设计企业、造价咨询企业、施工图设计文件审查机构、监理机构、检测机构和招投标代理机构的监督指导；负责施工图审查机构的监督管理；负责建设工程消防、人防设计相关工作的监督管理；参与编制地方建设工程量计量规则，收集发布工程材料、人工、机械设备使用等市场价格信息。</w:t>
      </w:r>
    </w:p>
    <w:p>
      <w:pPr>
        <w:pStyle w:val="18"/>
      </w:pPr>
      <w:r>
        <w:t>（六）统筹编制市区市政基础设施建设中长期发展规划，会同有关部门拟订市区城建计划并组织实施；负责组织实施市政府安排的市区市政基础设施建设工作（包括城市路网的新建、改建、扩建工程）。</w:t>
      </w:r>
    </w:p>
    <w:p>
      <w:pPr>
        <w:pStyle w:val="18"/>
      </w:pPr>
      <w:r>
        <w:t>（七）指导推进新型城镇化（国家新型城镇化综合试点）和乡镇建设工作。</w:t>
      </w:r>
    </w:p>
    <w:p>
      <w:pPr>
        <w:pStyle w:val="18"/>
      </w:pPr>
      <w:r>
        <w:t>（八）指导村镇建设工作。指导建制镇、集镇（乡）和村庄建设，指导乡村建筑风貌管控；指导农村住房建设、住房安全及危房改造；指导重点镇和特色小城镇建设工作；指导城建界以外的建制镇、集镇（乡）和村庄农村生活垃圾处理、生活污水处理工作；指导历史文化名城（镇、村）保护工作。</w:t>
      </w:r>
    </w:p>
    <w:p>
      <w:pPr>
        <w:pStyle w:val="18"/>
      </w:pPr>
      <w:r>
        <w:t>（九）负责建筑工程质量安全监督。监督实施建筑工程质量、施工安全、竣工验收政策和规章制度；组织实施工程建设实施阶段的国家标准及国家统一的行业标准；组织或参与工程质量、安全事故的调查。</w:t>
      </w:r>
    </w:p>
    <w:p>
      <w:pPr>
        <w:pStyle w:val="18"/>
      </w:pPr>
      <w:r>
        <w:t>（十）负责推进建筑节能工作。负责拟订建设行业科技、装配式建筑、绿色建筑发展规划和建筑节能管理制度并组织实施；指导和推动全市建筑节能减排、绿色建筑发展、墙体材料革新、既有居住建筑节能改造、可再生能源利用等工作。</w:t>
      </w:r>
    </w:p>
    <w:p>
      <w:pPr>
        <w:pStyle w:val="18"/>
      </w:pPr>
      <w:r>
        <w:t>（十一）拟订物业行业发展规划并组织实施；拟订物业行业管理办法，负责监督管理住宅专项维修资金的归集、使用工作；负责前期物业管理招投标备案及过程监管工作；指导监督全市老旧住宅小区整治工作；指导住宅室内装饰装修工作。</w:t>
      </w:r>
    </w:p>
    <w:p>
      <w:pPr>
        <w:pStyle w:val="18"/>
      </w:pPr>
      <w:r>
        <w:t>（十二）负责拟订国有土地上房屋征收、城市危房管理政策并组织实施；拟订市区国有土地上房屋征收计划，负责全市房屋征收工作；负责城市危房管理和城市危房鉴定工作；负责拟订城市棚户区改造规划、年度计划，制定城市棚户区改造政策并贯彻实施；完成市政府交办的“城中村”改造相关工作。</w:t>
      </w:r>
    </w:p>
    <w:p>
      <w:pPr>
        <w:pStyle w:val="18"/>
      </w:pPr>
      <w:r>
        <w:t>（十三）拟订地下综合管廊中长期建设计划，制定地下综合管廊运营、维护管理办法和配套措施；督导国家试点地下综合管廊建设工作，指导综合管廊运营和维护管理工作。</w:t>
      </w:r>
    </w:p>
    <w:p>
      <w:pPr>
        <w:pStyle w:val="18"/>
      </w:pPr>
      <w:r>
        <w:t>（十四）负责住房城乡建设行业的对外经济技术合作和引进、利用外资工作，指导建筑施工、房地产开发、勘察设计和物业管理等相关企业开拓国内外市场，负责协调建设企业参与对外工程承包、建筑劳务合作，指导全市建筑劳务输出工作。</w:t>
      </w:r>
    </w:p>
    <w:p>
      <w:pPr>
        <w:pStyle w:val="18"/>
      </w:pPr>
      <w:r>
        <w:t>（十五）负责住房和城乡建设行业人才队伍建设。</w:t>
      </w:r>
    </w:p>
    <w:p>
      <w:pPr>
        <w:pStyle w:val="18"/>
      </w:pPr>
      <w:r>
        <w:t>（十六）负责各类房屋建筑及其附属设施和城市市政设施建设工程的抗震设防监督管理。</w:t>
      </w:r>
    </w:p>
    <w:p>
      <w:pPr>
        <w:pStyle w:val="18"/>
      </w:pPr>
      <w:r>
        <w:t>（十七）负责城市建设档案监督管理工作。</w:t>
      </w:r>
    </w:p>
    <w:p>
      <w:pPr>
        <w:pStyle w:val="18"/>
      </w:pPr>
      <w:r>
        <w:t>（十八）会同有关部门做好支油、支铁建设协调工作。</w:t>
      </w:r>
    </w:p>
    <w:p>
      <w:pPr>
        <w:pStyle w:val="18"/>
      </w:pPr>
      <w:r>
        <w:t>（十九）负责直管公有住房的资产、售房款和售后维修资金的管理工作。</w:t>
      </w:r>
    </w:p>
    <w:p>
      <w:pPr>
        <w:pStyle w:val="18"/>
      </w:pPr>
      <w:r>
        <w:t>（二十）会同有关部门，做好城市建设行业涉及本部门的相关专业规划的编制和实施工作。</w:t>
      </w:r>
    </w:p>
    <w:p>
      <w:pPr>
        <w:pStyle w:val="18"/>
      </w:pPr>
      <w:r>
        <w:t>（二十一）负责住房城乡建设行业信息采集、整理、统计、分析、发布等工作。</w:t>
      </w:r>
    </w:p>
    <w:p>
      <w:pPr>
        <w:pStyle w:val="18"/>
      </w:pPr>
      <w:r>
        <w:t>（二十二）完成市政府交办的其他任务。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新乐市住房和城乡建设局本级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按照预算管理有关规定，目前部门预算的编制实行综合预算管理，即全部收入和支出都反映在预算中。新乐市住房和城乡建设局机关及所属事业单位的收支包含在部门预算中。</w:t>
      </w:r>
    </w:p>
    <w:p>
      <w:pPr>
        <w:pStyle w:val="19"/>
      </w:pPr>
      <w:r>
        <w:t>1、收入说明</w:t>
      </w:r>
    </w:p>
    <w:p>
      <w:pPr>
        <w:pStyle w:val="19"/>
      </w:pPr>
      <w:r>
        <w:t>反映本部门当年全部收入。2026年预算收入28565.19万元，其中：一般公共预算收入2305.09万元，基金预算收入5652.50万元，国有资本经营预算收入0.00万元，财政专户核拨收入0.00万元，单位资金收入0.00万元，上年结转结余20607.60万元。</w:t>
      </w:r>
    </w:p>
    <w:p>
      <w:pPr>
        <w:pStyle w:val="19"/>
      </w:pPr>
      <w:r>
        <w:t>2、支出说明</w:t>
      </w:r>
    </w:p>
    <w:p>
      <w:pPr>
        <w:pStyle w:val="19"/>
      </w:pPr>
      <w:r>
        <w:t>收支预算总表支出栏、基本支出表、项目支出表按经济分类和支出功能分类科目编制，反映新乐市住房和城乡建设局年度部门预算中支出预算的总体情况。2026年支出预算28565.19万元，其中基本支出2061.89万元，包括人员经费1970.93万元和日常公用经费90.96万元；项目支出26503.30万元，主要为冀财社【2025】146号--提前下达2026年省级财政保障性安居工程（农村危房改造）补助资金、冀财社【2025】122号--提前下达2026年中央财政农村危房改造补助资金、冀财农【2025】137号-提前下达2026年省级乡村振兴专项资金冀财综【2025】35号--提前下达2026年省级财政城镇保障性安居工程补助资金、堽头片区回迁房建设、长名宿舍、育才街宿舍棚户区改造项目、市政基础设施占地补偿款、市政建设项目（一般债券）、四馆一中心项目、停车设施建设项目、城市配电网建设项目及新建保障性住房工程等项目支出。；预计下年使用的单位资金结余0.00万元。委托业务费共计安排3.00万元，主要用于因技术原因确需对外委托的辅助性工作和确有必要对外委托开展咨询、评审、规划等工作。</w:t>
      </w:r>
    </w:p>
    <w:p>
      <w:pPr>
        <w:pStyle w:val="19"/>
      </w:pPr>
      <w:r>
        <w:t>3、比上年增减情况</w:t>
      </w:r>
    </w:p>
    <w:p>
      <w:pPr>
        <w:pStyle w:val="19"/>
      </w:pPr>
      <w:r>
        <w:t>2026年预算收支安排28565.19万元，较2025年预算增加15812.65万元，其中：基本支出增加131.58万元，主要为人员调入及正常工资保险增长。项目支出增加15681.07万元，主要为堽头片区回迁房建设、长名宿舍、育才街宿舍棚户区改造项目、城市配电网建设项目及新建保障性住房工程等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2026年，我部门机关运行经费共计安排90.96万元，主要用于日常维修、办公用房水电费、办公用房取暖费、办公用房物业管理费等日常运行支出。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8.73万元，其中因公出国（境）费0.00万元；公务用车购置及运维费8.73万元（其中：公务用车购置费为0.00万元，公务用车运维费8.73万元)；公务接待费0.00万元。与2025年相比减少0.27万元，增减变化的主要原因是严格落实中央八项规定、厉行节约反对浪费条例，坚持过紧日子，严控一般性支出，实行只减不增刚性要求。</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住建局将以“十五五”规划开局为契机，立足全市发展大局，以时不我待的紧迫感、舍我其谁的责任感、攻坚克难的精气神，勇挑城乡建设重担，争当民生保障先锋，奋力在城市更新提质、住房保障惠民、行业监管提效等重点工作上闯出新路子、展现新作为，为新乐高质量发展注入更多住建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1、深化城市更新行动，雕琢城市功能品质。</w:t>
      </w:r>
    </w:p>
    <w:p>
      <w:pPr>
        <w:pStyle w:val="23"/>
      </w:pPr>
      <w:r>
        <w:t>绩效目标：加快各项工程建设，不断完善城市功能、提升城市形象。</w:t>
      </w:r>
    </w:p>
    <w:p>
      <w:pPr>
        <w:pStyle w:val="23"/>
      </w:pPr>
      <w:r>
        <w:t>绩效指标：一是有序推进片区更新。加快伏羲大桥片区更新，待完成片区征地工作后，配合相关部门实施土地招拍挂，启动回迁安置区域建设，开展道路、绿化等配套基础设施建设；加大新化片区、燕赵商城片区拆迁力度，为实施片区综合改造奠定基础。二是完善城区路网体系。完成伏羲大桥辅路和雨水泵站建设，确保全面竣工；推进福苑路建设，争取尽快完工通车，为周边居民提供便捷交通条件；启动实施轻贸街（玉皇路-市四幼北侧）、兴新街（玉皇路-北城学校北侧）、玉皇路（鲜虞街-兴新街）、富强街（新市路-拥军路）、拥军路（鲜虞街-轻贸街）、轻贸街（新市路-玉皇路）、兴新街（新市路-玉皇路）道路工程，畅通北部路网；谋划实施京新大街、长杨路改造提升和金地街建设工程，拉大城市发展框架。三是推动重点项目建设。协调推进四馆一中心工程，争取场馆建设尽快完工；加快党校学员宿舍家具安装和西瓜小镇二次消防验收，完成项目收尾。实施城市配电网建设，推动强弱电网入地，确保居民用电安全。四是推进既有住宅提质。积极争取政策资金，精准对接群众需求，完成人事局宿舍等11部电梯进行更新改造，实施新幸家园4号楼、电力小区南楼、郦景名都临街楼9部电梯加装，对书香苑、元亨家园、烨京小区等小区屋面防水进行改造；结合上级政策，科学制定改造方案，有序推动2001-2010年建设的老旧小区改造，提升老旧小区居住品质。</w:t>
      </w:r>
    </w:p>
    <w:p>
      <w:pPr>
        <w:pStyle w:val="23"/>
      </w:pPr>
      <w:r>
        <w:t>2、巩固住房保障成果，提升群众幸福指数。</w:t>
      </w:r>
    </w:p>
    <w:p>
      <w:pPr>
        <w:pStyle w:val="23"/>
      </w:pPr>
      <w:r>
        <w:t>绩效目标：强化项目攻坚推进，大力推动民生工程、民心工程，提升人民幸福感、获得感。</w:t>
      </w:r>
    </w:p>
    <w:p>
      <w:pPr>
        <w:pStyle w:val="23"/>
      </w:pPr>
      <w:r>
        <w:t>绩效指标：一是推进保障房建设管理。加快四馆一中心北侧保障房建设，对156套公租房进行精细设计、精美装修，配备家具家电；督促6个租赁试点和保障性租赁住房项目建设，争取全部完工投用；结合上级政策，谋划专债收购商品房用作保障房项目，为低收入群体、外来务工人员及引进人才等群体提供居住保障。做好公租房日常巡查与动态管理，对清退的公租房做好再分配，确保公平公开。二是推进棚户区、城中村改造项目。有序推进已列入计划的棚户区改造项目，加强日常巡查监管，确保如期推进建设。积极对接上级部门，明确民生工程改造任务，对项目实行跟踪服务，确保完成年度改造任务。三是加强村镇建设管理。组织各乡镇（街道）对我市农村六类人群的住房安全情况进行排查，将新增的危房户及时纳入改造范围，加强技术指导，确保改造质量达标；做好自建房安全督导，确保“危房不进人”。推动农村住房品质提升，提高农房建设质量，建设一批宜居型示范农村住房。开展农村建筑垃圾治理，做好历史建筑保护。四是加强城区房屋安全管理。开展城市危旧房屋排查整治，严格把关工程质量，高标准完成55户城市危房改造，预防和杜绝汛期期间城市房屋安全事故发生。五是强化物业管理服务。深化物业服务行业监管，督导物业服务企业落实《新乐市住宅小区物业服务清单》，引导物业企业依法合规经营、公平有序竞争，提升物业服务水平。着力解决群众反映强烈的突出问题，减少矛盾纠纷，推动物业服务行业规范化、精细化、高质量发展。</w:t>
      </w:r>
    </w:p>
    <w:p>
      <w:pPr>
        <w:pStyle w:val="23"/>
      </w:pPr>
      <w:r>
        <w:t>3、加强行业监管，提升服务保障水平。</w:t>
      </w:r>
    </w:p>
    <w:p>
      <w:pPr>
        <w:pStyle w:val="23"/>
      </w:pPr>
      <w:r>
        <w:t>绩效目标：加强行业监管，建立完善建筑市场监管长效机制，提升服务保障水平。</w:t>
      </w:r>
    </w:p>
    <w:p>
      <w:pPr>
        <w:pStyle w:val="23"/>
      </w:pPr>
      <w:r>
        <w:t>绩效指标：一是加强房地产市场监管，加大对开发企业、经纪机构日常监督检查力度，严格整治违法违规行为，规范房地产市场秩序。强化房地产交易市场监管，按照规范、有序、合法的原则，做好网签合同备案工作。加快构建房地产发展新模式，多措并举推动房地产高质量发展。二是建立完善建筑市场监管长效机制，加强建筑市场秩序管理和监督检查，严厉查处建筑工程违法“三包一靠”行为，推进建筑市场监管工作效能提升。加强建筑企业资质核查，强化建筑工地实名制管理，妥善处理农民工欠薪问题，保障农民工工资支付。三是加强招投标与节能监管，落实全流程电子化和远程异地评标模式，遏制招投标不规范行为，促进我市招投标工作健康发展。严格执行新建建筑节能标准，做好建筑节能竣工备案工作，筹划编制《新乐市绿色建筑专项规划（2026-2030年）》。四是抓好矛盾风险化解处置，持续加大信访隐患排查化解力度，对涉房信访风险进行重点排查，确保不稳定因素排查到位、重点人员稳控到位、重点隐患防范到位，尽最大努力化解群众合理诉求，维护社会和谐稳定。</w:t>
      </w:r>
    </w:p>
    <w:p>
      <w:pPr>
        <w:pStyle w:val="23"/>
      </w:pPr>
      <w:r>
        <w:t>4、严格施工管理，确保施工质量与安全。</w:t>
      </w:r>
    </w:p>
    <w:p>
      <w:pPr>
        <w:pStyle w:val="23"/>
      </w:pPr>
      <w:r>
        <w:t>绩效目标：严格施工管理，确保施工质量与安全。</w:t>
      </w:r>
    </w:p>
    <w:p>
      <w:pPr>
        <w:pStyle w:val="23"/>
      </w:pPr>
      <w:r>
        <w:t>绩效指标：一是强化安全生产管理，落实新开工项目约谈警示、超危工程专家论证等制度，持续推进安全生产治本攻坚三年行动，排查整治各类安全隐患，落实“网格化”管理责任，做到检查“全覆盖”，隐患“零容忍”，提高工地安全管理水平，确保安全态势平稳。二是严把工程质量关口，全面落实建设工程质量责任制，加强主体结构、外墙保温材料、防水施工等关键环节监督管理，严格分户验收，指导项目责任主体做好各项易发问题防治措施，减少质量问题发生，提高住房品质，推动“好房子”建设。加强搅拌站管理，联合技术监督局开展联合检查，督促整改不合格企业。三是规范消防施工与验收，督促企业严格按图纸和规范施工，杜绝随意变更，提升建筑工程消防施工质量水平。强化消防设计审查验收管理，及时整改问题，确保项目顺利验收，防止工程竣工后形成新的问题。四是深化工地扬尘治理，开展专项整治，落实建筑、市政工程等各方主体责任，制定精细化管控治理措施，助力大气污染防治。</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1、进一步提高认识，强化主体责任。   紧紧围绕市委、市政府工作部署，强化项目攻坚推进，加快各项工程建设，不断完善城市功能、提升城市形象。充分认识做好城市建设的重要性，切实承担起我市城市建设工作的主体责任。坚持主要领导要亲自抓，坚持每月、周召开城市建设项目进展调度会，研究和探索城市建设工作新思路，解决影响在推进城市建设工作开展中的因素。 </w:t>
      </w:r>
    </w:p>
    <w:p>
      <w:pPr>
        <w:pStyle w:val="24"/>
      </w:pPr>
      <w:r>
        <w:t>2、按照任务要求，抓好各项工作落实。</w:t>
      </w:r>
    </w:p>
    <w:p>
      <w:pPr>
        <w:pStyle w:val="24"/>
      </w:pPr>
      <w:r>
        <w:t>将2025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pPr>
        <w:pStyle w:val="24"/>
      </w:pPr>
      <w:r>
        <w:t>3、抓好项目管理，提高管理水平。</w:t>
      </w:r>
    </w:p>
    <w:p>
      <w:pPr>
        <w:pStyle w:val="24"/>
      </w:pPr>
      <w:r>
        <w:t>进一步加强城市建设队伍思想政治素质，树立热爱城市、建设城市、奉献城市的高尚品质。多渠道进行人才培养，努力营造在创新实践中识别人才，在创新事业中凝聚人才的氛围，为发挥专业人才的作用积极创造条件，不断壮大城市建设力量，坚持依法建设，依法管理。</w:t>
      </w:r>
    </w:p>
    <w:p>
      <w:pPr>
        <w:pStyle w:val="24"/>
        <w:sectPr>
          <w:pgSz w:w="16840" w:h="11900" w:orient="landscape"/>
          <w:pgMar w:top="1361" w:right="1020" w:bottom="1361"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1、2022年本级支出-新乐市四馆一中心工程绩效目标表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13018422P00190610001G</w:t>
            </w:r>
          </w:p>
        </w:tc>
        <w:tc>
          <w:tcPr>
            <w:tcW w:w="2835" w:type="dxa"/>
            <w:vAlign w:val="center"/>
          </w:tcPr>
          <w:p>
            <w:pPr>
              <w:pStyle w:val="11"/>
            </w:pPr>
            <w:r>
              <w:t>项目名称</w:t>
            </w:r>
          </w:p>
        </w:tc>
        <w:tc>
          <w:tcPr>
            <w:tcW w:w="6095" w:type="dxa"/>
            <w:gridSpan w:val="3"/>
            <w:vAlign w:val="center"/>
          </w:tcPr>
          <w:p>
            <w:pPr>
              <w:pStyle w:val="13"/>
            </w:pPr>
            <w:r>
              <w:t>2022年本级支出-新乐市四馆一中心工程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6576.14</w:t>
            </w:r>
          </w:p>
        </w:tc>
        <w:tc>
          <w:tcPr>
            <w:tcW w:w="2835" w:type="dxa"/>
            <w:vAlign w:val="center"/>
          </w:tcPr>
          <w:p>
            <w:pPr>
              <w:pStyle w:val="11"/>
            </w:pPr>
            <w:r>
              <w:t>其中：财政    资金</w:t>
            </w:r>
          </w:p>
        </w:tc>
        <w:tc>
          <w:tcPr>
            <w:tcW w:w="2551" w:type="dxa"/>
            <w:vAlign w:val="center"/>
          </w:tcPr>
          <w:p>
            <w:pPr>
              <w:pStyle w:val="13"/>
            </w:pPr>
            <w:r>
              <w:t>6576.14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用于四馆一中心工程款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1.本项目到2023年12月底施工完毕,并投入使用.</w:t>
            </w:r>
          </w:p>
          <w:p>
            <w:pPr>
              <w:pStyle w:val="13"/>
            </w:pPr>
            <w:r>
              <w:t>2.保质保量完成工程建设并按期投用,努力提高全民健身水平.</w:t>
            </w:r>
          </w:p>
          <w:p>
            <w:pPr>
              <w:pStyle w:val="13"/>
            </w:pPr>
            <w:r>
              <w:t>3.保质保量完成项目建设,为提高人民群众文化生活做出贡献.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保障工程进度</w:t>
            </w:r>
          </w:p>
        </w:tc>
        <w:tc>
          <w:tcPr>
            <w:tcW w:w="5386" w:type="dxa"/>
            <w:vAlign w:val="center"/>
          </w:tcPr>
          <w:p>
            <w:pPr>
              <w:pStyle w:val="13"/>
            </w:pPr>
            <w:r>
              <w:t>按预定进度进行</w:t>
            </w:r>
          </w:p>
        </w:tc>
        <w:tc>
          <w:tcPr>
            <w:tcW w:w="2268" w:type="dxa"/>
            <w:vAlign w:val="center"/>
          </w:tcPr>
          <w:p>
            <w:pPr>
              <w:pStyle w:val="13"/>
            </w:pPr>
            <w:r>
              <w:t>≥90百分比</w:t>
            </w:r>
          </w:p>
        </w:tc>
        <w:tc>
          <w:tcPr>
            <w:tcW w:w="1276" w:type="dxa"/>
            <w:vAlign w:val="center"/>
          </w:tcPr>
          <w:p>
            <w:pPr>
              <w:pStyle w:val="13"/>
            </w:pPr>
            <w:r>
              <w:t>相关约定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合格工程量与总量占比</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完成工程量与总量占比</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材料、人员工资等</w:t>
            </w:r>
          </w:p>
        </w:tc>
        <w:tc>
          <w:tcPr>
            <w:tcW w:w="5386" w:type="dxa"/>
            <w:vAlign w:val="center"/>
          </w:tcPr>
          <w:p>
            <w:pPr>
              <w:pStyle w:val="13"/>
            </w:pPr>
            <w:r>
              <w:t>按相关规定执行</w:t>
            </w:r>
          </w:p>
        </w:tc>
        <w:tc>
          <w:tcPr>
            <w:tcW w:w="2268" w:type="dxa"/>
            <w:vAlign w:val="center"/>
          </w:tcPr>
          <w:p>
            <w:pPr>
              <w:pStyle w:val="13"/>
            </w:pPr>
            <w:r>
              <w:t>≥90百分比</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运营收益</w:t>
            </w:r>
          </w:p>
        </w:tc>
        <w:tc>
          <w:tcPr>
            <w:tcW w:w="5386" w:type="dxa"/>
            <w:vAlign w:val="center"/>
          </w:tcPr>
          <w:p>
            <w:pPr>
              <w:pStyle w:val="13"/>
            </w:pPr>
            <w:r>
              <w:t>实际运营收益与预期收益占比</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社会评价</w:t>
            </w:r>
          </w:p>
        </w:tc>
        <w:tc>
          <w:tcPr>
            <w:tcW w:w="5386" w:type="dxa"/>
            <w:vAlign w:val="center"/>
          </w:tcPr>
          <w:p>
            <w:pPr>
              <w:pStyle w:val="13"/>
            </w:pPr>
            <w:r>
              <w:t>社会调查群众满意度与总数占比</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大气污染防治措施</w:t>
            </w:r>
          </w:p>
        </w:tc>
        <w:tc>
          <w:tcPr>
            <w:tcW w:w="5386" w:type="dxa"/>
            <w:vAlign w:val="center"/>
          </w:tcPr>
          <w:p>
            <w:pPr>
              <w:pStyle w:val="13"/>
            </w:pPr>
            <w:r>
              <w:t>各项大气污染防治措施落实率</w:t>
            </w:r>
          </w:p>
        </w:tc>
        <w:tc>
          <w:tcPr>
            <w:tcW w:w="2268" w:type="dxa"/>
            <w:vAlign w:val="center"/>
          </w:tcPr>
          <w:p>
            <w:pPr>
              <w:pStyle w:val="13"/>
            </w:pPr>
            <w:r>
              <w:t>≥90百分比</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完成利用率</w:t>
            </w:r>
          </w:p>
        </w:tc>
        <w:tc>
          <w:tcPr>
            <w:tcW w:w="5386" w:type="dxa"/>
            <w:vAlign w:val="center"/>
          </w:tcPr>
          <w:p>
            <w:pPr>
              <w:pStyle w:val="13"/>
            </w:pPr>
            <w:r>
              <w:t>工程完成后的利用率</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调查中群众满意和较满意与总数占比</w:t>
            </w:r>
          </w:p>
        </w:tc>
        <w:tc>
          <w:tcPr>
            <w:tcW w:w="2268" w:type="dxa"/>
            <w:vAlign w:val="center"/>
          </w:tcPr>
          <w:p>
            <w:pPr>
              <w:pStyle w:val="13"/>
            </w:pPr>
            <w:r>
              <w:t>≥90百分比</w:t>
            </w:r>
          </w:p>
        </w:tc>
        <w:tc>
          <w:tcPr>
            <w:tcW w:w="1276" w:type="dxa"/>
            <w:vAlign w:val="center"/>
          </w:tcPr>
          <w:p>
            <w:pPr>
              <w:pStyle w:val="13"/>
            </w:pPr>
            <w:r>
              <w:t>测算标准</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2、2022年第七批新增政府债券-新乐市停车设施建设项目绩效目标表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13018422P00151010001N</w:t>
            </w:r>
          </w:p>
        </w:tc>
        <w:tc>
          <w:tcPr>
            <w:tcW w:w="2835" w:type="dxa"/>
            <w:vAlign w:val="center"/>
          </w:tcPr>
          <w:p>
            <w:pPr>
              <w:pStyle w:val="11"/>
            </w:pPr>
            <w:r>
              <w:t>项目名称</w:t>
            </w:r>
          </w:p>
        </w:tc>
        <w:tc>
          <w:tcPr>
            <w:tcW w:w="6095" w:type="dxa"/>
            <w:gridSpan w:val="3"/>
            <w:vAlign w:val="center"/>
          </w:tcPr>
          <w:p>
            <w:pPr>
              <w:pStyle w:val="13"/>
            </w:pPr>
            <w:r>
              <w:t>2022年第七批新增政府债券-新乐市停车设施建设项目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442.46</w:t>
            </w:r>
          </w:p>
        </w:tc>
        <w:tc>
          <w:tcPr>
            <w:tcW w:w="2835" w:type="dxa"/>
            <w:vAlign w:val="center"/>
          </w:tcPr>
          <w:p>
            <w:pPr>
              <w:pStyle w:val="11"/>
            </w:pPr>
            <w:r>
              <w:t>其中：财政    资金</w:t>
            </w:r>
          </w:p>
        </w:tc>
        <w:tc>
          <w:tcPr>
            <w:tcW w:w="2551" w:type="dxa"/>
            <w:vAlign w:val="center"/>
          </w:tcPr>
          <w:p>
            <w:pPr>
              <w:pStyle w:val="13"/>
            </w:pPr>
            <w:r>
              <w:t>442.46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用于新乐市停车设施建设项目。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1.按照市委市政府安排，加快停车场建设工作。</w:t>
            </w:r>
          </w:p>
          <w:p>
            <w:pPr>
              <w:pStyle w:val="13"/>
            </w:pPr>
            <w:r>
              <w:t>2.通过建设停车场改善城区停车难问题。</w:t>
            </w:r>
          </w:p>
          <w:p>
            <w:pPr>
              <w:pStyle w:val="13"/>
            </w:pPr>
            <w:r>
              <w:t>3.保证工程施工进度，工程质量。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5386" w:type="dxa"/>
            <w:vAlign w:val="center"/>
          </w:tcPr>
          <w:p>
            <w:pPr>
              <w:pStyle w:val="13"/>
            </w:pPr>
            <w:r>
              <w:t>项目完成情况</w:t>
            </w:r>
          </w:p>
        </w:tc>
        <w:tc>
          <w:tcPr>
            <w:tcW w:w="2268" w:type="dxa"/>
            <w:vAlign w:val="center"/>
          </w:tcPr>
          <w:p>
            <w:pPr>
              <w:pStyle w:val="13"/>
            </w:pPr>
            <w:r>
              <w:t>≥95百分比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项目完成验收及时率</w:t>
            </w:r>
          </w:p>
        </w:tc>
        <w:tc>
          <w:tcPr>
            <w:tcW w:w="5386" w:type="dxa"/>
            <w:vAlign w:val="center"/>
          </w:tcPr>
          <w:p>
            <w:pPr>
              <w:pStyle w:val="13"/>
            </w:pPr>
            <w:r>
              <w:t>进度工作量占工程总量的比率</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经济效益增值率</w:t>
            </w:r>
          </w:p>
        </w:tc>
        <w:tc>
          <w:tcPr>
            <w:tcW w:w="5386" w:type="dxa"/>
            <w:vAlign w:val="center"/>
          </w:tcPr>
          <w:p>
            <w:pPr>
              <w:pStyle w:val="13"/>
            </w:pPr>
            <w:r>
              <w:t>项目实施后经济效益增长率</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生态效益提升值%</w:t>
            </w:r>
          </w:p>
        </w:tc>
        <w:tc>
          <w:tcPr>
            <w:tcW w:w="5386" w:type="dxa"/>
            <w:vAlign w:val="center"/>
          </w:tcPr>
          <w:p>
            <w:pPr>
              <w:pStyle w:val="13"/>
            </w:pPr>
            <w:r>
              <w:t>生态效益提升值%</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调查人数的比率</w:t>
            </w:r>
          </w:p>
        </w:tc>
        <w:tc>
          <w:tcPr>
            <w:tcW w:w="2268" w:type="dxa"/>
            <w:vAlign w:val="center"/>
          </w:tcPr>
          <w:p>
            <w:pPr>
              <w:pStyle w:val="13"/>
            </w:pPr>
            <w:r>
              <w:t>≥95百分比</w:t>
            </w:r>
          </w:p>
        </w:tc>
        <w:tc>
          <w:tcPr>
            <w:tcW w:w="1276" w:type="dxa"/>
            <w:vAlign w:val="center"/>
          </w:tcPr>
          <w:p>
            <w:pPr>
              <w:pStyle w:val="13"/>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3、2024年本级支出-新华路（伏羲大街-金地街）道路、排水工程绩效目标表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13018424P00453110001F</w:t>
            </w:r>
          </w:p>
        </w:tc>
        <w:tc>
          <w:tcPr>
            <w:tcW w:w="2835" w:type="dxa"/>
            <w:vAlign w:val="center"/>
          </w:tcPr>
          <w:p>
            <w:pPr>
              <w:pStyle w:val="11"/>
            </w:pPr>
            <w:r>
              <w:t>项目名称</w:t>
            </w:r>
          </w:p>
        </w:tc>
        <w:tc>
          <w:tcPr>
            <w:tcW w:w="6095" w:type="dxa"/>
            <w:gridSpan w:val="3"/>
            <w:vAlign w:val="center"/>
          </w:tcPr>
          <w:p>
            <w:pPr>
              <w:pStyle w:val="13"/>
            </w:pPr>
            <w:r>
              <w:t>2024年本级支出-新华路（伏羲大街-金地街）道路、排水工程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用于支付新华路-（伏羲大街-金地街）道路、排水工程项目费用。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促进区域经济社会发展情况</w:t>
            </w:r>
          </w:p>
        </w:tc>
        <w:tc>
          <w:tcPr>
            <w:tcW w:w="5386" w:type="dxa"/>
            <w:vAlign w:val="center"/>
          </w:tcPr>
          <w:p>
            <w:pPr>
              <w:pStyle w:val="13"/>
            </w:pPr>
            <w:r>
              <w:t>促进区域经济社会发展情况</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项目对生态效益提升比</w:t>
            </w:r>
          </w:p>
        </w:tc>
        <w:tc>
          <w:tcPr>
            <w:tcW w:w="5386" w:type="dxa"/>
            <w:vAlign w:val="center"/>
          </w:tcPr>
          <w:p>
            <w:pPr>
              <w:pStyle w:val="13"/>
            </w:pPr>
            <w:r>
              <w:t>项目对生态效益提升比值</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受众满意率</w:t>
            </w:r>
          </w:p>
        </w:tc>
        <w:tc>
          <w:tcPr>
            <w:tcW w:w="5386" w:type="dxa"/>
            <w:vAlign w:val="center"/>
          </w:tcPr>
          <w:p>
            <w:pPr>
              <w:pStyle w:val="13"/>
            </w:pPr>
            <w:r>
              <w:t>受众满意率</w:t>
            </w:r>
          </w:p>
        </w:tc>
        <w:tc>
          <w:tcPr>
            <w:tcW w:w="2268" w:type="dxa"/>
            <w:vAlign w:val="center"/>
          </w:tcPr>
          <w:p>
            <w:pPr>
              <w:pStyle w:val="13"/>
            </w:pPr>
            <w:r>
              <w:t>≥90百分比</w:t>
            </w:r>
          </w:p>
        </w:tc>
        <w:tc>
          <w:tcPr>
            <w:tcW w:w="1276" w:type="dxa"/>
            <w:vAlign w:val="center"/>
          </w:tcPr>
          <w:p>
            <w:pPr>
              <w:pStyle w:val="13"/>
            </w:pPr>
            <w:r>
              <w:t>测算标准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4、2024年本级支出-新乐市伏羲大街高架桥工程绩效目标表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13018424P004532100015</w:t>
            </w:r>
          </w:p>
        </w:tc>
        <w:tc>
          <w:tcPr>
            <w:tcW w:w="2835" w:type="dxa"/>
            <w:vAlign w:val="center"/>
          </w:tcPr>
          <w:p>
            <w:pPr>
              <w:pStyle w:val="11"/>
            </w:pPr>
            <w:r>
              <w:t>项目名称</w:t>
            </w:r>
          </w:p>
        </w:tc>
        <w:tc>
          <w:tcPr>
            <w:tcW w:w="6095" w:type="dxa"/>
            <w:gridSpan w:val="3"/>
            <w:vAlign w:val="center"/>
          </w:tcPr>
          <w:p>
            <w:pPr>
              <w:pStyle w:val="13"/>
            </w:pPr>
            <w:r>
              <w:t>2024年本级支出-新乐市伏羲大街高架桥工程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用于支付伏羲大街高架桥建设项目工程款。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中间交工质量合格情况</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工程完成率</w:t>
            </w:r>
          </w:p>
        </w:tc>
        <w:tc>
          <w:tcPr>
            <w:tcW w:w="5386" w:type="dxa"/>
            <w:vAlign w:val="center"/>
          </w:tcPr>
          <w:p>
            <w:pPr>
              <w:pStyle w:val="13"/>
            </w:pPr>
            <w:r>
              <w:t>工程施工进度工作量占工程完工总量的比率。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项目对经济效益提升比</w:t>
            </w:r>
          </w:p>
        </w:tc>
        <w:tc>
          <w:tcPr>
            <w:tcW w:w="5386" w:type="dxa"/>
            <w:vAlign w:val="center"/>
          </w:tcPr>
          <w:p>
            <w:pPr>
              <w:pStyle w:val="13"/>
            </w:pPr>
            <w:r>
              <w:t>项目对经济效益提升比值</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项目对生态效益提升比</w:t>
            </w:r>
          </w:p>
        </w:tc>
        <w:tc>
          <w:tcPr>
            <w:tcW w:w="5386" w:type="dxa"/>
            <w:vAlign w:val="center"/>
          </w:tcPr>
          <w:p>
            <w:pPr>
              <w:pStyle w:val="13"/>
            </w:pPr>
            <w:r>
              <w:t>项目对生态效益提升比值</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受众满意率</w:t>
            </w:r>
          </w:p>
        </w:tc>
        <w:tc>
          <w:tcPr>
            <w:tcW w:w="5386" w:type="dxa"/>
            <w:vAlign w:val="center"/>
          </w:tcPr>
          <w:p>
            <w:pPr>
              <w:pStyle w:val="13"/>
            </w:pPr>
            <w:r>
              <w:t>受众满意率</w:t>
            </w:r>
          </w:p>
        </w:tc>
        <w:tc>
          <w:tcPr>
            <w:tcW w:w="2268" w:type="dxa"/>
            <w:vAlign w:val="center"/>
          </w:tcPr>
          <w:p>
            <w:pPr>
              <w:pStyle w:val="13"/>
            </w:pPr>
            <w:r>
              <w:t>≥90百分比</w:t>
            </w:r>
          </w:p>
        </w:tc>
        <w:tc>
          <w:tcPr>
            <w:tcW w:w="1276" w:type="dxa"/>
            <w:vAlign w:val="center"/>
          </w:tcPr>
          <w:p>
            <w:pPr>
              <w:pStyle w:val="13"/>
            </w:pPr>
            <w:r>
              <w:t>测算标准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5、2024年第七批新增一般债券-新华路（伏羲大街-金地街）道路、排水工程绩效目标表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13018424P004946100012</w:t>
            </w:r>
          </w:p>
        </w:tc>
        <w:tc>
          <w:tcPr>
            <w:tcW w:w="2835" w:type="dxa"/>
            <w:vAlign w:val="center"/>
          </w:tcPr>
          <w:p>
            <w:pPr>
              <w:pStyle w:val="11"/>
            </w:pPr>
            <w:r>
              <w:t>项目名称</w:t>
            </w:r>
          </w:p>
        </w:tc>
        <w:tc>
          <w:tcPr>
            <w:tcW w:w="6095" w:type="dxa"/>
            <w:gridSpan w:val="3"/>
            <w:vAlign w:val="center"/>
          </w:tcPr>
          <w:p>
            <w:pPr>
              <w:pStyle w:val="13"/>
            </w:pPr>
            <w:r>
              <w:t>2024年第七批新增一般债券-新华路（伏羲大街-金地街）道路、排水工程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用于新华路（伏羲大街-金地街）道路、排水工程。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1.完成项目建设，保证工程质量，提升城市品质。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中间交工质量合格情况</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工程完成率</w:t>
            </w:r>
          </w:p>
        </w:tc>
        <w:tc>
          <w:tcPr>
            <w:tcW w:w="5386" w:type="dxa"/>
            <w:vAlign w:val="center"/>
          </w:tcPr>
          <w:p>
            <w:pPr>
              <w:pStyle w:val="13"/>
            </w:pPr>
            <w:r>
              <w:t>工程施工进度工作量占工程完工总量的比率。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项目对经济效益提升比</w:t>
            </w:r>
          </w:p>
        </w:tc>
        <w:tc>
          <w:tcPr>
            <w:tcW w:w="5386" w:type="dxa"/>
            <w:vAlign w:val="center"/>
          </w:tcPr>
          <w:p>
            <w:pPr>
              <w:pStyle w:val="13"/>
            </w:pPr>
            <w:r>
              <w:t>项目对经济效益提升比值</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项目对生态效益提升比</w:t>
            </w:r>
          </w:p>
        </w:tc>
        <w:tc>
          <w:tcPr>
            <w:tcW w:w="5386" w:type="dxa"/>
            <w:vAlign w:val="center"/>
          </w:tcPr>
          <w:p>
            <w:pPr>
              <w:pStyle w:val="13"/>
            </w:pPr>
            <w:r>
              <w:t>项目对生态效益提升比值</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受众满意率</w:t>
            </w:r>
          </w:p>
        </w:tc>
        <w:tc>
          <w:tcPr>
            <w:tcW w:w="5386" w:type="dxa"/>
            <w:vAlign w:val="center"/>
          </w:tcPr>
          <w:p>
            <w:pPr>
              <w:pStyle w:val="13"/>
            </w:pPr>
            <w:r>
              <w:t>受众满意率</w:t>
            </w:r>
          </w:p>
        </w:tc>
        <w:tc>
          <w:tcPr>
            <w:tcW w:w="2268" w:type="dxa"/>
            <w:vAlign w:val="center"/>
          </w:tcPr>
          <w:p>
            <w:pPr>
              <w:pStyle w:val="13"/>
            </w:pPr>
            <w:r>
              <w:t>≥90百分比</w:t>
            </w:r>
          </w:p>
        </w:tc>
        <w:tc>
          <w:tcPr>
            <w:tcW w:w="1276" w:type="dxa"/>
            <w:vAlign w:val="center"/>
          </w:tcPr>
          <w:p>
            <w:pPr>
              <w:pStyle w:val="13"/>
            </w:pPr>
            <w:r>
              <w:t>测算标准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6、2024年第七批新增一般债券-新乐市伏羲大街高架桥工程绩效目标表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13018424P00494710001P</w:t>
            </w:r>
          </w:p>
        </w:tc>
        <w:tc>
          <w:tcPr>
            <w:tcW w:w="2835" w:type="dxa"/>
            <w:vAlign w:val="center"/>
          </w:tcPr>
          <w:p>
            <w:pPr>
              <w:pStyle w:val="11"/>
            </w:pPr>
            <w:r>
              <w:t>项目名称</w:t>
            </w:r>
          </w:p>
        </w:tc>
        <w:tc>
          <w:tcPr>
            <w:tcW w:w="6095" w:type="dxa"/>
            <w:gridSpan w:val="3"/>
            <w:vAlign w:val="center"/>
          </w:tcPr>
          <w:p>
            <w:pPr>
              <w:pStyle w:val="13"/>
            </w:pPr>
            <w:r>
              <w:t>2024年第七批新增一般债券-新乐市伏羲大街高架桥工程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w:t>
            </w:r>
          </w:p>
        </w:tc>
        <w:tc>
          <w:tcPr>
            <w:tcW w:w="2835" w:type="dxa"/>
            <w:vAlign w:val="center"/>
          </w:tcPr>
          <w:p>
            <w:pPr>
              <w:pStyle w:val="11"/>
            </w:pPr>
            <w:r>
              <w:t>其中：财政    资金</w:t>
            </w:r>
          </w:p>
        </w:tc>
        <w:tc>
          <w:tcPr>
            <w:tcW w:w="2551" w:type="dxa"/>
            <w:vAlign w:val="center"/>
          </w:tcPr>
          <w:p>
            <w:pPr>
              <w:pStyle w:val="13"/>
            </w:pPr>
            <w:r>
              <w:t>250.00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用于伏羲大街高架桥建设项目。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1.完成项目建设，工程质量合格，提升城市品质。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中间交工质量合格情况</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工程完成率</w:t>
            </w:r>
          </w:p>
        </w:tc>
        <w:tc>
          <w:tcPr>
            <w:tcW w:w="5386" w:type="dxa"/>
            <w:vAlign w:val="center"/>
          </w:tcPr>
          <w:p>
            <w:pPr>
              <w:pStyle w:val="13"/>
            </w:pPr>
            <w:r>
              <w:t>工程施工进度工作量占工程完工总量的比率。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项目对经济效益提升比</w:t>
            </w:r>
          </w:p>
        </w:tc>
        <w:tc>
          <w:tcPr>
            <w:tcW w:w="5386" w:type="dxa"/>
            <w:vAlign w:val="center"/>
          </w:tcPr>
          <w:p>
            <w:pPr>
              <w:pStyle w:val="13"/>
            </w:pPr>
            <w:r>
              <w:t>项目对经济效益提升比值</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项目对生态效益提升比</w:t>
            </w:r>
          </w:p>
        </w:tc>
        <w:tc>
          <w:tcPr>
            <w:tcW w:w="5386" w:type="dxa"/>
            <w:vAlign w:val="center"/>
          </w:tcPr>
          <w:p>
            <w:pPr>
              <w:pStyle w:val="13"/>
            </w:pPr>
            <w:r>
              <w:t>项目对生态效益提升比值</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受众满意率</w:t>
            </w:r>
          </w:p>
        </w:tc>
        <w:tc>
          <w:tcPr>
            <w:tcW w:w="5386" w:type="dxa"/>
            <w:vAlign w:val="center"/>
          </w:tcPr>
          <w:p>
            <w:pPr>
              <w:pStyle w:val="13"/>
            </w:pPr>
            <w:r>
              <w:t>受众满意率</w:t>
            </w:r>
          </w:p>
        </w:tc>
        <w:tc>
          <w:tcPr>
            <w:tcW w:w="2268" w:type="dxa"/>
            <w:vAlign w:val="center"/>
          </w:tcPr>
          <w:p>
            <w:pPr>
              <w:pStyle w:val="13"/>
            </w:pPr>
            <w:r>
              <w:t>≥90百分比</w:t>
            </w:r>
          </w:p>
        </w:tc>
        <w:tc>
          <w:tcPr>
            <w:tcW w:w="1276" w:type="dxa"/>
            <w:vAlign w:val="center"/>
          </w:tcPr>
          <w:p>
            <w:pPr>
              <w:pStyle w:val="13"/>
            </w:pPr>
            <w:r>
              <w:t>测算标准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7、2026年本级支出-堽头片区回迁房建设绩效目标表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13018426P00522410030H</w:t>
            </w:r>
          </w:p>
        </w:tc>
        <w:tc>
          <w:tcPr>
            <w:tcW w:w="2835" w:type="dxa"/>
            <w:vAlign w:val="center"/>
          </w:tcPr>
          <w:p>
            <w:pPr>
              <w:pStyle w:val="11"/>
            </w:pPr>
            <w:r>
              <w:t>项目名称</w:t>
            </w:r>
          </w:p>
        </w:tc>
        <w:tc>
          <w:tcPr>
            <w:tcW w:w="6095" w:type="dxa"/>
            <w:gridSpan w:val="3"/>
            <w:vAlign w:val="center"/>
          </w:tcPr>
          <w:p>
            <w:pPr>
              <w:pStyle w:val="13"/>
            </w:pPr>
            <w:r>
              <w:t>2026年本级支出-堽头片区回迁房建设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w:t>
            </w:r>
          </w:p>
        </w:tc>
        <w:tc>
          <w:tcPr>
            <w:tcW w:w="2835" w:type="dxa"/>
            <w:vAlign w:val="center"/>
          </w:tcPr>
          <w:p>
            <w:pPr>
              <w:pStyle w:val="11"/>
            </w:pPr>
            <w:r>
              <w:t>其中：财政    资金</w:t>
            </w:r>
          </w:p>
        </w:tc>
        <w:tc>
          <w:tcPr>
            <w:tcW w:w="2551" w:type="dxa"/>
            <w:vAlign w:val="center"/>
          </w:tcPr>
          <w:p>
            <w:pPr>
              <w:pStyle w:val="13"/>
            </w:pPr>
            <w:r>
              <w:t>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用于支付堽头片区建设。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1.加快回迁房建设，保证工程质量。</w:t>
            </w:r>
          </w:p>
          <w:p>
            <w:pPr>
              <w:pStyle w:val="13"/>
            </w:pPr>
            <w:r>
              <w:t>2.保证回迁安置人员满意度。</w:t>
            </w:r>
          </w:p>
          <w:p>
            <w:pPr>
              <w:pStyle w:val="13"/>
            </w:pPr>
            <w:r>
              <w:t>3.升城区北出入口的整体形象，带动城区东部快速发展。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工程量完成率</w:t>
            </w:r>
          </w:p>
        </w:tc>
        <w:tc>
          <w:tcPr>
            <w:tcW w:w="2268" w:type="dxa"/>
            <w:vAlign w:val="center"/>
          </w:tcPr>
          <w:p>
            <w:pPr>
              <w:pStyle w:val="13"/>
            </w:pPr>
            <w:r>
              <w:t>≥90</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≥90</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资金支付的及时程度</w:t>
            </w:r>
          </w:p>
        </w:tc>
        <w:tc>
          <w:tcPr>
            <w:tcW w:w="2268" w:type="dxa"/>
            <w:vAlign w:val="center"/>
          </w:tcPr>
          <w:p>
            <w:pPr>
              <w:pStyle w:val="13"/>
            </w:pPr>
            <w:r>
              <w:t>≥90</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≤5000万元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对社会经济发展的影响</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促进社会和谐稳定</w:t>
            </w:r>
          </w:p>
        </w:tc>
        <w:tc>
          <w:tcPr>
            <w:tcW w:w="5386" w:type="dxa"/>
            <w:vAlign w:val="center"/>
          </w:tcPr>
          <w:p>
            <w:pPr>
              <w:pStyle w:val="13"/>
            </w:pPr>
            <w:r>
              <w:t>促进社会和谐稳定</w:t>
            </w:r>
          </w:p>
        </w:tc>
        <w:tc>
          <w:tcPr>
            <w:tcW w:w="2268" w:type="dxa"/>
            <w:vAlign w:val="center"/>
          </w:tcPr>
          <w:p>
            <w:pPr>
              <w:pStyle w:val="13"/>
            </w:pPr>
            <w:r>
              <w:t>促进社会和谐稳定</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提高住户的幸福感</w:t>
            </w:r>
          </w:p>
        </w:tc>
        <w:tc>
          <w:tcPr>
            <w:tcW w:w="5386" w:type="dxa"/>
            <w:vAlign w:val="center"/>
          </w:tcPr>
          <w:p>
            <w:pPr>
              <w:pStyle w:val="13"/>
            </w:pPr>
            <w:r>
              <w:t>通过改善住户的居住环境，来提高住户的幸福感、获得感</w:t>
            </w:r>
          </w:p>
        </w:tc>
        <w:tc>
          <w:tcPr>
            <w:tcW w:w="2268" w:type="dxa"/>
            <w:vAlign w:val="center"/>
          </w:tcPr>
          <w:p>
            <w:pPr>
              <w:pStyle w:val="13"/>
            </w:pPr>
            <w:r>
              <w:t>通过改善住户的居住环境，来提高住户的幸福感、获得感</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提升城区北出入口的整体形象，带动城区东部快速发展</w:t>
            </w:r>
          </w:p>
        </w:tc>
        <w:tc>
          <w:tcPr>
            <w:tcW w:w="5386" w:type="dxa"/>
            <w:vAlign w:val="center"/>
          </w:tcPr>
          <w:p>
            <w:pPr>
              <w:pStyle w:val="13"/>
            </w:pPr>
            <w:r>
              <w:t>提升城区北出入口的整体形象，带动城区东部快速发展</w:t>
            </w:r>
          </w:p>
        </w:tc>
        <w:tc>
          <w:tcPr>
            <w:tcW w:w="2268" w:type="dxa"/>
            <w:vAlign w:val="center"/>
          </w:tcPr>
          <w:p>
            <w:pPr>
              <w:pStyle w:val="13"/>
            </w:pPr>
            <w:r>
              <w:t>提升城区北出入口的整体形象，带动城区东部快速发展</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受益群众调查中，满意和较满意的人数占全部调查人数的比率</w:t>
            </w:r>
          </w:p>
        </w:tc>
        <w:tc>
          <w:tcPr>
            <w:tcW w:w="2268" w:type="dxa"/>
            <w:vAlign w:val="center"/>
          </w:tcPr>
          <w:p>
            <w:pPr>
              <w:pStyle w:val="13"/>
            </w:pPr>
            <w:r>
              <w:t>≥90</w:t>
            </w:r>
          </w:p>
        </w:tc>
        <w:tc>
          <w:tcPr>
            <w:tcW w:w="1276" w:type="dxa"/>
            <w:vAlign w:val="center"/>
          </w:tcPr>
          <w:p>
            <w:pPr>
              <w:pStyle w:val="13"/>
            </w:pPr>
            <w:r>
              <w:t>测算标准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8、2026年本级支出-党校运转经费绩效目标表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13018426P00522410026B</w:t>
            </w:r>
          </w:p>
        </w:tc>
        <w:tc>
          <w:tcPr>
            <w:tcW w:w="2835" w:type="dxa"/>
            <w:vAlign w:val="center"/>
          </w:tcPr>
          <w:p>
            <w:pPr>
              <w:pStyle w:val="11"/>
            </w:pPr>
            <w:r>
              <w:t>项目名称</w:t>
            </w:r>
          </w:p>
        </w:tc>
        <w:tc>
          <w:tcPr>
            <w:tcW w:w="6095" w:type="dxa"/>
            <w:gridSpan w:val="3"/>
            <w:vAlign w:val="center"/>
          </w:tcPr>
          <w:p>
            <w:pPr>
              <w:pStyle w:val="13"/>
            </w:pPr>
            <w:r>
              <w:t>2026年本级支出-党校运转经费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用于支付党校水电费及设备租赁费。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1.及时拨付新乐市市委党校变压器设备租赁费</w:t>
            </w:r>
          </w:p>
          <w:p>
            <w:pPr>
              <w:pStyle w:val="13"/>
            </w:pPr>
            <w:r>
              <w:t>2.及时拨付新乐市市委党校电缆设备租赁费</w:t>
            </w:r>
          </w:p>
          <w:p>
            <w:pPr>
              <w:pStyle w:val="13"/>
            </w:pPr>
            <w:r>
              <w:t>3.及时拨付新乐市市委党校水电费。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办公用电</w:t>
            </w:r>
          </w:p>
        </w:tc>
        <w:tc>
          <w:tcPr>
            <w:tcW w:w="5386" w:type="dxa"/>
            <w:vAlign w:val="center"/>
          </w:tcPr>
          <w:p>
            <w:pPr>
              <w:pStyle w:val="13"/>
            </w:pPr>
            <w:r>
              <w:t>办公用电</w:t>
            </w:r>
          </w:p>
        </w:tc>
        <w:tc>
          <w:tcPr>
            <w:tcW w:w="2268" w:type="dxa"/>
            <w:vAlign w:val="center"/>
          </w:tcPr>
          <w:p>
            <w:pPr>
              <w:pStyle w:val="13"/>
            </w:pPr>
            <w:r>
              <w:t>≥90百分比</w:t>
            </w:r>
          </w:p>
        </w:tc>
        <w:tc>
          <w:tcPr>
            <w:tcW w:w="1276" w:type="dxa"/>
            <w:vAlign w:val="center"/>
          </w:tcPr>
          <w:p>
            <w:pPr>
              <w:pStyle w:val="13"/>
            </w:pPr>
            <w:r>
              <w:t>相关约定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用电指标合格</w:t>
            </w:r>
          </w:p>
        </w:tc>
        <w:tc>
          <w:tcPr>
            <w:tcW w:w="5386" w:type="dxa"/>
            <w:vAlign w:val="center"/>
          </w:tcPr>
          <w:p>
            <w:pPr>
              <w:pStyle w:val="13"/>
            </w:pPr>
            <w:r>
              <w:t>用电指标合格</w:t>
            </w:r>
          </w:p>
        </w:tc>
        <w:tc>
          <w:tcPr>
            <w:tcW w:w="2268" w:type="dxa"/>
            <w:vAlign w:val="center"/>
          </w:tcPr>
          <w:p>
            <w:pPr>
              <w:pStyle w:val="13"/>
            </w:pPr>
            <w:r>
              <w:t>≥100百分比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按月结算</w:t>
            </w:r>
          </w:p>
        </w:tc>
        <w:tc>
          <w:tcPr>
            <w:tcW w:w="5386" w:type="dxa"/>
            <w:vAlign w:val="center"/>
          </w:tcPr>
          <w:p>
            <w:pPr>
              <w:pStyle w:val="13"/>
            </w:pPr>
            <w:r>
              <w:t>按月结算</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按实际使用量</w:t>
            </w:r>
          </w:p>
        </w:tc>
        <w:tc>
          <w:tcPr>
            <w:tcW w:w="5386" w:type="dxa"/>
            <w:vAlign w:val="center"/>
          </w:tcPr>
          <w:p>
            <w:pPr>
              <w:pStyle w:val="13"/>
            </w:pPr>
            <w:r>
              <w:t>按实际使用量</w:t>
            </w:r>
          </w:p>
        </w:tc>
        <w:tc>
          <w:tcPr>
            <w:tcW w:w="2268" w:type="dxa"/>
            <w:vAlign w:val="center"/>
          </w:tcPr>
          <w:p>
            <w:pPr>
              <w:pStyle w:val="13"/>
            </w:pPr>
            <w:r>
              <w:t>≥100百分比</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经济效益指标</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社会影响力</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中共新乐市委党校用水用电量</w:t>
            </w:r>
          </w:p>
        </w:tc>
        <w:tc>
          <w:tcPr>
            <w:tcW w:w="5386" w:type="dxa"/>
            <w:vAlign w:val="center"/>
          </w:tcPr>
          <w:p>
            <w:pPr>
              <w:pStyle w:val="13"/>
            </w:pPr>
            <w:r>
              <w:t>中共新乐市委党校用水用电量</w:t>
            </w:r>
          </w:p>
        </w:tc>
        <w:tc>
          <w:tcPr>
            <w:tcW w:w="2268" w:type="dxa"/>
            <w:vAlign w:val="center"/>
          </w:tcPr>
          <w:p>
            <w:pPr>
              <w:pStyle w:val="13"/>
            </w:pPr>
            <w:r>
              <w:t>中共新乐市委党校用水用电量</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长期实用性</w:t>
            </w:r>
          </w:p>
        </w:tc>
        <w:tc>
          <w:tcPr>
            <w:tcW w:w="5386" w:type="dxa"/>
            <w:vAlign w:val="center"/>
          </w:tcPr>
          <w:p>
            <w:pPr>
              <w:pStyle w:val="13"/>
            </w:pPr>
            <w:r>
              <w:t>长期实用性</w:t>
            </w:r>
          </w:p>
        </w:tc>
        <w:tc>
          <w:tcPr>
            <w:tcW w:w="2268" w:type="dxa"/>
            <w:vAlign w:val="center"/>
          </w:tcPr>
          <w:p>
            <w:pPr>
              <w:pStyle w:val="13"/>
            </w:pPr>
            <w:r>
              <w:t>长期实用性</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调查中社会群众满意和较满意占调查总数的比率</w:t>
            </w:r>
          </w:p>
        </w:tc>
        <w:tc>
          <w:tcPr>
            <w:tcW w:w="5386" w:type="dxa"/>
            <w:vAlign w:val="center"/>
          </w:tcPr>
          <w:p>
            <w:pPr>
              <w:pStyle w:val="13"/>
            </w:pPr>
            <w:r>
              <w:t>调查中社会群众满意和较满意占调查总数的比率</w:t>
            </w:r>
          </w:p>
        </w:tc>
        <w:tc>
          <w:tcPr>
            <w:tcW w:w="2268" w:type="dxa"/>
            <w:vAlign w:val="center"/>
          </w:tcPr>
          <w:p>
            <w:pPr>
              <w:pStyle w:val="13"/>
            </w:pPr>
            <w:r>
              <w:t>≥90百分比</w:t>
            </w:r>
          </w:p>
        </w:tc>
        <w:tc>
          <w:tcPr>
            <w:tcW w:w="1276" w:type="dxa"/>
            <w:vAlign w:val="center"/>
          </w:tcPr>
          <w:p>
            <w:pPr>
              <w:pStyle w:val="13"/>
            </w:pPr>
            <w:r>
              <w:t>测算标准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9、2026年本级支出-日常公用经费绩效目标表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13018426P00528810047Q</w:t>
            </w:r>
          </w:p>
        </w:tc>
        <w:tc>
          <w:tcPr>
            <w:tcW w:w="2835" w:type="dxa"/>
            <w:vAlign w:val="center"/>
          </w:tcPr>
          <w:p>
            <w:pPr>
              <w:pStyle w:val="11"/>
            </w:pPr>
            <w:r>
              <w:t>项目名称</w:t>
            </w:r>
          </w:p>
        </w:tc>
        <w:tc>
          <w:tcPr>
            <w:tcW w:w="6095" w:type="dxa"/>
            <w:gridSpan w:val="3"/>
            <w:vAlign w:val="center"/>
          </w:tcPr>
          <w:p>
            <w:pPr>
              <w:pStyle w:val="13"/>
            </w:pPr>
            <w:r>
              <w:t>2026年本级支出-日常公用经费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用于单位正常运转经费。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1.实现单位工作的正常运转。</w:t>
            </w:r>
          </w:p>
          <w:p>
            <w:pPr>
              <w:pStyle w:val="13"/>
            </w:pPr>
            <w:r>
              <w:t>2.积极申请资金，争取资金早日到位。</w:t>
            </w:r>
          </w:p>
          <w:p>
            <w:pPr>
              <w:pStyle w:val="13"/>
            </w:pPr>
            <w:r>
              <w:t>3.保障单位工作的正常开展，严格控制各项支出成本，保证资金的最大使用率。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≥95按人数</w:t>
            </w:r>
          </w:p>
        </w:tc>
        <w:tc>
          <w:tcPr>
            <w:tcW w:w="1276" w:type="dxa"/>
            <w:vAlign w:val="center"/>
          </w:tcPr>
          <w:p>
            <w:pPr>
              <w:pStyle w:val="13"/>
            </w:pPr>
            <w:r>
              <w:t>161人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购置办公用品合格率</w:t>
            </w:r>
          </w:p>
        </w:tc>
        <w:tc>
          <w:tcPr>
            <w:tcW w:w="5386" w:type="dxa"/>
            <w:vAlign w:val="center"/>
          </w:tcPr>
          <w:p>
            <w:pPr>
              <w:pStyle w:val="13"/>
            </w:pPr>
            <w:r>
              <w:t>购置质量合格的数量占购置数量的百分比</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保障办公设备使用</w:t>
            </w:r>
          </w:p>
        </w:tc>
        <w:tc>
          <w:tcPr>
            <w:tcW w:w="5386" w:type="dxa"/>
            <w:vAlign w:val="center"/>
          </w:tcPr>
          <w:p>
            <w:pPr>
              <w:pStyle w:val="13"/>
            </w:pPr>
            <w:r>
              <w:t>及时购置</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节约率</w:t>
            </w:r>
          </w:p>
        </w:tc>
        <w:tc>
          <w:tcPr>
            <w:tcW w:w="5386" w:type="dxa"/>
            <w:vAlign w:val="center"/>
          </w:tcPr>
          <w:p>
            <w:pPr>
              <w:pStyle w:val="13"/>
            </w:pPr>
            <w:r>
              <w:t>严格控制日常经费支出，节约成本</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保障单位正常运转</w:t>
            </w:r>
          </w:p>
        </w:tc>
        <w:tc>
          <w:tcPr>
            <w:tcW w:w="5386" w:type="dxa"/>
            <w:vAlign w:val="center"/>
          </w:tcPr>
          <w:p>
            <w:pPr>
              <w:pStyle w:val="13"/>
            </w:pPr>
            <w:r>
              <w:t>通过按时按标准拨付日常经费，进一步保障办公正常运转</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满足日常办公需求</w:t>
            </w:r>
          </w:p>
        </w:tc>
        <w:tc>
          <w:tcPr>
            <w:tcW w:w="5386" w:type="dxa"/>
            <w:vAlign w:val="center"/>
          </w:tcPr>
          <w:p>
            <w:pPr>
              <w:pStyle w:val="13"/>
            </w:pPr>
            <w:r>
              <w:t>满足日常办公需求率</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办公用品节能环保</w:t>
            </w:r>
          </w:p>
        </w:tc>
        <w:tc>
          <w:tcPr>
            <w:tcW w:w="5386" w:type="dxa"/>
            <w:vAlign w:val="center"/>
          </w:tcPr>
          <w:p>
            <w:pPr>
              <w:pStyle w:val="13"/>
            </w:pPr>
            <w:r>
              <w:t>办公用品节能环保率</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办公用品使用</w:t>
            </w:r>
          </w:p>
        </w:tc>
        <w:tc>
          <w:tcPr>
            <w:tcW w:w="5386" w:type="dxa"/>
            <w:vAlign w:val="center"/>
          </w:tcPr>
          <w:p>
            <w:pPr>
              <w:pStyle w:val="13"/>
            </w:pPr>
            <w:r>
              <w:t>办公用品的使用率</w:t>
            </w:r>
          </w:p>
        </w:tc>
        <w:tc>
          <w:tcPr>
            <w:tcW w:w="2268" w:type="dxa"/>
            <w:vAlign w:val="center"/>
          </w:tcPr>
          <w:p>
            <w:pPr>
              <w:pStyle w:val="13"/>
            </w:pPr>
            <w:r>
              <w:t>≥95百分比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职工满意度</w:t>
            </w:r>
          </w:p>
        </w:tc>
        <w:tc>
          <w:tcPr>
            <w:tcW w:w="2268" w:type="dxa"/>
            <w:vAlign w:val="center"/>
          </w:tcPr>
          <w:p>
            <w:pPr>
              <w:pStyle w:val="13"/>
            </w:pPr>
            <w:r>
              <w:t>≥90百分比</w:t>
            </w:r>
          </w:p>
        </w:tc>
        <w:tc>
          <w:tcPr>
            <w:tcW w:w="1276" w:type="dxa"/>
            <w:vAlign w:val="center"/>
          </w:tcPr>
          <w:p>
            <w:pPr>
              <w:pStyle w:val="13"/>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10、2026年本级支出-市政基础设施占地补偿款绩效目标表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13018426P00522210105X</w:t>
            </w:r>
          </w:p>
        </w:tc>
        <w:tc>
          <w:tcPr>
            <w:tcW w:w="2835" w:type="dxa"/>
            <w:vAlign w:val="center"/>
          </w:tcPr>
          <w:p>
            <w:pPr>
              <w:pStyle w:val="11"/>
            </w:pPr>
            <w:r>
              <w:t>项目名称</w:t>
            </w:r>
          </w:p>
        </w:tc>
        <w:tc>
          <w:tcPr>
            <w:tcW w:w="6095" w:type="dxa"/>
            <w:gridSpan w:val="3"/>
            <w:vAlign w:val="center"/>
          </w:tcPr>
          <w:p>
            <w:pPr>
              <w:pStyle w:val="13"/>
            </w:pPr>
            <w:r>
              <w:t>2026年本级支出-市政基础设施占地补偿款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1181.00</w:t>
            </w:r>
          </w:p>
        </w:tc>
        <w:tc>
          <w:tcPr>
            <w:tcW w:w="2835" w:type="dxa"/>
            <w:vAlign w:val="center"/>
          </w:tcPr>
          <w:p>
            <w:pPr>
              <w:pStyle w:val="11"/>
            </w:pPr>
            <w:r>
              <w:t>其中：财政    资金</w:t>
            </w:r>
          </w:p>
        </w:tc>
        <w:tc>
          <w:tcPr>
            <w:tcW w:w="2551" w:type="dxa"/>
            <w:vAlign w:val="center"/>
          </w:tcPr>
          <w:p>
            <w:pPr>
              <w:pStyle w:val="13"/>
            </w:pPr>
            <w:r>
              <w:t>1181.00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用于支付市政基础设施占地补偿款。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1.严格控制在预算内，及时进行补偿。</w:t>
            </w:r>
          </w:p>
          <w:p>
            <w:pPr>
              <w:pStyle w:val="13"/>
            </w:pPr>
            <w:r>
              <w:t>2.用以发放已建成道路和基础设施建设的占地补偿款</w:t>
            </w:r>
          </w:p>
          <w:p>
            <w:pPr>
              <w:pStyle w:val="13"/>
            </w:pPr>
            <w:r>
              <w:t>3.为我市提供交通便利，提供经济发展更大空间，提高居民的幸福感。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≥95百分比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项目预算控制额</w:t>
            </w:r>
          </w:p>
        </w:tc>
        <w:tc>
          <w:tcPr>
            <w:tcW w:w="2268" w:type="dxa"/>
            <w:vAlign w:val="center"/>
          </w:tcPr>
          <w:p>
            <w:pPr>
              <w:pStyle w:val="13"/>
            </w:pPr>
            <w:r>
              <w:t>≤1181万元</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公共服务水平提升情况</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提升基础设施建设</w:t>
            </w:r>
          </w:p>
        </w:tc>
        <w:tc>
          <w:tcPr>
            <w:tcW w:w="5386" w:type="dxa"/>
            <w:vAlign w:val="center"/>
          </w:tcPr>
          <w:p>
            <w:pPr>
              <w:pStyle w:val="13"/>
            </w:pPr>
            <w:r>
              <w:t>提升城市基础设施</w:t>
            </w:r>
          </w:p>
        </w:tc>
        <w:tc>
          <w:tcPr>
            <w:tcW w:w="2268" w:type="dxa"/>
            <w:vAlign w:val="center"/>
          </w:tcPr>
          <w:p>
            <w:pPr>
              <w:pStyle w:val="13"/>
            </w:pPr>
            <w:r>
              <w:t>提升城市基础设施</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改善城市环境</w:t>
            </w:r>
          </w:p>
        </w:tc>
        <w:tc>
          <w:tcPr>
            <w:tcW w:w="5386" w:type="dxa"/>
            <w:vAlign w:val="center"/>
          </w:tcPr>
          <w:p>
            <w:pPr>
              <w:pStyle w:val="13"/>
            </w:pPr>
            <w:r>
              <w:t>改善城市生态环境</w:t>
            </w:r>
          </w:p>
        </w:tc>
        <w:tc>
          <w:tcPr>
            <w:tcW w:w="2268" w:type="dxa"/>
            <w:vAlign w:val="center"/>
          </w:tcPr>
          <w:p>
            <w:pPr>
              <w:pStyle w:val="13"/>
            </w:pPr>
            <w:r>
              <w:t>改善城市生态环境</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促进城市发展</w:t>
            </w:r>
          </w:p>
        </w:tc>
        <w:tc>
          <w:tcPr>
            <w:tcW w:w="5386" w:type="dxa"/>
            <w:vAlign w:val="center"/>
          </w:tcPr>
          <w:p>
            <w:pPr>
              <w:pStyle w:val="13"/>
            </w:pPr>
            <w:r>
              <w:t>为我市城填化奠定基础</w:t>
            </w:r>
          </w:p>
        </w:tc>
        <w:tc>
          <w:tcPr>
            <w:tcW w:w="2268" w:type="dxa"/>
            <w:vAlign w:val="center"/>
          </w:tcPr>
          <w:p>
            <w:pPr>
              <w:pStyle w:val="13"/>
            </w:pPr>
            <w:r>
              <w:t>为我市城填化奠定基础</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受益群众满意度调查</w:t>
            </w:r>
          </w:p>
        </w:tc>
        <w:tc>
          <w:tcPr>
            <w:tcW w:w="2268" w:type="dxa"/>
            <w:vAlign w:val="center"/>
          </w:tcPr>
          <w:p>
            <w:pPr>
              <w:pStyle w:val="13"/>
            </w:pPr>
            <w:r>
              <w:t>≥95百分比</w:t>
            </w:r>
          </w:p>
        </w:tc>
        <w:tc>
          <w:tcPr>
            <w:tcW w:w="1276" w:type="dxa"/>
            <w:vAlign w:val="center"/>
          </w:tcPr>
          <w:p>
            <w:pPr>
              <w:pStyle w:val="13"/>
            </w:pPr>
            <w:r>
              <w:t>测算标准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11、2026年本级资金-长名宿舍、育才街宿舍棚户区改造项目绩效目标表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13018426P00522210110P</w:t>
            </w:r>
          </w:p>
        </w:tc>
        <w:tc>
          <w:tcPr>
            <w:tcW w:w="2835" w:type="dxa"/>
            <w:vAlign w:val="center"/>
          </w:tcPr>
          <w:p>
            <w:pPr>
              <w:pStyle w:val="11"/>
            </w:pPr>
            <w:r>
              <w:t>项目名称</w:t>
            </w:r>
          </w:p>
        </w:tc>
        <w:tc>
          <w:tcPr>
            <w:tcW w:w="6095" w:type="dxa"/>
            <w:gridSpan w:val="3"/>
            <w:vAlign w:val="center"/>
          </w:tcPr>
          <w:p>
            <w:pPr>
              <w:pStyle w:val="13"/>
            </w:pPr>
            <w:r>
              <w:t>2026年本级资金-长名宿舍、育才街宿舍棚户区改造项目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152.50</w:t>
            </w:r>
          </w:p>
        </w:tc>
        <w:tc>
          <w:tcPr>
            <w:tcW w:w="2835" w:type="dxa"/>
            <w:vAlign w:val="center"/>
          </w:tcPr>
          <w:p>
            <w:pPr>
              <w:pStyle w:val="11"/>
            </w:pPr>
            <w:r>
              <w:t>其中：财政    资金</w:t>
            </w:r>
          </w:p>
        </w:tc>
        <w:tc>
          <w:tcPr>
            <w:tcW w:w="2551" w:type="dxa"/>
            <w:vAlign w:val="center"/>
          </w:tcPr>
          <w:p>
            <w:pPr>
              <w:pStyle w:val="13"/>
            </w:pPr>
            <w:r>
              <w:t>152.50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用于支付过渡费，解决信访隐患，维护社会稳定。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1.解决信访隐患，维护社会稳定。</w:t>
            </w:r>
          </w:p>
          <w:p>
            <w:pPr>
              <w:pStyle w:val="13"/>
            </w:pPr>
            <w:r>
              <w:t>2.提升棚户区改造满意度。</w:t>
            </w:r>
          </w:p>
          <w:p>
            <w:pPr>
              <w:pStyle w:val="13"/>
            </w:pPr>
            <w:r>
              <w:t>3.按照时间节点按时拨付资金。</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按时拨付资金</w:t>
            </w:r>
          </w:p>
        </w:tc>
        <w:tc>
          <w:tcPr>
            <w:tcW w:w="5386" w:type="dxa"/>
            <w:vAlign w:val="center"/>
          </w:tcPr>
          <w:p>
            <w:pPr>
              <w:pStyle w:val="13"/>
            </w:pPr>
            <w:r>
              <w:t>按时拨付资金</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息诉罢访率(%)</w:t>
            </w:r>
          </w:p>
        </w:tc>
        <w:tc>
          <w:tcPr>
            <w:tcW w:w="5386" w:type="dxa"/>
            <w:vAlign w:val="center"/>
          </w:tcPr>
          <w:p>
            <w:pPr>
              <w:pStyle w:val="13"/>
            </w:pPr>
            <w:r>
              <w:t>息诉罢访率(%)</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运行保障成本</w:t>
            </w:r>
          </w:p>
        </w:tc>
        <w:tc>
          <w:tcPr>
            <w:tcW w:w="2268" w:type="dxa"/>
            <w:vAlign w:val="center"/>
          </w:tcPr>
          <w:p>
            <w:pPr>
              <w:pStyle w:val="13"/>
            </w:pPr>
            <w:r>
              <w:t>152.5万元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经济效益指标</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社会效益显著</w:t>
            </w:r>
          </w:p>
        </w:tc>
        <w:tc>
          <w:tcPr>
            <w:tcW w:w="5386" w:type="dxa"/>
            <w:vAlign w:val="center"/>
          </w:tcPr>
          <w:p>
            <w:pPr>
              <w:pStyle w:val="13"/>
            </w:pPr>
            <w:r>
              <w:t>社会效益显著</w:t>
            </w:r>
          </w:p>
        </w:tc>
        <w:tc>
          <w:tcPr>
            <w:tcW w:w="2268" w:type="dxa"/>
            <w:vAlign w:val="center"/>
          </w:tcPr>
          <w:p>
            <w:pPr>
              <w:pStyle w:val="13"/>
            </w:pPr>
            <w:r>
              <w:t>社会效益显著</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pPr>
              <w:pStyle w:val="13"/>
            </w:pPr>
            <w:r>
              <w:t>反映方案编制后的影响力，是否提高了统计数据真实性；是否使得地区生产总值核算更加科学；是否加强了部、省、市三级运输量测算方法有效衔接</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改善棚户区周围生态环境。</w:t>
            </w:r>
          </w:p>
        </w:tc>
        <w:tc>
          <w:tcPr>
            <w:tcW w:w="5386" w:type="dxa"/>
            <w:vAlign w:val="center"/>
          </w:tcPr>
          <w:p>
            <w:pPr>
              <w:pStyle w:val="13"/>
            </w:pPr>
            <w:r>
              <w:t>改善棚户区周围生态环境。</w:t>
            </w:r>
          </w:p>
        </w:tc>
        <w:tc>
          <w:tcPr>
            <w:tcW w:w="2268" w:type="dxa"/>
            <w:vAlign w:val="center"/>
          </w:tcPr>
          <w:p>
            <w:pPr>
              <w:pStyle w:val="13"/>
            </w:pPr>
            <w:r>
              <w:t>改善棚户区周围生态环境。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信访群众满意度</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12、冀财农[2024]123号提前下达2025年省级乡村振兴专项资金（政府债券）-装配式农房226户资金绩效目标表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13018425P00001910012B</w:t>
            </w:r>
          </w:p>
        </w:tc>
        <w:tc>
          <w:tcPr>
            <w:tcW w:w="2835" w:type="dxa"/>
            <w:vAlign w:val="center"/>
          </w:tcPr>
          <w:p>
            <w:pPr>
              <w:pStyle w:val="11"/>
            </w:pPr>
            <w:r>
              <w:t>项目名称</w:t>
            </w:r>
          </w:p>
        </w:tc>
        <w:tc>
          <w:tcPr>
            <w:tcW w:w="6095" w:type="dxa"/>
            <w:gridSpan w:val="3"/>
            <w:vAlign w:val="center"/>
          </w:tcPr>
          <w:p>
            <w:pPr>
              <w:pStyle w:val="13"/>
            </w:pPr>
            <w:r>
              <w:t>冀财农[2024]123号提前下达2025年省级乡村振兴专项资金（政府债券）-装配式农房226户资金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用于支付农村装配式住房补助。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1.引领农村住房建设新风尚。</w:t>
            </w:r>
          </w:p>
          <w:p>
            <w:pPr>
              <w:pStyle w:val="13"/>
            </w:pPr>
            <w:r>
              <w:t>2.按照相关政策开展装配式农村住房建设工作。</w:t>
            </w:r>
          </w:p>
          <w:p>
            <w:pPr>
              <w:pStyle w:val="13"/>
            </w:pPr>
            <w:r>
              <w:t>3.进一步提升农房建设品质，改善农民群众的居住条件和居住环境。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补助的住房数量</w:t>
            </w:r>
          </w:p>
        </w:tc>
        <w:tc>
          <w:tcPr>
            <w:tcW w:w="5386" w:type="dxa"/>
            <w:vAlign w:val="center"/>
          </w:tcPr>
          <w:p>
            <w:pPr>
              <w:pStyle w:val="13"/>
            </w:pPr>
            <w:r>
              <w:t>实际补助的装配式农房数量</w:t>
            </w:r>
          </w:p>
        </w:tc>
        <w:tc>
          <w:tcPr>
            <w:tcW w:w="2268" w:type="dxa"/>
            <w:vAlign w:val="center"/>
          </w:tcPr>
          <w:p>
            <w:pPr>
              <w:pStyle w:val="13"/>
            </w:pPr>
            <w:r>
              <w:t>≥100百分比</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装配式农房竣工率</w:t>
            </w:r>
          </w:p>
        </w:tc>
        <w:tc>
          <w:tcPr>
            <w:tcW w:w="5386" w:type="dxa"/>
            <w:vAlign w:val="center"/>
          </w:tcPr>
          <w:p>
            <w:pPr>
              <w:pStyle w:val="13"/>
            </w:pPr>
            <w:r>
              <w:t>竣工装配式农房数</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完成时间</w:t>
            </w:r>
          </w:p>
        </w:tc>
        <w:tc>
          <w:tcPr>
            <w:tcW w:w="2268" w:type="dxa"/>
            <w:vAlign w:val="center"/>
          </w:tcPr>
          <w:p>
            <w:pPr>
              <w:pStyle w:val="13"/>
            </w:pPr>
            <w:r>
              <w:t>≥90百分比</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指导提高装配式农房品质</w:t>
            </w:r>
          </w:p>
        </w:tc>
        <w:tc>
          <w:tcPr>
            <w:tcW w:w="5386" w:type="dxa"/>
            <w:vAlign w:val="center"/>
          </w:tcPr>
          <w:p>
            <w:pPr>
              <w:pStyle w:val="13"/>
            </w:pPr>
            <w:r>
              <w:t>建成的装配式农村住房效果</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≥90百分比</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13、冀财农【2025】137号-提前下达2026年省级乡村振兴专项资金绩效目标表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13018426P00001910046U</w:t>
            </w:r>
          </w:p>
        </w:tc>
        <w:tc>
          <w:tcPr>
            <w:tcW w:w="2835" w:type="dxa"/>
            <w:vAlign w:val="center"/>
          </w:tcPr>
          <w:p>
            <w:pPr>
              <w:pStyle w:val="11"/>
            </w:pPr>
            <w:r>
              <w:t>项目名称</w:t>
            </w:r>
          </w:p>
        </w:tc>
        <w:tc>
          <w:tcPr>
            <w:tcW w:w="6095" w:type="dxa"/>
            <w:gridSpan w:val="3"/>
            <w:vAlign w:val="center"/>
          </w:tcPr>
          <w:p>
            <w:pPr>
              <w:pStyle w:val="13"/>
            </w:pPr>
            <w:r>
              <w:t>冀财农【2025】137号-提前下达2026年省级乡村振兴专项资金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用于支付装配式农房建设补助支出。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1.按照相关政策开展装配式农村住房建设工作。</w:t>
            </w:r>
          </w:p>
          <w:p>
            <w:pPr>
              <w:pStyle w:val="13"/>
            </w:pPr>
            <w:r>
              <w:t>2.进一步提升农房建设品质，改善农民群众的居住条件和居住环境。</w:t>
            </w:r>
          </w:p>
          <w:p>
            <w:pPr>
              <w:pStyle w:val="13"/>
            </w:pPr>
            <w:r>
              <w:t>3.引领农村住房建设新风尚。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补助的住房数量</w:t>
            </w:r>
          </w:p>
        </w:tc>
        <w:tc>
          <w:tcPr>
            <w:tcW w:w="5386" w:type="dxa"/>
            <w:vAlign w:val="center"/>
          </w:tcPr>
          <w:p>
            <w:pPr>
              <w:pStyle w:val="13"/>
            </w:pPr>
            <w:r>
              <w:t>实际补助的装配式农房数量</w:t>
            </w:r>
          </w:p>
        </w:tc>
        <w:tc>
          <w:tcPr>
            <w:tcW w:w="2268" w:type="dxa"/>
            <w:vAlign w:val="center"/>
          </w:tcPr>
          <w:p>
            <w:pPr>
              <w:pStyle w:val="13"/>
            </w:pPr>
            <w:r>
              <w:t>≥100百分比</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装配式农房竣工率</w:t>
            </w:r>
          </w:p>
        </w:tc>
        <w:tc>
          <w:tcPr>
            <w:tcW w:w="5386" w:type="dxa"/>
            <w:vAlign w:val="center"/>
          </w:tcPr>
          <w:p>
            <w:pPr>
              <w:pStyle w:val="13"/>
            </w:pPr>
            <w:r>
              <w:t>竣工装配式农房数</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完成时间</w:t>
            </w:r>
          </w:p>
        </w:tc>
        <w:tc>
          <w:tcPr>
            <w:tcW w:w="2268" w:type="dxa"/>
            <w:vAlign w:val="center"/>
          </w:tcPr>
          <w:p>
            <w:pPr>
              <w:pStyle w:val="13"/>
            </w:pPr>
            <w:r>
              <w:t>当年完成</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≤180万元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节约成本</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指导提高装配式农房品质</w:t>
            </w:r>
          </w:p>
        </w:tc>
        <w:tc>
          <w:tcPr>
            <w:tcW w:w="5386" w:type="dxa"/>
            <w:vAlign w:val="center"/>
          </w:tcPr>
          <w:p>
            <w:pPr>
              <w:pStyle w:val="13"/>
            </w:pPr>
            <w:r>
              <w:t>建成的装配式农村住房效果</w:t>
            </w:r>
          </w:p>
        </w:tc>
        <w:tc>
          <w:tcPr>
            <w:tcW w:w="2268" w:type="dxa"/>
            <w:vAlign w:val="center"/>
          </w:tcPr>
          <w:p>
            <w:pPr>
              <w:pStyle w:val="13"/>
            </w:pPr>
            <w:r>
              <w:t>建成装配式农村住房品质提高</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改善生态环境质量</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≥90百分比</w:t>
            </w:r>
          </w:p>
        </w:tc>
        <w:tc>
          <w:tcPr>
            <w:tcW w:w="1276" w:type="dxa"/>
            <w:vAlign w:val="center"/>
          </w:tcPr>
          <w:p>
            <w:pPr>
              <w:pStyle w:val="13"/>
            </w:pPr>
            <w:r>
              <w:t>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14、冀财社【2025】122号--提前下达2026年中央财政农村危房改造补助资金绩效目标表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13018425P000063100060</w:t>
            </w:r>
          </w:p>
        </w:tc>
        <w:tc>
          <w:tcPr>
            <w:tcW w:w="2835" w:type="dxa"/>
            <w:vAlign w:val="center"/>
          </w:tcPr>
          <w:p>
            <w:pPr>
              <w:pStyle w:val="11"/>
            </w:pPr>
            <w:r>
              <w:t>项目名称</w:t>
            </w:r>
          </w:p>
        </w:tc>
        <w:tc>
          <w:tcPr>
            <w:tcW w:w="6095" w:type="dxa"/>
            <w:gridSpan w:val="3"/>
            <w:vAlign w:val="center"/>
          </w:tcPr>
          <w:p>
            <w:pPr>
              <w:pStyle w:val="13"/>
            </w:pPr>
            <w:r>
              <w:t>冀财社【2025】122号--提前下达2026年中央财政农村危房改造补助资金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18.20</w:t>
            </w:r>
          </w:p>
        </w:tc>
        <w:tc>
          <w:tcPr>
            <w:tcW w:w="2835" w:type="dxa"/>
            <w:vAlign w:val="center"/>
          </w:tcPr>
          <w:p>
            <w:pPr>
              <w:pStyle w:val="11"/>
            </w:pPr>
            <w:r>
              <w:t>其中：财政    资金</w:t>
            </w:r>
          </w:p>
        </w:tc>
        <w:tc>
          <w:tcPr>
            <w:tcW w:w="2551" w:type="dxa"/>
            <w:vAlign w:val="center"/>
          </w:tcPr>
          <w:p>
            <w:pPr>
              <w:pStyle w:val="13"/>
            </w:pPr>
            <w:r>
              <w:t>18.20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用于农村危房改造方面的支出。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1.按照相关政策开展危房改造工作，聘请第三方确定危房等级及危房改造户资格。</w:t>
            </w:r>
          </w:p>
          <w:p>
            <w:pPr>
              <w:pStyle w:val="13"/>
            </w:pPr>
            <w:r>
              <w:t>2.按照相关政策，使危改户满意。</w:t>
            </w:r>
          </w:p>
          <w:p>
            <w:pPr>
              <w:pStyle w:val="13"/>
            </w:pPr>
            <w:r>
              <w:t>3.按照相关政策进行危房改造工程质量的相关指导、监督、保证改造质量，严把质量关。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危房改造任务完成率</w:t>
            </w:r>
          </w:p>
        </w:tc>
        <w:tc>
          <w:tcPr>
            <w:tcW w:w="5386" w:type="dxa"/>
            <w:vAlign w:val="center"/>
          </w:tcPr>
          <w:p>
            <w:pPr>
              <w:pStyle w:val="13"/>
            </w:pPr>
            <w:r>
              <w:t>危房改造任务占实际鉴定危房数的比例</w:t>
            </w:r>
          </w:p>
        </w:tc>
        <w:tc>
          <w:tcPr>
            <w:tcW w:w="2268" w:type="dxa"/>
            <w:vAlign w:val="center"/>
          </w:tcPr>
          <w:p>
            <w:pPr>
              <w:pStyle w:val="13"/>
            </w:pPr>
            <w:r>
              <w:t>≥90百分比</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改造完成验收合格率</w:t>
            </w:r>
          </w:p>
        </w:tc>
        <w:tc>
          <w:tcPr>
            <w:tcW w:w="5386" w:type="dxa"/>
            <w:vAlign w:val="center"/>
          </w:tcPr>
          <w:p>
            <w:pPr>
              <w:pStyle w:val="13"/>
            </w:pPr>
            <w:r>
              <w:t>当年危房改造合格户数占总改造户数的比例</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年度内完成改造户数占全部危房数</w:t>
            </w:r>
          </w:p>
        </w:tc>
        <w:tc>
          <w:tcPr>
            <w:tcW w:w="5386" w:type="dxa"/>
            <w:vAlign w:val="center"/>
          </w:tcPr>
          <w:p>
            <w:pPr>
              <w:pStyle w:val="13"/>
            </w:pPr>
            <w:r>
              <w:t>实际完成危改数占实际鉴定危房数的比例</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支出进度</w:t>
            </w:r>
          </w:p>
        </w:tc>
        <w:tc>
          <w:tcPr>
            <w:tcW w:w="5386" w:type="dxa"/>
            <w:vAlign w:val="center"/>
          </w:tcPr>
          <w:p>
            <w:pPr>
              <w:pStyle w:val="13"/>
            </w:pPr>
            <w:r>
              <w:t>危房改造验收完成30日内拨付到位</w:t>
            </w:r>
          </w:p>
        </w:tc>
        <w:tc>
          <w:tcPr>
            <w:tcW w:w="2268" w:type="dxa"/>
            <w:vAlign w:val="center"/>
          </w:tcPr>
          <w:p>
            <w:pPr>
              <w:pStyle w:val="13"/>
            </w:pPr>
            <w:r>
              <w:t>≥100百分比</w:t>
            </w:r>
          </w:p>
        </w:tc>
        <w:tc>
          <w:tcPr>
            <w:tcW w:w="1276" w:type="dxa"/>
            <w:vAlign w:val="center"/>
          </w:tcPr>
          <w:p>
            <w:pPr>
              <w:pStyle w:val="13"/>
            </w:pPr>
            <w:r>
              <w:t>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高效性</w:t>
            </w:r>
          </w:p>
        </w:tc>
        <w:tc>
          <w:tcPr>
            <w:tcW w:w="5386" w:type="dxa"/>
            <w:vAlign w:val="center"/>
          </w:tcPr>
          <w:p>
            <w:pPr>
              <w:pStyle w:val="13"/>
            </w:pPr>
            <w:r>
              <w:t>按照“发现一户，鉴定一户，改造一户”的原则进行</w:t>
            </w:r>
          </w:p>
        </w:tc>
        <w:tc>
          <w:tcPr>
            <w:tcW w:w="2268" w:type="dxa"/>
            <w:vAlign w:val="center"/>
          </w:tcPr>
          <w:p>
            <w:pPr>
              <w:pStyle w:val="13"/>
            </w:pPr>
            <w:r>
              <w:t>≥100百分比</w:t>
            </w:r>
          </w:p>
        </w:tc>
        <w:tc>
          <w:tcPr>
            <w:tcW w:w="1276" w:type="dxa"/>
            <w:vAlign w:val="center"/>
          </w:tcPr>
          <w:p>
            <w:pPr>
              <w:pStyle w:val="13"/>
            </w:pPr>
            <w:r>
              <w:t>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实现住房安全有保障</w:t>
            </w:r>
          </w:p>
        </w:tc>
        <w:tc>
          <w:tcPr>
            <w:tcW w:w="5386" w:type="dxa"/>
            <w:vAlign w:val="center"/>
          </w:tcPr>
          <w:p>
            <w:pPr>
              <w:pStyle w:val="13"/>
            </w:pPr>
            <w:r>
              <w:t>通过项目实施改造我市存在的农村危房</w:t>
            </w:r>
          </w:p>
        </w:tc>
        <w:tc>
          <w:tcPr>
            <w:tcW w:w="2268" w:type="dxa"/>
            <w:vAlign w:val="center"/>
          </w:tcPr>
          <w:p>
            <w:pPr>
              <w:pStyle w:val="13"/>
            </w:pPr>
            <w:r>
              <w:t>≥100百分比</w:t>
            </w:r>
          </w:p>
        </w:tc>
        <w:tc>
          <w:tcPr>
            <w:tcW w:w="1276" w:type="dxa"/>
            <w:vAlign w:val="center"/>
          </w:tcPr>
          <w:p>
            <w:pPr>
              <w:pStyle w:val="13"/>
            </w:pPr>
            <w:r>
              <w:t>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可持续发展</w:t>
            </w:r>
          </w:p>
        </w:tc>
        <w:tc>
          <w:tcPr>
            <w:tcW w:w="5386" w:type="dxa"/>
            <w:vAlign w:val="center"/>
          </w:tcPr>
          <w:p>
            <w:pPr>
              <w:pStyle w:val="13"/>
            </w:pPr>
            <w:r>
              <w:t>解决我市危改户住房安全</w:t>
            </w:r>
          </w:p>
        </w:tc>
        <w:tc>
          <w:tcPr>
            <w:tcW w:w="2268" w:type="dxa"/>
            <w:vAlign w:val="center"/>
          </w:tcPr>
          <w:p>
            <w:pPr>
              <w:pStyle w:val="13"/>
            </w:pPr>
            <w:r>
              <w:t>≥100百分比</w:t>
            </w:r>
          </w:p>
        </w:tc>
        <w:tc>
          <w:tcPr>
            <w:tcW w:w="1276" w:type="dxa"/>
            <w:vAlign w:val="center"/>
          </w:tcPr>
          <w:p>
            <w:pPr>
              <w:pStyle w:val="13"/>
            </w:pPr>
            <w:r>
              <w:t>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长期解决我市危改户住房安全</w:t>
            </w:r>
          </w:p>
        </w:tc>
        <w:tc>
          <w:tcPr>
            <w:tcW w:w="2268" w:type="dxa"/>
            <w:vAlign w:val="center"/>
          </w:tcPr>
          <w:p>
            <w:pPr>
              <w:pStyle w:val="13"/>
            </w:pPr>
            <w:r>
              <w:t>≥90百分比</w:t>
            </w:r>
          </w:p>
        </w:tc>
        <w:tc>
          <w:tcPr>
            <w:tcW w:w="1276" w:type="dxa"/>
            <w:vAlign w:val="center"/>
          </w:tcPr>
          <w:p>
            <w:pPr>
              <w:pStyle w:val="13"/>
            </w:pPr>
            <w:r>
              <w:t>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受益群体，满意和较满意额人数占全部人数的比率</w:t>
            </w:r>
          </w:p>
        </w:tc>
        <w:tc>
          <w:tcPr>
            <w:tcW w:w="2268" w:type="dxa"/>
            <w:vAlign w:val="center"/>
          </w:tcPr>
          <w:p>
            <w:pPr>
              <w:pStyle w:val="13"/>
            </w:pPr>
            <w:r>
              <w:t>≥90百分比</w:t>
            </w:r>
          </w:p>
        </w:tc>
        <w:tc>
          <w:tcPr>
            <w:tcW w:w="1276" w:type="dxa"/>
            <w:vAlign w:val="center"/>
          </w:tcPr>
          <w:p>
            <w:pPr>
              <w:pStyle w:val="13"/>
            </w:pPr>
            <w:r>
              <w:t>验收检查时，向改造房屋户了解满意程度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15、冀财社【2025】146号--提前下达2026年省级财政保障性安居工程（农村危房改造）补助资金绩效目标表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13018425P00006310007K</w:t>
            </w:r>
          </w:p>
        </w:tc>
        <w:tc>
          <w:tcPr>
            <w:tcW w:w="2835" w:type="dxa"/>
            <w:vAlign w:val="center"/>
          </w:tcPr>
          <w:p>
            <w:pPr>
              <w:pStyle w:val="11"/>
            </w:pPr>
            <w:r>
              <w:t>项目名称</w:t>
            </w:r>
          </w:p>
        </w:tc>
        <w:tc>
          <w:tcPr>
            <w:tcW w:w="6095" w:type="dxa"/>
            <w:gridSpan w:val="3"/>
            <w:vAlign w:val="center"/>
          </w:tcPr>
          <w:p>
            <w:pPr>
              <w:pStyle w:val="13"/>
            </w:pPr>
            <w:r>
              <w:t>冀财社【2025】146号--提前下达2026年省级财政保障性安居工程（农村危房改造）补助资金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用于农村危房改造。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1.按照相关政策开展危房改造工作，聘请第三方确定危房等级及危房改造户资格。</w:t>
            </w:r>
          </w:p>
          <w:p>
            <w:pPr>
              <w:pStyle w:val="13"/>
            </w:pPr>
            <w:r>
              <w:t>2.按照相关政策，使危改户满意。</w:t>
            </w:r>
          </w:p>
          <w:p>
            <w:pPr>
              <w:pStyle w:val="13"/>
            </w:pPr>
            <w:r>
              <w:t>3.按照相关政策进行危房改造工程质量的相关指导、监督、保证改造质量，严把质量关。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危房改造任务完成率</w:t>
            </w:r>
          </w:p>
        </w:tc>
        <w:tc>
          <w:tcPr>
            <w:tcW w:w="5386" w:type="dxa"/>
            <w:vAlign w:val="center"/>
          </w:tcPr>
          <w:p>
            <w:pPr>
              <w:pStyle w:val="13"/>
            </w:pPr>
            <w:r>
              <w:t>危房改造任务占实际鉴定危房数的比例</w:t>
            </w:r>
          </w:p>
        </w:tc>
        <w:tc>
          <w:tcPr>
            <w:tcW w:w="2268" w:type="dxa"/>
            <w:vAlign w:val="center"/>
          </w:tcPr>
          <w:p>
            <w:pPr>
              <w:pStyle w:val="13"/>
            </w:pPr>
            <w:r>
              <w:t>≥90百分比</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改造完成验收合格率</w:t>
            </w:r>
          </w:p>
        </w:tc>
        <w:tc>
          <w:tcPr>
            <w:tcW w:w="5386" w:type="dxa"/>
            <w:vAlign w:val="center"/>
          </w:tcPr>
          <w:p>
            <w:pPr>
              <w:pStyle w:val="13"/>
            </w:pPr>
            <w:r>
              <w:t>当年危房改造合格户数占总改造户数的比例</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年度内完成改造户数占全部危房数</w:t>
            </w:r>
          </w:p>
        </w:tc>
        <w:tc>
          <w:tcPr>
            <w:tcW w:w="5386" w:type="dxa"/>
            <w:vAlign w:val="center"/>
          </w:tcPr>
          <w:p>
            <w:pPr>
              <w:pStyle w:val="13"/>
            </w:pPr>
            <w:r>
              <w:t>实际完成危改数占实际鉴定危房数的比例</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支出进度</w:t>
            </w:r>
          </w:p>
        </w:tc>
        <w:tc>
          <w:tcPr>
            <w:tcW w:w="5386" w:type="dxa"/>
            <w:vAlign w:val="center"/>
          </w:tcPr>
          <w:p>
            <w:pPr>
              <w:pStyle w:val="13"/>
            </w:pPr>
            <w:r>
              <w:t>危房改造验收完成30日内拨付到位</w:t>
            </w:r>
          </w:p>
        </w:tc>
        <w:tc>
          <w:tcPr>
            <w:tcW w:w="2268" w:type="dxa"/>
            <w:vAlign w:val="center"/>
          </w:tcPr>
          <w:p>
            <w:pPr>
              <w:pStyle w:val="13"/>
            </w:pPr>
            <w:r>
              <w:t>≥100百分比</w:t>
            </w:r>
          </w:p>
        </w:tc>
        <w:tc>
          <w:tcPr>
            <w:tcW w:w="1276" w:type="dxa"/>
            <w:vAlign w:val="center"/>
          </w:tcPr>
          <w:p>
            <w:pPr>
              <w:pStyle w:val="13"/>
            </w:pPr>
            <w:r>
              <w:t>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高效性</w:t>
            </w:r>
          </w:p>
        </w:tc>
        <w:tc>
          <w:tcPr>
            <w:tcW w:w="5386" w:type="dxa"/>
            <w:vAlign w:val="center"/>
          </w:tcPr>
          <w:p>
            <w:pPr>
              <w:pStyle w:val="13"/>
            </w:pPr>
            <w:r>
              <w:t>按照“发现一户，鉴定一户，改造一户”的原则进行</w:t>
            </w:r>
          </w:p>
        </w:tc>
        <w:tc>
          <w:tcPr>
            <w:tcW w:w="2268" w:type="dxa"/>
            <w:vAlign w:val="center"/>
          </w:tcPr>
          <w:p>
            <w:pPr>
              <w:pStyle w:val="13"/>
            </w:pPr>
            <w:r>
              <w:t>≥100百分比</w:t>
            </w:r>
          </w:p>
        </w:tc>
        <w:tc>
          <w:tcPr>
            <w:tcW w:w="1276" w:type="dxa"/>
            <w:vAlign w:val="center"/>
          </w:tcPr>
          <w:p>
            <w:pPr>
              <w:pStyle w:val="13"/>
            </w:pPr>
            <w:r>
              <w:t>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实现住房安全有保障</w:t>
            </w:r>
          </w:p>
        </w:tc>
        <w:tc>
          <w:tcPr>
            <w:tcW w:w="5386" w:type="dxa"/>
            <w:vAlign w:val="center"/>
          </w:tcPr>
          <w:p>
            <w:pPr>
              <w:pStyle w:val="13"/>
            </w:pPr>
            <w:r>
              <w:t>通过项目实施改造我市存在的农村危房</w:t>
            </w:r>
          </w:p>
        </w:tc>
        <w:tc>
          <w:tcPr>
            <w:tcW w:w="2268" w:type="dxa"/>
            <w:vAlign w:val="center"/>
          </w:tcPr>
          <w:p>
            <w:pPr>
              <w:pStyle w:val="13"/>
            </w:pPr>
            <w:r>
              <w:t>≥100百分比</w:t>
            </w:r>
          </w:p>
        </w:tc>
        <w:tc>
          <w:tcPr>
            <w:tcW w:w="1276" w:type="dxa"/>
            <w:vAlign w:val="center"/>
          </w:tcPr>
          <w:p>
            <w:pPr>
              <w:pStyle w:val="13"/>
            </w:pPr>
            <w:r>
              <w:t>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可持续发展</w:t>
            </w:r>
          </w:p>
        </w:tc>
        <w:tc>
          <w:tcPr>
            <w:tcW w:w="5386" w:type="dxa"/>
            <w:vAlign w:val="center"/>
          </w:tcPr>
          <w:p>
            <w:pPr>
              <w:pStyle w:val="13"/>
            </w:pPr>
            <w:r>
              <w:t>解决我市危改户住房安全</w:t>
            </w:r>
          </w:p>
        </w:tc>
        <w:tc>
          <w:tcPr>
            <w:tcW w:w="2268" w:type="dxa"/>
            <w:vAlign w:val="center"/>
          </w:tcPr>
          <w:p>
            <w:pPr>
              <w:pStyle w:val="13"/>
            </w:pPr>
            <w:r>
              <w:t>≥100百分比</w:t>
            </w:r>
          </w:p>
        </w:tc>
        <w:tc>
          <w:tcPr>
            <w:tcW w:w="1276" w:type="dxa"/>
            <w:vAlign w:val="center"/>
          </w:tcPr>
          <w:p>
            <w:pPr>
              <w:pStyle w:val="13"/>
            </w:pPr>
            <w:r>
              <w:t>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长期解决我市危改户住房安全</w:t>
            </w:r>
          </w:p>
        </w:tc>
        <w:tc>
          <w:tcPr>
            <w:tcW w:w="2268" w:type="dxa"/>
            <w:vAlign w:val="center"/>
          </w:tcPr>
          <w:p>
            <w:pPr>
              <w:pStyle w:val="13"/>
            </w:pPr>
            <w:r>
              <w:t>≥90百分比</w:t>
            </w:r>
          </w:p>
        </w:tc>
        <w:tc>
          <w:tcPr>
            <w:tcW w:w="1276" w:type="dxa"/>
            <w:vAlign w:val="center"/>
          </w:tcPr>
          <w:p>
            <w:pPr>
              <w:pStyle w:val="13"/>
            </w:pPr>
            <w:r>
              <w:t>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受益群体，满意和较满意额人数占全部人数的比率</w:t>
            </w:r>
          </w:p>
        </w:tc>
        <w:tc>
          <w:tcPr>
            <w:tcW w:w="2268" w:type="dxa"/>
            <w:vAlign w:val="center"/>
          </w:tcPr>
          <w:p>
            <w:pPr>
              <w:pStyle w:val="13"/>
            </w:pPr>
            <w:r>
              <w:t>≥90百分比</w:t>
            </w:r>
          </w:p>
        </w:tc>
        <w:tc>
          <w:tcPr>
            <w:tcW w:w="1276" w:type="dxa"/>
            <w:vAlign w:val="center"/>
          </w:tcPr>
          <w:p>
            <w:pPr>
              <w:pStyle w:val="13"/>
            </w:pPr>
            <w:r>
              <w:t>验收检查时，向改造房屋户了解满意程度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16、冀财综【2025】35号--提前下达2026年省级财政城镇保障性安居工程补助资金绩效目标表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13018425P00003810019D</w:t>
            </w:r>
          </w:p>
        </w:tc>
        <w:tc>
          <w:tcPr>
            <w:tcW w:w="2835" w:type="dxa"/>
            <w:vAlign w:val="center"/>
          </w:tcPr>
          <w:p>
            <w:pPr>
              <w:pStyle w:val="11"/>
            </w:pPr>
            <w:r>
              <w:t>项目名称</w:t>
            </w:r>
          </w:p>
        </w:tc>
        <w:tc>
          <w:tcPr>
            <w:tcW w:w="6095" w:type="dxa"/>
            <w:gridSpan w:val="3"/>
            <w:vAlign w:val="center"/>
          </w:tcPr>
          <w:p>
            <w:pPr>
              <w:pStyle w:val="13"/>
            </w:pPr>
            <w:r>
              <w:t>冀财综【2025】35号--提前下达2026年省级财政城镇保障性安居工程补助资金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用于支付保障家庭租赁补贴。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1.完成2025年度公租房租赁补贴发放计划</w:t>
            </w:r>
          </w:p>
          <w:p>
            <w:pPr>
              <w:pStyle w:val="13"/>
            </w:pPr>
            <w:r>
              <w:t>2.提高城镇住房保障家庭租赁补贴资金使用效益，更好地实现住房保障目标。</w:t>
            </w:r>
          </w:p>
          <w:p>
            <w:pPr>
              <w:pStyle w:val="13"/>
            </w:pPr>
            <w:r>
              <w:t>3.让困难群体享受国家的惠民政策，使住房保障资格得到更合理、更充分、更平等利用。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补助户数</w:t>
            </w:r>
          </w:p>
        </w:tc>
        <w:tc>
          <w:tcPr>
            <w:tcW w:w="5386" w:type="dxa"/>
            <w:vAlign w:val="center"/>
          </w:tcPr>
          <w:p>
            <w:pPr>
              <w:pStyle w:val="13"/>
            </w:pPr>
            <w:r>
              <w:t>按年度计划执行</w:t>
            </w:r>
          </w:p>
        </w:tc>
        <w:tc>
          <w:tcPr>
            <w:tcW w:w="2268" w:type="dxa"/>
            <w:vAlign w:val="center"/>
          </w:tcPr>
          <w:p>
            <w:pPr>
              <w:pStyle w:val="13"/>
            </w:pPr>
            <w:r>
              <w:t>≥10户</w:t>
            </w:r>
          </w:p>
        </w:tc>
        <w:tc>
          <w:tcPr>
            <w:tcW w:w="1276" w:type="dxa"/>
            <w:vAlign w:val="center"/>
          </w:tcPr>
          <w:p>
            <w:pPr>
              <w:pStyle w:val="13"/>
            </w:pPr>
            <w:r>
              <w:t>实际完成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补助合格率</w:t>
            </w:r>
          </w:p>
        </w:tc>
        <w:tc>
          <w:tcPr>
            <w:tcW w:w="5386" w:type="dxa"/>
            <w:vAlign w:val="center"/>
          </w:tcPr>
          <w:p>
            <w:pPr>
              <w:pStyle w:val="13"/>
            </w:pPr>
            <w:r>
              <w:t>发放租赁补贴严格把关</w:t>
            </w:r>
          </w:p>
        </w:tc>
        <w:tc>
          <w:tcPr>
            <w:tcW w:w="2268" w:type="dxa"/>
            <w:vAlign w:val="center"/>
          </w:tcPr>
          <w:p>
            <w:pPr>
              <w:pStyle w:val="13"/>
            </w:pPr>
            <w:r>
              <w:t>≥100%</w:t>
            </w:r>
          </w:p>
        </w:tc>
        <w:tc>
          <w:tcPr>
            <w:tcW w:w="1276" w:type="dxa"/>
            <w:vAlign w:val="center"/>
          </w:tcPr>
          <w:p>
            <w:pPr>
              <w:pStyle w:val="13"/>
            </w:pPr>
            <w:r>
              <w:t>实际完成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补助按时到位</w:t>
            </w:r>
          </w:p>
        </w:tc>
        <w:tc>
          <w:tcPr>
            <w:tcW w:w="5386" w:type="dxa"/>
            <w:vAlign w:val="center"/>
          </w:tcPr>
          <w:p>
            <w:pPr>
              <w:pStyle w:val="13"/>
            </w:pPr>
            <w:r>
              <w:t>按季度发放补贴</w:t>
            </w:r>
          </w:p>
        </w:tc>
        <w:tc>
          <w:tcPr>
            <w:tcW w:w="2268" w:type="dxa"/>
            <w:vAlign w:val="center"/>
          </w:tcPr>
          <w:p>
            <w:pPr>
              <w:pStyle w:val="13"/>
            </w:pPr>
            <w:r>
              <w:t>≥100%</w:t>
            </w:r>
          </w:p>
        </w:tc>
        <w:tc>
          <w:tcPr>
            <w:tcW w:w="1276" w:type="dxa"/>
            <w:vAlign w:val="center"/>
          </w:tcPr>
          <w:p>
            <w:pPr>
              <w:pStyle w:val="13"/>
            </w:pPr>
            <w:r>
              <w:t>实际完成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按政策执行</w:t>
            </w:r>
          </w:p>
        </w:tc>
        <w:tc>
          <w:tcPr>
            <w:tcW w:w="2268" w:type="dxa"/>
            <w:vAlign w:val="center"/>
          </w:tcPr>
          <w:p>
            <w:pPr>
              <w:pStyle w:val="13"/>
            </w:pPr>
            <w:r>
              <w:t>≥90元</w:t>
            </w:r>
          </w:p>
        </w:tc>
        <w:tc>
          <w:tcPr>
            <w:tcW w:w="1276" w:type="dxa"/>
            <w:vAlign w:val="center"/>
          </w:tcPr>
          <w:p>
            <w:pPr>
              <w:pStyle w:val="13"/>
            </w:pPr>
            <w:r>
              <w:t>实际完成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补助事项公示率</w:t>
            </w:r>
          </w:p>
        </w:tc>
        <w:tc>
          <w:tcPr>
            <w:tcW w:w="5386" w:type="dxa"/>
            <w:vAlign w:val="center"/>
          </w:tcPr>
          <w:p>
            <w:pPr>
              <w:pStyle w:val="13"/>
            </w:pPr>
            <w:r>
              <w:t>政策知晓</w:t>
            </w:r>
          </w:p>
        </w:tc>
        <w:tc>
          <w:tcPr>
            <w:tcW w:w="2268" w:type="dxa"/>
            <w:vAlign w:val="center"/>
          </w:tcPr>
          <w:p>
            <w:pPr>
              <w:pStyle w:val="13"/>
            </w:pPr>
            <w:r>
              <w:t>≥100%</w:t>
            </w:r>
          </w:p>
        </w:tc>
        <w:tc>
          <w:tcPr>
            <w:tcW w:w="1276" w:type="dxa"/>
            <w:vAlign w:val="center"/>
          </w:tcPr>
          <w:p>
            <w:pPr>
              <w:pStyle w:val="13"/>
            </w:pPr>
            <w:r>
              <w:t>实际完成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提高住房保障质量</w:t>
            </w:r>
          </w:p>
        </w:tc>
        <w:tc>
          <w:tcPr>
            <w:tcW w:w="5386" w:type="dxa"/>
            <w:vAlign w:val="center"/>
          </w:tcPr>
          <w:p>
            <w:pPr>
              <w:pStyle w:val="13"/>
            </w:pPr>
            <w:r>
              <w:t>改善住房条件</w:t>
            </w:r>
          </w:p>
        </w:tc>
        <w:tc>
          <w:tcPr>
            <w:tcW w:w="2268" w:type="dxa"/>
            <w:vAlign w:val="center"/>
          </w:tcPr>
          <w:p>
            <w:pPr>
              <w:pStyle w:val="13"/>
            </w:pPr>
            <w:r>
              <w:t>改善居住户数</w:t>
            </w:r>
          </w:p>
        </w:tc>
        <w:tc>
          <w:tcPr>
            <w:tcW w:w="1276" w:type="dxa"/>
            <w:vAlign w:val="center"/>
          </w:tcPr>
          <w:p>
            <w:pPr>
              <w:pStyle w:val="13"/>
            </w:pPr>
            <w:r>
              <w:t>实际完成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住房质量标准</w:t>
            </w:r>
          </w:p>
        </w:tc>
        <w:tc>
          <w:tcPr>
            <w:tcW w:w="5386" w:type="dxa"/>
            <w:vAlign w:val="center"/>
          </w:tcPr>
          <w:p>
            <w:pPr>
              <w:pStyle w:val="13"/>
            </w:pPr>
            <w:r>
              <w:t>实际住房质量</w:t>
            </w:r>
          </w:p>
        </w:tc>
        <w:tc>
          <w:tcPr>
            <w:tcW w:w="2268" w:type="dxa"/>
            <w:vAlign w:val="center"/>
          </w:tcPr>
          <w:p>
            <w:pPr>
              <w:pStyle w:val="13"/>
            </w:pPr>
            <w:r>
              <w:t>提高质量户数</w:t>
            </w:r>
          </w:p>
        </w:tc>
        <w:tc>
          <w:tcPr>
            <w:tcW w:w="1276" w:type="dxa"/>
            <w:vAlign w:val="center"/>
          </w:tcPr>
          <w:p>
            <w:pPr>
              <w:pStyle w:val="13"/>
            </w:pPr>
            <w:r>
              <w:t>实际完成户数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提升行业管理水平</w:t>
            </w:r>
          </w:p>
        </w:tc>
        <w:tc>
          <w:tcPr>
            <w:tcW w:w="5386" w:type="dxa"/>
            <w:vAlign w:val="center"/>
          </w:tcPr>
          <w:p>
            <w:pPr>
              <w:pStyle w:val="13"/>
            </w:pPr>
            <w:r>
              <w:t>提升行业管理水平</w:t>
            </w:r>
          </w:p>
        </w:tc>
        <w:tc>
          <w:tcPr>
            <w:tcW w:w="2268" w:type="dxa"/>
            <w:vAlign w:val="center"/>
          </w:tcPr>
          <w:p>
            <w:pPr>
              <w:pStyle w:val="13"/>
            </w:pPr>
            <w:r>
              <w:t>≥95%</w:t>
            </w:r>
          </w:p>
        </w:tc>
        <w:tc>
          <w:tcPr>
            <w:tcW w:w="1276" w:type="dxa"/>
            <w:vAlign w:val="center"/>
          </w:tcPr>
          <w:p>
            <w:pPr>
              <w:pStyle w:val="13"/>
            </w:pPr>
            <w:r>
              <w:t>提高管理水平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困难住房家庭满意</w:t>
            </w:r>
          </w:p>
        </w:tc>
        <w:tc>
          <w:tcPr>
            <w:tcW w:w="2268" w:type="dxa"/>
            <w:vAlign w:val="center"/>
          </w:tcPr>
          <w:p>
            <w:pPr>
              <w:pStyle w:val="13"/>
            </w:pPr>
            <w:r>
              <w:t>≥95%</w:t>
            </w:r>
          </w:p>
        </w:tc>
        <w:tc>
          <w:tcPr>
            <w:tcW w:w="1276" w:type="dxa"/>
            <w:vAlign w:val="center"/>
          </w:tcPr>
          <w:p>
            <w:pPr>
              <w:pStyle w:val="13"/>
            </w:pPr>
            <w:r>
              <w:t>实际完成</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17、新乐市城市配电网建设项目绩效目标表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130184244GMKMPG20P3PR</w:t>
            </w:r>
          </w:p>
        </w:tc>
        <w:tc>
          <w:tcPr>
            <w:tcW w:w="2835" w:type="dxa"/>
            <w:vAlign w:val="center"/>
          </w:tcPr>
          <w:p>
            <w:pPr>
              <w:pStyle w:val="11"/>
            </w:pPr>
            <w:r>
              <w:t>项目名称</w:t>
            </w:r>
          </w:p>
        </w:tc>
        <w:tc>
          <w:tcPr>
            <w:tcW w:w="6095" w:type="dxa"/>
            <w:gridSpan w:val="3"/>
            <w:vAlign w:val="center"/>
          </w:tcPr>
          <w:p>
            <w:pPr>
              <w:pStyle w:val="13"/>
            </w:pPr>
            <w:r>
              <w:t>新乐市城市配电网建设项目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7000.00</w:t>
            </w:r>
          </w:p>
        </w:tc>
        <w:tc>
          <w:tcPr>
            <w:tcW w:w="2835" w:type="dxa"/>
            <w:vAlign w:val="center"/>
          </w:tcPr>
          <w:p>
            <w:pPr>
              <w:pStyle w:val="11"/>
            </w:pPr>
            <w:r>
              <w:t>其中：财政    资金</w:t>
            </w:r>
          </w:p>
        </w:tc>
        <w:tc>
          <w:tcPr>
            <w:tcW w:w="2551" w:type="dxa"/>
            <w:vAlign w:val="center"/>
          </w:tcPr>
          <w:p>
            <w:pPr>
              <w:pStyle w:val="13"/>
            </w:pPr>
            <w:r>
              <w:t>7000.00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用于城市配电网建设。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1.及时完成设备安装施工。</w:t>
            </w:r>
          </w:p>
          <w:p>
            <w:pPr>
              <w:pStyle w:val="13"/>
            </w:pPr>
            <w:r>
              <w:t>2.及时完成项目建筑施工。</w:t>
            </w:r>
          </w:p>
          <w:p>
            <w:pPr>
              <w:pStyle w:val="13"/>
            </w:pPr>
            <w:r>
              <w:t>3.及时完成项目勘察设计工作。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计划执行完成率</w:t>
            </w:r>
          </w:p>
        </w:tc>
        <w:tc>
          <w:tcPr>
            <w:tcW w:w="5386" w:type="dxa"/>
            <w:vAlign w:val="center"/>
          </w:tcPr>
          <w:p>
            <w:pPr>
              <w:pStyle w:val="13"/>
            </w:pPr>
            <w:r>
              <w:t>计划执行完成率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土地利用率</w:t>
            </w:r>
          </w:p>
        </w:tc>
        <w:tc>
          <w:tcPr>
            <w:tcW w:w="5386" w:type="dxa"/>
            <w:vAlign w:val="center"/>
          </w:tcPr>
          <w:p>
            <w:pPr>
              <w:pStyle w:val="13"/>
            </w:pPr>
            <w:r>
              <w:t>土地利用率</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项目对生态效益提升比</w:t>
            </w:r>
          </w:p>
        </w:tc>
        <w:tc>
          <w:tcPr>
            <w:tcW w:w="5386" w:type="dxa"/>
            <w:vAlign w:val="center"/>
          </w:tcPr>
          <w:p>
            <w:pPr>
              <w:pStyle w:val="13"/>
            </w:pPr>
            <w:r>
              <w:t>项目对生态效益提升比值</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受众满意率</w:t>
            </w:r>
          </w:p>
        </w:tc>
        <w:tc>
          <w:tcPr>
            <w:tcW w:w="5386" w:type="dxa"/>
            <w:vAlign w:val="center"/>
          </w:tcPr>
          <w:p>
            <w:pPr>
              <w:pStyle w:val="13"/>
            </w:pPr>
            <w:r>
              <w:t>受众满意率</w:t>
            </w:r>
          </w:p>
        </w:tc>
        <w:tc>
          <w:tcPr>
            <w:tcW w:w="2268" w:type="dxa"/>
            <w:vAlign w:val="center"/>
          </w:tcPr>
          <w:p>
            <w:pPr>
              <w:pStyle w:val="13"/>
            </w:pPr>
            <w:r>
              <w:t>≥90百分比</w:t>
            </w:r>
          </w:p>
        </w:tc>
        <w:tc>
          <w:tcPr>
            <w:tcW w:w="1276" w:type="dxa"/>
            <w:vAlign w:val="center"/>
          </w:tcPr>
          <w:p>
            <w:pPr>
              <w:pStyle w:val="13"/>
            </w:pPr>
            <w:r>
              <w:t>测算标准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18、新乐市伏羲大街高架桥工程绩效目标表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13018418D000000031830</w:t>
            </w:r>
          </w:p>
        </w:tc>
        <w:tc>
          <w:tcPr>
            <w:tcW w:w="2835" w:type="dxa"/>
            <w:vAlign w:val="center"/>
          </w:tcPr>
          <w:p>
            <w:pPr>
              <w:pStyle w:val="11"/>
            </w:pPr>
            <w:r>
              <w:t>项目名称</w:t>
            </w:r>
          </w:p>
        </w:tc>
        <w:tc>
          <w:tcPr>
            <w:tcW w:w="6095" w:type="dxa"/>
            <w:gridSpan w:val="3"/>
            <w:vAlign w:val="center"/>
          </w:tcPr>
          <w:p>
            <w:pPr>
              <w:pStyle w:val="13"/>
            </w:pPr>
            <w:r>
              <w:t>新乐市伏羲大街高架桥工程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用于伏羲大街高架桥项目支出。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1.规范施工工序，提高工程质量。</w:t>
            </w:r>
          </w:p>
          <w:p>
            <w:pPr>
              <w:pStyle w:val="13"/>
            </w:pPr>
            <w:r>
              <w:t>2.提高受益群众满意度，提升城市品质。</w:t>
            </w:r>
          </w:p>
          <w:p>
            <w:pPr>
              <w:pStyle w:val="13"/>
            </w:pPr>
            <w:r>
              <w:t>3.加快施工进度，完成项目建设。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中间交工质量合格情况</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工程完成率</w:t>
            </w:r>
          </w:p>
        </w:tc>
        <w:tc>
          <w:tcPr>
            <w:tcW w:w="5386" w:type="dxa"/>
            <w:vAlign w:val="center"/>
          </w:tcPr>
          <w:p>
            <w:pPr>
              <w:pStyle w:val="13"/>
            </w:pPr>
            <w:r>
              <w:t>工程施工进度工作量占工程完工总量的比率。</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≥90百分比</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项目对经济效益提升比</w:t>
            </w:r>
          </w:p>
        </w:tc>
        <w:tc>
          <w:tcPr>
            <w:tcW w:w="5386" w:type="dxa"/>
            <w:vAlign w:val="center"/>
          </w:tcPr>
          <w:p>
            <w:pPr>
              <w:pStyle w:val="13"/>
            </w:pPr>
            <w:r>
              <w:t>项目对经济效益提升比值</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项目对生态效益提升比</w:t>
            </w:r>
          </w:p>
        </w:tc>
        <w:tc>
          <w:tcPr>
            <w:tcW w:w="5386" w:type="dxa"/>
            <w:vAlign w:val="center"/>
          </w:tcPr>
          <w:p>
            <w:pPr>
              <w:pStyle w:val="13"/>
            </w:pPr>
            <w:r>
              <w:t>项目对生态效益提升比值</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≥90百分比</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受众满意率</w:t>
            </w:r>
          </w:p>
        </w:tc>
        <w:tc>
          <w:tcPr>
            <w:tcW w:w="5386" w:type="dxa"/>
            <w:vAlign w:val="center"/>
          </w:tcPr>
          <w:p>
            <w:pPr>
              <w:pStyle w:val="13"/>
            </w:pPr>
            <w:r>
              <w:t>受众满意率</w:t>
            </w:r>
          </w:p>
        </w:tc>
        <w:tc>
          <w:tcPr>
            <w:tcW w:w="2268" w:type="dxa"/>
            <w:vAlign w:val="center"/>
          </w:tcPr>
          <w:p>
            <w:pPr>
              <w:pStyle w:val="13"/>
            </w:pPr>
            <w:r>
              <w:t>≥90百分比</w:t>
            </w:r>
          </w:p>
        </w:tc>
        <w:tc>
          <w:tcPr>
            <w:tcW w:w="1276" w:type="dxa"/>
            <w:vAlign w:val="center"/>
          </w:tcPr>
          <w:p>
            <w:pPr>
              <w:pStyle w:val="13"/>
            </w:pPr>
            <w:r>
              <w:t>测算标准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19、新乐市居住小区雨污水管网分流改造工程绩效目标表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13018424K1X6PIDN5CYC7</w:t>
            </w:r>
          </w:p>
        </w:tc>
        <w:tc>
          <w:tcPr>
            <w:tcW w:w="2835" w:type="dxa"/>
            <w:vAlign w:val="center"/>
          </w:tcPr>
          <w:p>
            <w:pPr>
              <w:pStyle w:val="11"/>
            </w:pPr>
            <w:r>
              <w:t>项目名称</w:t>
            </w:r>
          </w:p>
        </w:tc>
        <w:tc>
          <w:tcPr>
            <w:tcW w:w="6095" w:type="dxa"/>
            <w:gridSpan w:val="3"/>
            <w:vAlign w:val="center"/>
          </w:tcPr>
          <w:p>
            <w:pPr>
              <w:pStyle w:val="13"/>
            </w:pPr>
            <w:r>
              <w:t>新乐市居住小区雨污水管网分流改造工程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w:t>
            </w:r>
          </w:p>
        </w:tc>
        <w:tc>
          <w:tcPr>
            <w:tcW w:w="2835" w:type="dxa"/>
            <w:vAlign w:val="center"/>
          </w:tcPr>
          <w:p>
            <w:pPr>
              <w:pStyle w:val="11"/>
            </w:pPr>
            <w:r>
              <w:t>其中：财政    资金</w:t>
            </w:r>
          </w:p>
        </w:tc>
        <w:tc>
          <w:tcPr>
            <w:tcW w:w="2551" w:type="dxa"/>
            <w:vAlign w:val="center"/>
          </w:tcPr>
          <w:p>
            <w:pPr>
              <w:pStyle w:val="13"/>
            </w:pPr>
            <w:r>
              <w:t>1500.00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用于小区雨污水管网分流改造。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1.改造完成后，能够减少水污染，进一步改善生态环境，提高生活品质。</w:t>
            </w:r>
          </w:p>
          <w:p>
            <w:pPr>
              <w:pStyle w:val="13"/>
            </w:pPr>
            <w:r>
              <w:t>2.通过项目实施，实现新乐市22个小区内雨水、污水各行其道，减缓污水处理压力，减少水污染，改善生态环境。</w:t>
            </w:r>
          </w:p>
          <w:p>
            <w:pPr>
              <w:pStyle w:val="13"/>
            </w:pPr>
            <w:r>
              <w:t>3.经过改造工作实施，增强既有小区居民的幸福感、安全感、获得感。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项目完工率</w:t>
            </w:r>
          </w:p>
        </w:tc>
        <w:tc>
          <w:tcPr>
            <w:tcW w:w="5386" w:type="dxa"/>
            <w:vAlign w:val="center"/>
          </w:tcPr>
          <w:p>
            <w:pPr>
              <w:pStyle w:val="13"/>
            </w:pPr>
            <w:r>
              <w:t>实际项目工作量占计划完成工作量比率</w:t>
            </w:r>
          </w:p>
        </w:tc>
        <w:tc>
          <w:tcPr>
            <w:tcW w:w="2268" w:type="dxa"/>
            <w:vAlign w:val="center"/>
          </w:tcPr>
          <w:p>
            <w:pPr>
              <w:pStyle w:val="13"/>
            </w:pPr>
            <w:r>
              <w:t>≥95%</w:t>
            </w:r>
          </w:p>
        </w:tc>
        <w:tc>
          <w:tcPr>
            <w:tcW w:w="1276" w:type="dxa"/>
            <w:vAlign w:val="center"/>
          </w:tcPr>
          <w:p>
            <w:pPr>
              <w:pStyle w:val="13"/>
            </w:pPr>
            <w:r>
              <w:t>完成工作量进度情况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项目完工率</w:t>
            </w:r>
          </w:p>
        </w:tc>
        <w:tc>
          <w:tcPr>
            <w:tcW w:w="5386" w:type="dxa"/>
            <w:vAlign w:val="center"/>
          </w:tcPr>
          <w:p>
            <w:pPr>
              <w:pStyle w:val="13"/>
            </w:pPr>
            <w:r>
              <w:t>工程进度工作量占计划工程总量的比率</w:t>
            </w:r>
          </w:p>
        </w:tc>
        <w:tc>
          <w:tcPr>
            <w:tcW w:w="2268" w:type="dxa"/>
            <w:vAlign w:val="center"/>
          </w:tcPr>
          <w:p>
            <w:pPr>
              <w:pStyle w:val="13"/>
            </w:pPr>
            <w:r>
              <w:t>≥95%</w:t>
            </w:r>
          </w:p>
        </w:tc>
        <w:tc>
          <w:tcPr>
            <w:tcW w:w="1276" w:type="dxa"/>
            <w:vAlign w:val="center"/>
          </w:tcPr>
          <w:p>
            <w:pPr>
              <w:pStyle w:val="13"/>
            </w:pPr>
            <w:r>
              <w:t>计划工程量个数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费用完成占比率</w:t>
            </w:r>
          </w:p>
        </w:tc>
        <w:tc>
          <w:tcPr>
            <w:tcW w:w="5386" w:type="dxa"/>
            <w:vAlign w:val="center"/>
          </w:tcPr>
          <w:p>
            <w:pPr>
              <w:pStyle w:val="13"/>
            </w:pPr>
            <w:r>
              <w:t>实际使用费用占计划使用费用的比率</w:t>
            </w:r>
          </w:p>
        </w:tc>
        <w:tc>
          <w:tcPr>
            <w:tcW w:w="2268" w:type="dxa"/>
            <w:vAlign w:val="center"/>
          </w:tcPr>
          <w:p>
            <w:pPr>
              <w:pStyle w:val="13"/>
            </w:pPr>
            <w:r>
              <w:t>≥95%</w:t>
            </w:r>
          </w:p>
        </w:tc>
        <w:tc>
          <w:tcPr>
            <w:tcW w:w="1276" w:type="dxa"/>
            <w:vAlign w:val="center"/>
          </w:tcPr>
          <w:p>
            <w:pPr>
              <w:pStyle w:val="13"/>
            </w:pPr>
            <w:r>
              <w:t>提前下达资金数额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项目验收合格率</w:t>
            </w:r>
          </w:p>
        </w:tc>
        <w:tc>
          <w:tcPr>
            <w:tcW w:w="5386" w:type="dxa"/>
            <w:vAlign w:val="center"/>
          </w:tcPr>
          <w:p>
            <w:pPr>
              <w:pStyle w:val="13"/>
            </w:pPr>
            <w:r>
              <w:t>通过验收的工作量占设计、监理等总量的比率</w:t>
            </w:r>
          </w:p>
        </w:tc>
        <w:tc>
          <w:tcPr>
            <w:tcW w:w="2268" w:type="dxa"/>
            <w:vAlign w:val="center"/>
          </w:tcPr>
          <w:p>
            <w:pPr>
              <w:pStyle w:val="13"/>
            </w:pPr>
            <w:r>
              <w:t>≥95%</w:t>
            </w:r>
          </w:p>
        </w:tc>
        <w:tc>
          <w:tcPr>
            <w:tcW w:w="1276" w:type="dxa"/>
            <w:vAlign w:val="center"/>
          </w:tcPr>
          <w:p>
            <w:pPr>
              <w:pStyle w:val="13"/>
            </w:pPr>
            <w:r>
              <w:t>质量验收合格小区个数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提高住户居住环境</w:t>
            </w:r>
          </w:p>
        </w:tc>
        <w:tc>
          <w:tcPr>
            <w:tcW w:w="5386" w:type="dxa"/>
            <w:vAlign w:val="center"/>
          </w:tcPr>
          <w:p>
            <w:pPr>
              <w:pStyle w:val="13"/>
            </w:pPr>
            <w:r>
              <w:t>完成后，路面恢复，老旧小区环境恢复比率</w:t>
            </w:r>
          </w:p>
        </w:tc>
        <w:tc>
          <w:tcPr>
            <w:tcW w:w="2268" w:type="dxa"/>
            <w:vAlign w:val="center"/>
          </w:tcPr>
          <w:p>
            <w:pPr>
              <w:pStyle w:val="13"/>
            </w:pPr>
            <w:r>
              <w:t>≥95%</w:t>
            </w:r>
          </w:p>
        </w:tc>
        <w:tc>
          <w:tcPr>
            <w:tcW w:w="1276" w:type="dxa"/>
            <w:vAlign w:val="center"/>
          </w:tcPr>
          <w:p>
            <w:pPr>
              <w:pStyle w:val="13"/>
            </w:pPr>
            <w:r>
              <w:t>路面恢复面积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基础设施完好率</w:t>
            </w:r>
          </w:p>
        </w:tc>
        <w:tc>
          <w:tcPr>
            <w:tcW w:w="5386" w:type="dxa"/>
            <w:vAlign w:val="center"/>
          </w:tcPr>
          <w:p>
            <w:pPr>
              <w:pStyle w:val="13"/>
            </w:pPr>
            <w:r>
              <w:t>设备完好数量市场价值总额占设备总量比率</w:t>
            </w:r>
          </w:p>
        </w:tc>
        <w:tc>
          <w:tcPr>
            <w:tcW w:w="2268" w:type="dxa"/>
            <w:vAlign w:val="center"/>
          </w:tcPr>
          <w:p>
            <w:pPr>
              <w:pStyle w:val="13"/>
            </w:pPr>
            <w:r>
              <w:t>≥95%</w:t>
            </w:r>
          </w:p>
        </w:tc>
        <w:tc>
          <w:tcPr>
            <w:tcW w:w="1276" w:type="dxa"/>
            <w:vAlign w:val="center"/>
          </w:tcPr>
          <w:p>
            <w:pPr>
              <w:pStyle w:val="13"/>
            </w:pPr>
            <w:r>
              <w:t>设备安装审核完成数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提高住户的幸福感</w:t>
            </w:r>
          </w:p>
        </w:tc>
        <w:tc>
          <w:tcPr>
            <w:tcW w:w="5386" w:type="dxa"/>
            <w:vAlign w:val="center"/>
          </w:tcPr>
          <w:p>
            <w:pPr>
              <w:pStyle w:val="13"/>
            </w:pPr>
            <w:r>
              <w:t>通过居住小区的生活环境，来提高住户的幸福感、获得感</w:t>
            </w:r>
          </w:p>
        </w:tc>
        <w:tc>
          <w:tcPr>
            <w:tcW w:w="2268" w:type="dxa"/>
            <w:vAlign w:val="center"/>
          </w:tcPr>
          <w:p>
            <w:pPr>
              <w:pStyle w:val="13"/>
            </w:pPr>
            <w:r>
              <w:t>通过居住小区的生活环境，来提高住户的幸福感、获得感</w:t>
            </w:r>
          </w:p>
        </w:tc>
        <w:tc>
          <w:tcPr>
            <w:tcW w:w="1276" w:type="dxa"/>
            <w:vAlign w:val="center"/>
          </w:tcPr>
          <w:p>
            <w:pPr>
              <w:pStyle w:val="13"/>
            </w:pPr>
            <w:r>
              <w:t>实施民意调查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提高居民居住环境</w:t>
            </w:r>
          </w:p>
        </w:tc>
        <w:tc>
          <w:tcPr>
            <w:tcW w:w="5386" w:type="dxa"/>
            <w:vAlign w:val="center"/>
          </w:tcPr>
          <w:p>
            <w:pPr>
              <w:pStyle w:val="13"/>
            </w:pPr>
            <w:r>
              <w:t>改善住户的居住环境</w:t>
            </w:r>
          </w:p>
        </w:tc>
        <w:tc>
          <w:tcPr>
            <w:tcW w:w="2268" w:type="dxa"/>
            <w:vAlign w:val="center"/>
          </w:tcPr>
          <w:p>
            <w:pPr>
              <w:pStyle w:val="13"/>
            </w:pPr>
            <w:r>
              <w:t>改善住户的居住环境</w:t>
            </w:r>
          </w:p>
        </w:tc>
        <w:tc>
          <w:tcPr>
            <w:tcW w:w="1276" w:type="dxa"/>
            <w:vAlign w:val="center"/>
          </w:tcPr>
          <w:p>
            <w:pPr>
              <w:pStyle w:val="13"/>
            </w:pPr>
            <w:r>
              <w:t>征求小区居民意见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受益群众调查中，满意和较满意的人数占全部调查人数的比率</w:t>
            </w:r>
          </w:p>
        </w:tc>
        <w:tc>
          <w:tcPr>
            <w:tcW w:w="2268" w:type="dxa"/>
            <w:vAlign w:val="center"/>
          </w:tcPr>
          <w:p>
            <w:pPr>
              <w:pStyle w:val="13"/>
            </w:pPr>
            <w:r>
              <w:t>≥80%</w:t>
            </w:r>
          </w:p>
        </w:tc>
        <w:tc>
          <w:tcPr>
            <w:tcW w:w="1276" w:type="dxa"/>
            <w:vAlign w:val="center"/>
          </w:tcPr>
          <w:p>
            <w:pPr>
              <w:pStyle w:val="13"/>
            </w:pPr>
            <w:r>
              <w:t>开展满意度问卷调查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20、新乐市新建保障性住房工程绩效目标表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13018422D000000068948</w:t>
            </w:r>
          </w:p>
        </w:tc>
        <w:tc>
          <w:tcPr>
            <w:tcW w:w="2835" w:type="dxa"/>
            <w:vAlign w:val="center"/>
          </w:tcPr>
          <w:p>
            <w:pPr>
              <w:pStyle w:val="11"/>
            </w:pPr>
            <w:r>
              <w:t>项目名称</w:t>
            </w:r>
          </w:p>
        </w:tc>
        <w:tc>
          <w:tcPr>
            <w:tcW w:w="6095" w:type="dxa"/>
            <w:gridSpan w:val="3"/>
            <w:vAlign w:val="center"/>
          </w:tcPr>
          <w:p>
            <w:pPr>
              <w:pStyle w:val="13"/>
            </w:pPr>
            <w:r>
              <w:t>新乐市新建保障性住房工程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3500.00</w:t>
            </w:r>
          </w:p>
        </w:tc>
        <w:tc>
          <w:tcPr>
            <w:tcW w:w="2835" w:type="dxa"/>
            <w:vAlign w:val="center"/>
          </w:tcPr>
          <w:p>
            <w:pPr>
              <w:pStyle w:val="11"/>
            </w:pPr>
            <w:r>
              <w:t>其中：财政    资金</w:t>
            </w:r>
          </w:p>
        </w:tc>
        <w:tc>
          <w:tcPr>
            <w:tcW w:w="2551" w:type="dxa"/>
            <w:vAlign w:val="center"/>
          </w:tcPr>
          <w:p>
            <w:pPr>
              <w:pStyle w:val="13"/>
            </w:pPr>
            <w:r>
              <w:t>3500.00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用于新建保障性住房支出。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bookmarkStart w:id="20" w:name="_GoBack"/>
            <w:bookmarkEnd w:id="20"/>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1.保障建成保障性住数量，且验收合格。</w:t>
            </w:r>
          </w:p>
          <w:p>
            <w:pPr>
              <w:pStyle w:val="13"/>
            </w:pPr>
            <w:r>
              <w:t>2.让群众满意、抑制施工现场扬尘。</w:t>
            </w:r>
          </w:p>
          <w:p>
            <w:pPr>
              <w:pStyle w:val="13"/>
            </w:pPr>
            <w:r>
              <w:t>3.保证工程施工进度，确保工程质量。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建成保障性住房的数量</w:t>
            </w:r>
          </w:p>
        </w:tc>
        <w:tc>
          <w:tcPr>
            <w:tcW w:w="5386" w:type="dxa"/>
            <w:vAlign w:val="center"/>
          </w:tcPr>
          <w:p>
            <w:pPr>
              <w:pStyle w:val="13"/>
            </w:pPr>
            <w:r>
              <w:t>建成保障性住房的数量</w:t>
            </w:r>
          </w:p>
        </w:tc>
        <w:tc>
          <w:tcPr>
            <w:tcW w:w="2268" w:type="dxa"/>
            <w:vAlign w:val="center"/>
          </w:tcPr>
          <w:p>
            <w:pPr>
              <w:pStyle w:val="13"/>
            </w:pPr>
            <w:r>
              <w:t>156套</w:t>
            </w:r>
          </w:p>
        </w:tc>
        <w:tc>
          <w:tcPr>
            <w:tcW w:w="1276" w:type="dxa"/>
            <w:vAlign w:val="center"/>
          </w:tcPr>
          <w:p>
            <w:pPr>
              <w:pStyle w:val="13"/>
            </w:pPr>
            <w:r>
              <w:t>审批文件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≤5300万元</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拉动周边经济发展</w:t>
            </w:r>
          </w:p>
        </w:tc>
        <w:tc>
          <w:tcPr>
            <w:tcW w:w="5386" w:type="dxa"/>
            <w:vAlign w:val="center"/>
          </w:tcPr>
          <w:p>
            <w:pPr>
              <w:pStyle w:val="13"/>
            </w:pPr>
            <w:r>
              <w:t>拉动周边经济发展</w:t>
            </w:r>
          </w:p>
        </w:tc>
        <w:tc>
          <w:tcPr>
            <w:tcW w:w="2268" w:type="dxa"/>
            <w:vAlign w:val="center"/>
          </w:tcPr>
          <w:p>
            <w:pPr>
              <w:pStyle w:val="13"/>
            </w:pPr>
            <w:r>
              <w:t>拉动周边经济发展</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为人才引进提供住房保障</w:t>
            </w:r>
          </w:p>
        </w:tc>
        <w:tc>
          <w:tcPr>
            <w:tcW w:w="5386" w:type="dxa"/>
            <w:vAlign w:val="center"/>
          </w:tcPr>
          <w:p>
            <w:pPr>
              <w:pStyle w:val="13"/>
            </w:pPr>
            <w:r>
              <w:t>为人才引进提供住房保障</w:t>
            </w:r>
          </w:p>
        </w:tc>
        <w:tc>
          <w:tcPr>
            <w:tcW w:w="2268" w:type="dxa"/>
            <w:vAlign w:val="center"/>
          </w:tcPr>
          <w:p>
            <w:pPr>
              <w:pStyle w:val="13"/>
            </w:pPr>
            <w:r>
              <w:t>为人才引进提供住房保障</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对区域生态改善</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保障人才队伍可持续增长</w:t>
            </w:r>
          </w:p>
        </w:tc>
        <w:tc>
          <w:tcPr>
            <w:tcW w:w="5386" w:type="dxa"/>
            <w:vAlign w:val="center"/>
          </w:tcPr>
          <w:p>
            <w:pPr>
              <w:pStyle w:val="13"/>
            </w:pPr>
            <w:r>
              <w:t>保障人才队伍可持续增长</w:t>
            </w:r>
          </w:p>
        </w:tc>
        <w:tc>
          <w:tcPr>
            <w:tcW w:w="2268" w:type="dxa"/>
            <w:vAlign w:val="center"/>
          </w:tcPr>
          <w:p>
            <w:pPr>
              <w:pStyle w:val="13"/>
            </w:pPr>
            <w:r>
              <w:t>保障人才队伍可持续增长</w:t>
            </w:r>
          </w:p>
        </w:tc>
        <w:tc>
          <w:tcPr>
            <w:tcW w:w="1276" w:type="dxa"/>
            <w:vAlign w:val="center"/>
          </w:tcPr>
          <w:p>
            <w:pPr>
              <w:pStyle w:val="13"/>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测算标准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333新乐市住房和城乡建设局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新乐市住房和城乡建设局（含所属单位）上年末固定资产金额为643.37万元（详见下表）。本年度拟购置固定资产总额为0.00万元，已按要求列入政府采购预算，详见政府采购预算表。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333新乐市住房和城乡建设局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643.37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5406</w:t>
            </w:r>
          </w:p>
        </w:tc>
        <w:tc>
          <w:tcPr>
            <w:tcW w:w="2835" w:type="dxa"/>
            <w:vAlign w:val="center"/>
          </w:tcPr>
          <w:p>
            <w:pPr>
              <w:pStyle w:val="12"/>
            </w:pPr>
            <w:r>
              <w:t>309.80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5156</w:t>
            </w:r>
          </w:p>
        </w:tc>
        <w:tc>
          <w:tcPr>
            <w:tcW w:w="2835" w:type="dxa"/>
            <w:vAlign w:val="center"/>
          </w:tcPr>
          <w:p>
            <w:pPr>
              <w:pStyle w:val="12"/>
            </w:pPr>
            <w:r>
              <w:t>284.21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1288</w:t>
            </w:r>
          </w:p>
        </w:tc>
        <w:tc>
          <w:tcPr>
            <w:tcW w:w="2835" w:type="dxa"/>
            <w:vAlign w:val="center"/>
          </w:tcPr>
          <w:p>
            <w:pPr>
              <w:pStyle w:val="12"/>
            </w:pPr>
            <w:r>
              <w:t>303.87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FC44C9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58</Pages>
  <TotalTime>1</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2026-03-05T09:26:00Z</dcterms:created>
  <dc:creator>Administrator</dc:creator>
  <cp:lastModifiedBy>Administrator</cp:lastModifiedBy>
  <dcterms:modified xsi:type="dcterms:W3CDTF">2026-03-05T01:58:33Z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