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一、新乐市信访局本级收支预算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一、新乐市信访局本级收支预算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501001新乐市信访局本级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346.03</w:t>
            </w:r>
          </w:p>
        </w:tc>
        <w:tc>
          <w:tcPr>
            <w:tcW w:w="4535" w:type="dxa"/>
            <w:vAlign w:val="center"/>
          </w:tcPr>
          <w:p>
            <w:pPr>
              <w:pStyle w:val="12"/>
            </w:pPr>
            <w:r>
              <w:t>一、一般公共服务支出</w:t>
            </w:r>
          </w:p>
        </w:tc>
        <w:tc>
          <w:tcPr>
            <w:tcW w:w="2126" w:type="dxa"/>
            <w:vAlign w:val="center"/>
          </w:tcPr>
          <w:p>
            <w:pPr>
              <w:pStyle w:val="11"/>
            </w:pPr>
            <w:r>
              <w:t>240.85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346.03</w:t>
            </w:r>
          </w:p>
        </w:tc>
        <w:tc>
          <w:tcPr>
            <w:tcW w:w="4535" w:type="dxa"/>
            <w:vAlign w:val="center"/>
          </w:tcPr>
          <w:p>
            <w:pPr>
              <w:pStyle w:val="14"/>
            </w:pPr>
            <w:r>
              <w:t>本年支出合计</w:t>
            </w:r>
          </w:p>
        </w:tc>
        <w:tc>
          <w:tcPr>
            <w:tcW w:w="2126" w:type="dxa"/>
            <w:vAlign w:val="center"/>
          </w:tcPr>
          <w:p>
            <w:pPr>
              <w:pStyle w:val="15"/>
            </w:pPr>
            <w:r>
              <w:t>346.03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346.03</w:t>
            </w:r>
          </w:p>
        </w:tc>
        <w:tc>
          <w:tcPr>
            <w:tcW w:w="4535" w:type="dxa"/>
            <w:vAlign w:val="center"/>
          </w:tcPr>
          <w:p>
            <w:pPr>
              <w:pStyle w:val="14"/>
            </w:pPr>
            <w:r>
              <w:t>支出总计</w:t>
            </w:r>
          </w:p>
        </w:tc>
        <w:tc>
          <w:tcPr>
            <w:tcW w:w="2126" w:type="dxa"/>
            <w:vAlign w:val="center"/>
          </w:tcPr>
          <w:p>
            <w:pPr>
              <w:pStyle w:val="15"/>
            </w:pPr>
            <w:r>
              <w:t>346.03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501001新乐市信访局本级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346.03</w:t>
            </w:r>
          </w:p>
        </w:tc>
        <w:tc>
          <w:tcPr>
            <w:tcW w:w="1134" w:type="dxa"/>
            <w:vAlign w:val="center"/>
          </w:tcPr>
          <w:p>
            <w:pPr>
              <w:pStyle w:val="15"/>
            </w:pPr>
            <w:r>
              <w:t>346.03</w:t>
            </w:r>
          </w:p>
        </w:tc>
        <w:tc>
          <w:tcPr>
            <w:tcW w:w="1134" w:type="dxa"/>
            <w:vAlign w:val="center"/>
          </w:tcPr>
          <w:p>
            <w:pPr>
              <w:pStyle w:val="15"/>
            </w:pPr>
            <w:r>
              <w:t>346.03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240.85</w:t>
            </w:r>
          </w:p>
        </w:tc>
        <w:tc>
          <w:tcPr>
            <w:tcW w:w="1134" w:type="dxa"/>
            <w:vAlign w:val="center"/>
          </w:tcPr>
          <w:p>
            <w:pPr>
              <w:pStyle w:val="11"/>
            </w:pPr>
            <w:r>
              <w:t>240.85</w:t>
            </w:r>
          </w:p>
        </w:tc>
        <w:tc>
          <w:tcPr>
            <w:tcW w:w="1134" w:type="dxa"/>
            <w:vAlign w:val="center"/>
          </w:tcPr>
          <w:p>
            <w:pPr>
              <w:pStyle w:val="11"/>
            </w:pPr>
            <w:r>
              <w:t>240.85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20140</w:t>
            </w:r>
          </w:p>
        </w:tc>
        <w:tc>
          <w:tcPr>
            <w:tcW w:w="1559" w:type="dxa"/>
            <w:vAlign w:val="center"/>
          </w:tcPr>
          <w:p>
            <w:pPr>
              <w:pStyle w:val="12"/>
            </w:pPr>
            <w:r>
              <w:t>信访事务</w:t>
            </w:r>
          </w:p>
        </w:tc>
        <w:tc>
          <w:tcPr>
            <w:tcW w:w="1134" w:type="dxa"/>
            <w:vAlign w:val="center"/>
          </w:tcPr>
          <w:p>
            <w:pPr>
              <w:pStyle w:val="11"/>
            </w:pPr>
            <w:r>
              <w:t>240.85</w:t>
            </w:r>
          </w:p>
        </w:tc>
        <w:tc>
          <w:tcPr>
            <w:tcW w:w="1134" w:type="dxa"/>
            <w:vAlign w:val="center"/>
          </w:tcPr>
          <w:p>
            <w:pPr>
              <w:pStyle w:val="11"/>
            </w:pPr>
            <w:r>
              <w:t>240.85</w:t>
            </w:r>
          </w:p>
        </w:tc>
        <w:tc>
          <w:tcPr>
            <w:tcW w:w="1134" w:type="dxa"/>
            <w:vAlign w:val="center"/>
          </w:tcPr>
          <w:p>
            <w:pPr>
              <w:pStyle w:val="11"/>
            </w:pPr>
            <w:r>
              <w:t>240.85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2014001</w:t>
            </w:r>
          </w:p>
        </w:tc>
        <w:tc>
          <w:tcPr>
            <w:tcW w:w="1559" w:type="dxa"/>
            <w:vAlign w:val="center"/>
          </w:tcPr>
          <w:p>
            <w:pPr>
              <w:pStyle w:val="12"/>
            </w:pPr>
            <w:r>
              <w:t>行政运行</w:t>
            </w:r>
          </w:p>
        </w:tc>
        <w:tc>
          <w:tcPr>
            <w:tcW w:w="1134" w:type="dxa"/>
            <w:vAlign w:val="center"/>
          </w:tcPr>
          <w:p>
            <w:pPr>
              <w:pStyle w:val="11"/>
            </w:pPr>
            <w:r>
              <w:t>240.85</w:t>
            </w:r>
          </w:p>
        </w:tc>
        <w:tc>
          <w:tcPr>
            <w:tcW w:w="1134" w:type="dxa"/>
            <w:vAlign w:val="center"/>
          </w:tcPr>
          <w:p>
            <w:pPr>
              <w:pStyle w:val="11"/>
            </w:pPr>
            <w:r>
              <w:t>240.85</w:t>
            </w:r>
          </w:p>
        </w:tc>
        <w:tc>
          <w:tcPr>
            <w:tcW w:w="1134" w:type="dxa"/>
            <w:vAlign w:val="center"/>
          </w:tcPr>
          <w:p>
            <w:pPr>
              <w:pStyle w:val="11"/>
            </w:pPr>
            <w:r>
              <w:t>240.85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67.69</w:t>
            </w:r>
          </w:p>
        </w:tc>
        <w:tc>
          <w:tcPr>
            <w:tcW w:w="1134" w:type="dxa"/>
            <w:vAlign w:val="center"/>
          </w:tcPr>
          <w:p>
            <w:pPr>
              <w:pStyle w:val="11"/>
            </w:pPr>
            <w:r>
              <w:t>67.69</w:t>
            </w:r>
          </w:p>
        </w:tc>
        <w:tc>
          <w:tcPr>
            <w:tcW w:w="1134" w:type="dxa"/>
            <w:vAlign w:val="center"/>
          </w:tcPr>
          <w:p>
            <w:pPr>
              <w:pStyle w:val="11"/>
            </w:pPr>
            <w:r>
              <w:t>67.69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64.11</w:t>
            </w:r>
          </w:p>
        </w:tc>
        <w:tc>
          <w:tcPr>
            <w:tcW w:w="1134" w:type="dxa"/>
            <w:vAlign w:val="center"/>
          </w:tcPr>
          <w:p>
            <w:pPr>
              <w:pStyle w:val="11"/>
            </w:pPr>
            <w:r>
              <w:t>64.11</w:t>
            </w:r>
          </w:p>
        </w:tc>
        <w:tc>
          <w:tcPr>
            <w:tcW w:w="1134" w:type="dxa"/>
            <w:vAlign w:val="center"/>
          </w:tcPr>
          <w:p>
            <w:pPr>
              <w:pStyle w:val="11"/>
            </w:pPr>
            <w:r>
              <w:t>64.11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36.76</w:t>
            </w:r>
          </w:p>
        </w:tc>
        <w:tc>
          <w:tcPr>
            <w:tcW w:w="1134" w:type="dxa"/>
            <w:vAlign w:val="center"/>
          </w:tcPr>
          <w:p>
            <w:pPr>
              <w:pStyle w:val="11"/>
            </w:pPr>
            <w:r>
              <w:t>36.76</w:t>
            </w:r>
          </w:p>
        </w:tc>
        <w:tc>
          <w:tcPr>
            <w:tcW w:w="1134" w:type="dxa"/>
            <w:vAlign w:val="center"/>
          </w:tcPr>
          <w:p>
            <w:pPr>
              <w:pStyle w:val="11"/>
            </w:pPr>
            <w:r>
              <w:t>36.76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27.35</w:t>
            </w:r>
          </w:p>
        </w:tc>
        <w:tc>
          <w:tcPr>
            <w:tcW w:w="1134" w:type="dxa"/>
            <w:vAlign w:val="center"/>
          </w:tcPr>
          <w:p>
            <w:pPr>
              <w:pStyle w:val="11"/>
            </w:pPr>
            <w:r>
              <w:t>27.35</w:t>
            </w:r>
          </w:p>
        </w:tc>
        <w:tc>
          <w:tcPr>
            <w:tcW w:w="1134" w:type="dxa"/>
            <w:vAlign w:val="center"/>
          </w:tcPr>
          <w:p>
            <w:pPr>
              <w:pStyle w:val="11"/>
            </w:pPr>
            <w:r>
              <w:t>27.35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1.23</w:t>
            </w:r>
          </w:p>
        </w:tc>
        <w:tc>
          <w:tcPr>
            <w:tcW w:w="1134" w:type="dxa"/>
            <w:vAlign w:val="center"/>
          </w:tcPr>
          <w:p>
            <w:pPr>
              <w:pStyle w:val="11"/>
            </w:pPr>
            <w:r>
              <w:t>1.23</w:t>
            </w:r>
          </w:p>
        </w:tc>
        <w:tc>
          <w:tcPr>
            <w:tcW w:w="1134" w:type="dxa"/>
            <w:vAlign w:val="center"/>
          </w:tcPr>
          <w:p>
            <w:pPr>
              <w:pStyle w:val="11"/>
            </w:pPr>
            <w:r>
              <w:t>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1.23</w:t>
            </w:r>
          </w:p>
        </w:tc>
        <w:tc>
          <w:tcPr>
            <w:tcW w:w="1134" w:type="dxa"/>
            <w:vAlign w:val="center"/>
          </w:tcPr>
          <w:p>
            <w:pPr>
              <w:pStyle w:val="11"/>
            </w:pPr>
            <w:r>
              <w:t>1.23</w:t>
            </w:r>
          </w:p>
        </w:tc>
        <w:tc>
          <w:tcPr>
            <w:tcW w:w="1134" w:type="dxa"/>
            <w:vAlign w:val="center"/>
          </w:tcPr>
          <w:p>
            <w:pPr>
              <w:pStyle w:val="11"/>
            </w:pPr>
            <w:r>
              <w:t>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2.35</w:t>
            </w:r>
          </w:p>
        </w:tc>
        <w:tc>
          <w:tcPr>
            <w:tcW w:w="1134" w:type="dxa"/>
            <w:vAlign w:val="center"/>
          </w:tcPr>
          <w:p>
            <w:pPr>
              <w:pStyle w:val="11"/>
            </w:pPr>
            <w:r>
              <w:t>2.35</w:t>
            </w:r>
          </w:p>
        </w:tc>
        <w:tc>
          <w:tcPr>
            <w:tcW w:w="1134" w:type="dxa"/>
            <w:vAlign w:val="center"/>
          </w:tcPr>
          <w:p>
            <w:pPr>
              <w:pStyle w:val="11"/>
            </w:pPr>
            <w:r>
              <w:t>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2.35</w:t>
            </w:r>
          </w:p>
        </w:tc>
        <w:tc>
          <w:tcPr>
            <w:tcW w:w="1134" w:type="dxa"/>
            <w:vAlign w:val="center"/>
          </w:tcPr>
          <w:p>
            <w:pPr>
              <w:pStyle w:val="11"/>
            </w:pPr>
            <w:r>
              <w:t>2.35</w:t>
            </w:r>
          </w:p>
        </w:tc>
        <w:tc>
          <w:tcPr>
            <w:tcW w:w="1134" w:type="dxa"/>
            <w:vAlign w:val="center"/>
          </w:tcPr>
          <w:p>
            <w:pPr>
              <w:pStyle w:val="11"/>
            </w:pPr>
            <w:r>
              <w:t>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12.81</w:t>
            </w:r>
          </w:p>
        </w:tc>
        <w:tc>
          <w:tcPr>
            <w:tcW w:w="1134" w:type="dxa"/>
            <w:vAlign w:val="center"/>
          </w:tcPr>
          <w:p>
            <w:pPr>
              <w:pStyle w:val="11"/>
            </w:pPr>
            <w:r>
              <w:t>12.81</w:t>
            </w:r>
          </w:p>
        </w:tc>
        <w:tc>
          <w:tcPr>
            <w:tcW w:w="1134" w:type="dxa"/>
            <w:vAlign w:val="center"/>
          </w:tcPr>
          <w:p>
            <w:pPr>
              <w:pStyle w:val="11"/>
            </w:pPr>
            <w:r>
              <w:t>12.81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12.81</w:t>
            </w:r>
          </w:p>
        </w:tc>
        <w:tc>
          <w:tcPr>
            <w:tcW w:w="1134" w:type="dxa"/>
            <w:vAlign w:val="center"/>
          </w:tcPr>
          <w:p>
            <w:pPr>
              <w:pStyle w:val="11"/>
            </w:pPr>
            <w:r>
              <w:t>12.81</w:t>
            </w:r>
          </w:p>
        </w:tc>
        <w:tc>
          <w:tcPr>
            <w:tcW w:w="1134" w:type="dxa"/>
            <w:vAlign w:val="center"/>
          </w:tcPr>
          <w:p>
            <w:pPr>
              <w:pStyle w:val="11"/>
            </w:pPr>
            <w:r>
              <w:t>12.81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12.81</w:t>
            </w:r>
          </w:p>
        </w:tc>
        <w:tc>
          <w:tcPr>
            <w:tcW w:w="1134" w:type="dxa"/>
            <w:vAlign w:val="center"/>
          </w:tcPr>
          <w:p>
            <w:pPr>
              <w:pStyle w:val="11"/>
            </w:pPr>
            <w:r>
              <w:t>12.81</w:t>
            </w:r>
          </w:p>
        </w:tc>
        <w:tc>
          <w:tcPr>
            <w:tcW w:w="1134" w:type="dxa"/>
            <w:vAlign w:val="center"/>
          </w:tcPr>
          <w:p>
            <w:pPr>
              <w:pStyle w:val="11"/>
            </w:pPr>
            <w:r>
              <w:t>12.81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r>
              <w:t>24.68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346.03</w:t>
            </w:r>
          </w:p>
        </w:tc>
        <w:tc>
          <w:tcPr>
            <w:tcW w:w="1361" w:type="dxa"/>
            <w:vAlign w:val="center"/>
          </w:tcPr>
          <w:p>
            <w:pPr>
              <w:pStyle w:val="15"/>
            </w:pPr>
            <w:r>
              <w:t>346.03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240.85</w:t>
            </w:r>
          </w:p>
        </w:tc>
        <w:tc>
          <w:tcPr>
            <w:tcW w:w="1361" w:type="dxa"/>
            <w:vAlign w:val="center"/>
          </w:tcPr>
          <w:p>
            <w:pPr>
              <w:pStyle w:val="11"/>
            </w:pPr>
            <w:r>
              <w:t>240.85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20140</w:t>
            </w:r>
          </w:p>
        </w:tc>
        <w:tc>
          <w:tcPr>
            <w:tcW w:w="4535" w:type="dxa"/>
            <w:vAlign w:val="center"/>
          </w:tcPr>
          <w:p>
            <w:pPr>
              <w:pStyle w:val="12"/>
            </w:pPr>
            <w:r>
              <w:t>信访事务</w:t>
            </w:r>
          </w:p>
        </w:tc>
        <w:tc>
          <w:tcPr>
            <w:tcW w:w="1361" w:type="dxa"/>
            <w:vAlign w:val="center"/>
          </w:tcPr>
          <w:p>
            <w:pPr>
              <w:pStyle w:val="11"/>
            </w:pPr>
            <w:r>
              <w:t>240.85</w:t>
            </w:r>
          </w:p>
        </w:tc>
        <w:tc>
          <w:tcPr>
            <w:tcW w:w="1361" w:type="dxa"/>
            <w:vAlign w:val="center"/>
          </w:tcPr>
          <w:p>
            <w:pPr>
              <w:pStyle w:val="11"/>
            </w:pPr>
            <w:r>
              <w:t>240.85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2014001</w:t>
            </w:r>
          </w:p>
        </w:tc>
        <w:tc>
          <w:tcPr>
            <w:tcW w:w="4535" w:type="dxa"/>
            <w:vAlign w:val="center"/>
          </w:tcPr>
          <w:p>
            <w:pPr>
              <w:pStyle w:val="12"/>
            </w:pPr>
            <w:r>
              <w:t>行政运行</w:t>
            </w:r>
          </w:p>
        </w:tc>
        <w:tc>
          <w:tcPr>
            <w:tcW w:w="1361" w:type="dxa"/>
            <w:vAlign w:val="center"/>
          </w:tcPr>
          <w:p>
            <w:pPr>
              <w:pStyle w:val="11"/>
            </w:pPr>
            <w:r>
              <w:t>240.85</w:t>
            </w:r>
          </w:p>
        </w:tc>
        <w:tc>
          <w:tcPr>
            <w:tcW w:w="1361" w:type="dxa"/>
            <w:vAlign w:val="center"/>
          </w:tcPr>
          <w:p>
            <w:pPr>
              <w:pStyle w:val="11"/>
            </w:pPr>
            <w:r>
              <w:t>240.85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67.69</w:t>
            </w:r>
          </w:p>
        </w:tc>
        <w:tc>
          <w:tcPr>
            <w:tcW w:w="1361" w:type="dxa"/>
            <w:vAlign w:val="center"/>
          </w:tcPr>
          <w:p>
            <w:pPr>
              <w:pStyle w:val="11"/>
            </w:pPr>
            <w:r>
              <w:t>67.69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64.11</w:t>
            </w:r>
          </w:p>
        </w:tc>
        <w:tc>
          <w:tcPr>
            <w:tcW w:w="1361" w:type="dxa"/>
            <w:vAlign w:val="center"/>
          </w:tcPr>
          <w:p>
            <w:pPr>
              <w:pStyle w:val="11"/>
            </w:pPr>
            <w:r>
              <w:t>64.11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36.76</w:t>
            </w:r>
          </w:p>
        </w:tc>
        <w:tc>
          <w:tcPr>
            <w:tcW w:w="1361" w:type="dxa"/>
            <w:vAlign w:val="center"/>
          </w:tcPr>
          <w:p>
            <w:pPr>
              <w:pStyle w:val="11"/>
            </w:pPr>
            <w:r>
              <w:t>36.76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27.35</w:t>
            </w:r>
          </w:p>
        </w:tc>
        <w:tc>
          <w:tcPr>
            <w:tcW w:w="1361" w:type="dxa"/>
            <w:vAlign w:val="center"/>
          </w:tcPr>
          <w:p>
            <w:pPr>
              <w:pStyle w:val="11"/>
            </w:pPr>
            <w:r>
              <w:t>27.35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1.23</w:t>
            </w:r>
          </w:p>
        </w:tc>
        <w:tc>
          <w:tcPr>
            <w:tcW w:w="1361" w:type="dxa"/>
            <w:vAlign w:val="center"/>
          </w:tcPr>
          <w:p>
            <w:pPr>
              <w:pStyle w:val="11"/>
            </w:pPr>
            <w:r>
              <w:t>1.23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1.23</w:t>
            </w:r>
          </w:p>
        </w:tc>
        <w:tc>
          <w:tcPr>
            <w:tcW w:w="1361" w:type="dxa"/>
            <w:vAlign w:val="center"/>
          </w:tcPr>
          <w:p>
            <w:pPr>
              <w:pStyle w:val="11"/>
            </w:pPr>
            <w:r>
              <w:t>1.23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2.35</w:t>
            </w:r>
          </w:p>
        </w:tc>
        <w:tc>
          <w:tcPr>
            <w:tcW w:w="1361" w:type="dxa"/>
            <w:vAlign w:val="center"/>
          </w:tcPr>
          <w:p>
            <w:pPr>
              <w:pStyle w:val="11"/>
            </w:pPr>
            <w:r>
              <w:t>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2.35</w:t>
            </w:r>
          </w:p>
        </w:tc>
        <w:tc>
          <w:tcPr>
            <w:tcW w:w="1361" w:type="dxa"/>
            <w:vAlign w:val="center"/>
          </w:tcPr>
          <w:p>
            <w:pPr>
              <w:pStyle w:val="11"/>
            </w:pPr>
            <w:r>
              <w:t>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12.81</w:t>
            </w:r>
          </w:p>
        </w:tc>
        <w:tc>
          <w:tcPr>
            <w:tcW w:w="1361" w:type="dxa"/>
            <w:vAlign w:val="center"/>
          </w:tcPr>
          <w:p>
            <w:pPr>
              <w:pStyle w:val="11"/>
            </w:pPr>
            <w:r>
              <w:t>12.81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12.81</w:t>
            </w:r>
          </w:p>
        </w:tc>
        <w:tc>
          <w:tcPr>
            <w:tcW w:w="1361" w:type="dxa"/>
            <w:vAlign w:val="center"/>
          </w:tcPr>
          <w:p>
            <w:pPr>
              <w:pStyle w:val="11"/>
            </w:pPr>
            <w:r>
              <w:t>12.81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12.81</w:t>
            </w:r>
          </w:p>
        </w:tc>
        <w:tc>
          <w:tcPr>
            <w:tcW w:w="1361" w:type="dxa"/>
            <w:vAlign w:val="center"/>
          </w:tcPr>
          <w:p>
            <w:pPr>
              <w:pStyle w:val="11"/>
            </w:pPr>
            <w:r>
              <w:t>12.81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24.68</w:t>
            </w:r>
          </w:p>
        </w:tc>
        <w:tc>
          <w:tcPr>
            <w:tcW w:w="1361" w:type="dxa"/>
            <w:vAlign w:val="center"/>
          </w:tcPr>
          <w:p>
            <w:pPr>
              <w:pStyle w:val="11"/>
            </w:pPr>
            <w:r>
              <w:t>24.68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24.68</w:t>
            </w:r>
          </w:p>
        </w:tc>
        <w:tc>
          <w:tcPr>
            <w:tcW w:w="1361" w:type="dxa"/>
            <w:vAlign w:val="center"/>
          </w:tcPr>
          <w:p>
            <w:pPr>
              <w:pStyle w:val="11"/>
            </w:pPr>
            <w:r>
              <w:t>24.68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24.68</w:t>
            </w:r>
          </w:p>
        </w:tc>
        <w:tc>
          <w:tcPr>
            <w:tcW w:w="1361" w:type="dxa"/>
            <w:vAlign w:val="center"/>
          </w:tcPr>
          <w:p>
            <w:pPr>
              <w:pStyle w:val="11"/>
            </w:pPr>
            <w:r>
              <w:t>24.68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346.03</w:t>
            </w:r>
          </w:p>
        </w:tc>
        <w:tc>
          <w:tcPr>
            <w:tcW w:w="3402" w:type="dxa"/>
            <w:vAlign w:val="center"/>
          </w:tcPr>
          <w:p>
            <w:pPr>
              <w:pStyle w:val="12"/>
            </w:pPr>
            <w:r>
              <w:t>一、一般公共服务支出</w:t>
            </w:r>
          </w:p>
        </w:tc>
        <w:tc>
          <w:tcPr>
            <w:tcW w:w="1474" w:type="dxa"/>
            <w:vAlign w:val="center"/>
          </w:tcPr>
          <w:p>
            <w:pPr>
              <w:pStyle w:val="11"/>
            </w:pPr>
            <w:r>
              <w:t>240.85</w:t>
            </w:r>
          </w:p>
        </w:tc>
        <w:tc>
          <w:tcPr>
            <w:tcW w:w="1474" w:type="dxa"/>
            <w:vAlign w:val="center"/>
          </w:tcPr>
          <w:p>
            <w:pPr>
              <w:pStyle w:val="11"/>
            </w:pPr>
            <w:r>
              <w:t>240.85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67.69</w:t>
            </w:r>
          </w:p>
        </w:tc>
        <w:tc>
          <w:tcPr>
            <w:tcW w:w="1474" w:type="dxa"/>
            <w:vAlign w:val="center"/>
          </w:tcPr>
          <w:p>
            <w:pPr>
              <w:pStyle w:val="11"/>
            </w:pPr>
            <w:r>
              <w:t>67.69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12.81</w:t>
            </w:r>
          </w:p>
        </w:tc>
        <w:tc>
          <w:tcPr>
            <w:tcW w:w="1474" w:type="dxa"/>
            <w:vAlign w:val="center"/>
          </w:tcPr>
          <w:p>
            <w:pPr>
              <w:pStyle w:val="11"/>
            </w:pPr>
            <w:r>
              <w:t>12.81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24.68</w:t>
            </w:r>
          </w:p>
        </w:tc>
        <w:tc>
          <w:tcPr>
            <w:tcW w:w="1474" w:type="dxa"/>
            <w:vAlign w:val="center"/>
          </w:tcPr>
          <w:p>
            <w:pPr>
              <w:pStyle w:val="11"/>
            </w:pPr>
            <w:r>
              <w:t>24.68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346.03</w:t>
            </w:r>
          </w:p>
        </w:tc>
        <w:tc>
          <w:tcPr>
            <w:tcW w:w="3402" w:type="dxa"/>
            <w:vAlign w:val="center"/>
          </w:tcPr>
          <w:p>
            <w:pPr>
              <w:pStyle w:val="14"/>
            </w:pPr>
            <w:r>
              <w:t>本年支出合计</w:t>
            </w:r>
          </w:p>
        </w:tc>
        <w:tc>
          <w:tcPr>
            <w:tcW w:w="1474" w:type="dxa"/>
            <w:vAlign w:val="center"/>
          </w:tcPr>
          <w:p>
            <w:pPr>
              <w:pStyle w:val="15"/>
            </w:pPr>
            <w:r>
              <w:t>346.03</w:t>
            </w:r>
          </w:p>
        </w:tc>
        <w:tc>
          <w:tcPr>
            <w:tcW w:w="1474" w:type="dxa"/>
            <w:vAlign w:val="center"/>
          </w:tcPr>
          <w:p>
            <w:pPr>
              <w:pStyle w:val="15"/>
            </w:pPr>
            <w:r>
              <w:t>346.03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346.03</w:t>
            </w:r>
          </w:p>
        </w:tc>
        <w:tc>
          <w:tcPr>
            <w:tcW w:w="3402" w:type="dxa"/>
            <w:vAlign w:val="center"/>
          </w:tcPr>
          <w:p>
            <w:pPr>
              <w:pStyle w:val="14"/>
            </w:pPr>
            <w:r>
              <w:t>支出总计</w:t>
            </w:r>
          </w:p>
        </w:tc>
        <w:tc>
          <w:tcPr>
            <w:tcW w:w="1474" w:type="dxa"/>
            <w:vAlign w:val="center"/>
          </w:tcPr>
          <w:p>
            <w:pPr>
              <w:pStyle w:val="15"/>
            </w:pPr>
            <w:r>
              <w:t>346.03</w:t>
            </w:r>
          </w:p>
        </w:tc>
        <w:tc>
          <w:tcPr>
            <w:tcW w:w="1474" w:type="dxa"/>
            <w:vAlign w:val="center"/>
          </w:tcPr>
          <w:p>
            <w:pPr>
              <w:pStyle w:val="15"/>
            </w:pPr>
            <w:r>
              <w:t>346.03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346.03</w:t>
            </w:r>
          </w:p>
        </w:tc>
        <w:tc>
          <w:tcPr>
            <w:tcW w:w="2551" w:type="dxa"/>
            <w:vAlign w:val="center"/>
          </w:tcPr>
          <w:p>
            <w:pPr>
              <w:pStyle w:val="15"/>
            </w:pPr>
            <w:r>
              <w:t>346.03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240.85</w:t>
            </w:r>
          </w:p>
        </w:tc>
        <w:tc>
          <w:tcPr>
            <w:tcW w:w="2551" w:type="dxa"/>
            <w:vAlign w:val="center"/>
          </w:tcPr>
          <w:p>
            <w:pPr>
              <w:pStyle w:val="11"/>
            </w:pPr>
            <w:r>
              <w:t>240.85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20140</w:t>
            </w:r>
          </w:p>
        </w:tc>
        <w:tc>
          <w:tcPr>
            <w:tcW w:w="4535" w:type="dxa"/>
            <w:vAlign w:val="center"/>
          </w:tcPr>
          <w:p>
            <w:pPr>
              <w:pStyle w:val="12"/>
            </w:pPr>
            <w:r>
              <w:t>信访事务</w:t>
            </w:r>
          </w:p>
        </w:tc>
        <w:tc>
          <w:tcPr>
            <w:tcW w:w="2551" w:type="dxa"/>
            <w:vAlign w:val="center"/>
          </w:tcPr>
          <w:p>
            <w:pPr>
              <w:pStyle w:val="11"/>
            </w:pPr>
            <w:r>
              <w:t>240.85</w:t>
            </w:r>
          </w:p>
        </w:tc>
        <w:tc>
          <w:tcPr>
            <w:tcW w:w="2551" w:type="dxa"/>
            <w:vAlign w:val="center"/>
          </w:tcPr>
          <w:p>
            <w:pPr>
              <w:pStyle w:val="11"/>
            </w:pPr>
            <w:r>
              <w:t>240.85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2014001</w:t>
            </w:r>
          </w:p>
        </w:tc>
        <w:tc>
          <w:tcPr>
            <w:tcW w:w="4535" w:type="dxa"/>
            <w:vAlign w:val="center"/>
          </w:tcPr>
          <w:p>
            <w:pPr>
              <w:pStyle w:val="12"/>
            </w:pPr>
            <w:r>
              <w:t>行政运行</w:t>
            </w:r>
          </w:p>
        </w:tc>
        <w:tc>
          <w:tcPr>
            <w:tcW w:w="2551" w:type="dxa"/>
            <w:vAlign w:val="center"/>
          </w:tcPr>
          <w:p>
            <w:pPr>
              <w:pStyle w:val="11"/>
            </w:pPr>
            <w:r>
              <w:t>240.85</w:t>
            </w:r>
          </w:p>
        </w:tc>
        <w:tc>
          <w:tcPr>
            <w:tcW w:w="2551" w:type="dxa"/>
            <w:vAlign w:val="center"/>
          </w:tcPr>
          <w:p>
            <w:pPr>
              <w:pStyle w:val="11"/>
            </w:pPr>
            <w:r>
              <w:t>240.85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67.69</w:t>
            </w:r>
          </w:p>
        </w:tc>
        <w:tc>
          <w:tcPr>
            <w:tcW w:w="2551" w:type="dxa"/>
            <w:vAlign w:val="center"/>
          </w:tcPr>
          <w:p>
            <w:pPr>
              <w:pStyle w:val="11"/>
            </w:pPr>
            <w:r>
              <w:t>67.69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64.11</w:t>
            </w:r>
          </w:p>
        </w:tc>
        <w:tc>
          <w:tcPr>
            <w:tcW w:w="2551" w:type="dxa"/>
            <w:vAlign w:val="center"/>
          </w:tcPr>
          <w:p>
            <w:pPr>
              <w:pStyle w:val="11"/>
            </w:pPr>
            <w:r>
              <w:t>64.11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36.76</w:t>
            </w:r>
          </w:p>
        </w:tc>
        <w:tc>
          <w:tcPr>
            <w:tcW w:w="2551" w:type="dxa"/>
            <w:vAlign w:val="center"/>
          </w:tcPr>
          <w:p>
            <w:pPr>
              <w:pStyle w:val="11"/>
            </w:pPr>
            <w:r>
              <w:t>36.76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27.35</w:t>
            </w:r>
          </w:p>
        </w:tc>
        <w:tc>
          <w:tcPr>
            <w:tcW w:w="2551" w:type="dxa"/>
            <w:vAlign w:val="center"/>
          </w:tcPr>
          <w:p>
            <w:pPr>
              <w:pStyle w:val="11"/>
            </w:pPr>
            <w:r>
              <w:t>27.35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1.23</w:t>
            </w:r>
          </w:p>
        </w:tc>
        <w:tc>
          <w:tcPr>
            <w:tcW w:w="2551" w:type="dxa"/>
            <w:vAlign w:val="center"/>
          </w:tcPr>
          <w:p>
            <w:pPr>
              <w:pStyle w:val="11"/>
            </w:pPr>
            <w:r>
              <w:t>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1.23</w:t>
            </w:r>
          </w:p>
        </w:tc>
        <w:tc>
          <w:tcPr>
            <w:tcW w:w="2551" w:type="dxa"/>
            <w:vAlign w:val="center"/>
          </w:tcPr>
          <w:p>
            <w:pPr>
              <w:pStyle w:val="11"/>
            </w:pPr>
            <w:r>
              <w:t>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2.35</w:t>
            </w:r>
          </w:p>
        </w:tc>
        <w:tc>
          <w:tcPr>
            <w:tcW w:w="2551" w:type="dxa"/>
            <w:vAlign w:val="center"/>
          </w:tcPr>
          <w:p>
            <w:pPr>
              <w:pStyle w:val="11"/>
            </w:pPr>
            <w:r>
              <w:t>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2.35</w:t>
            </w:r>
          </w:p>
        </w:tc>
        <w:tc>
          <w:tcPr>
            <w:tcW w:w="2551" w:type="dxa"/>
            <w:vAlign w:val="center"/>
          </w:tcPr>
          <w:p>
            <w:pPr>
              <w:pStyle w:val="11"/>
            </w:pPr>
            <w:r>
              <w:t>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12.81</w:t>
            </w:r>
          </w:p>
        </w:tc>
        <w:tc>
          <w:tcPr>
            <w:tcW w:w="2551" w:type="dxa"/>
            <w:vAlign w:val="center"/>
          </w:tcPr>
          <w:p>
            <w:pPr>
              <w:pStyle w:val="11"/>
            </w:pPr>
            <w:r>
              <w:t>12.81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12.81</w:t>
            </w:r>
          </w:p>
        </w:tc>
        <w:tc>
          <w:tcPr>
            <w:tcW w:w="2551" w:type="dxa"/>
            <w:vAlign w:val="center"/>
          </w:tcPr>
          <w:p>
            <w:pPr>
              <w:pStyle w:val="11"/>
            </w:pPr>
            <w:r>
              <w:t>12.81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12.81</w:t>
            </w:r>
          </w:p>
        </w:tc>
        <w:tc>
          <w:tcPr>
            <w:tcW w:w="2551" w:type="dxa"/>
            <w:vAlign w:val="center"/>
          </w:tcPr>
          <w:p>
            <w:pPr>
              <w:pStyle w:val="11"/>
            </w:pPr>
            <w:r>
              <w:t>12.81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24.68</w:t>
            </w:r>
          </w:p>
        </w:tc>
        <w:tc>
          <w:tcPr>
            <w:tcW w:w="2551" w:type="dxa"/>
            <w:vAlign w:val="center"/>
          </w:tcPr>
          <w:p>
            <w:pPr>
              <w:pStyle w:val="11"/>
            </w:pPr>
            <w:r>
              <w:t>24.68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24.68</w:t>
            </w:r>
          </w:p>
        </w:tc>
        <w:tc>
          <w:tcPr>
            <w:tcW w:w="2551" w:type="dxa"/>
            <w:vAlign w:val="center"/>
          </w:tcPr>
          <w:p>
            <w:pPr>
              <w:pStyle w:val="11"/>
            </w:pPr>
            <w:r>
              <w:t>24.68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24.68</w:t>
            </w:r>
          </w:p>
        </w:tc>
        <w:tc>
          <w:tcPr>
            <w:tcW w:w="2551" w:type="dxa"/>
            <w:vAlign w:val="center"/>
          </w:tcPr>
          <w:p>
            <w:pPr>
              <w:pStyle w:val="11"/>
            </w:pPr>
            <w:r>
              <w:t>24.68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346.03</w:t>
            </w:r>
          </w:p>
        </w:tc>
        <w:tc>
          <w:tcPr>
            <w:tcW w:w="2551" w:type="dxa"/>
            <w:vAlign w:val="center"/>
          </w:tcPr>
          <w:p>
            <w:pPr>
              <w:pStyle w:val="15"/>
            </w:pPr>
            <w:r>
              <w:t>314.67</w:t>
            </w:r>
          </w:p>
        </w:tc>
        <w:tc>
          <w:tcPr>
            <w:tcW w:w="2551" w:type="dxa"/>
            <w:vAlign w:val="center"/>
          </w:tcPr>
          <w:p>
            <w:pPr>
              <w:pStyle w:val="15"/>
            </w:pPr>
            <w:r>
              <w:t>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276.68</w:t>
            </w:r>
          </w:p>
        </w:tc>
        <w:tc>
          <w:tcPr>
            <w:tcW w:w="2551" w:type="dxa"/>
            <w:vAlign w:val="center"/>
          </w:tcPr>
          <w:p>
            <w:pPr>
              <w:pStyle w:val="11"/>
            </w:pPr>
            <w:r>
              <w:t>276.68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108.00</w:t>
            </w:r>
          </w:p>
        </w:tc>
        <w:tc>
          <w:tcPr>
            <w:tcW w:w="2551" w:type="dxa"/>
            <w:vAlign w:val="center"/>
          </w:tcPr>
          <w:p>
            <w:pPr>
              <w:pStyle w:val="11"/>
            </w:pPr>
            <w:r>
              <w:t>108.00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38.15</w:t>
            </w:r>
          </w:p>
        </w:tc>
        <w:tc>
          <w:tcPr>
            <w:tcW w:w="2551" w:type="dxa"/>
            <w:vAlign w:val="center"/>
          </w:tcPr>
          <w:p>
            <w:pPr>
              <w:pStyle w:val="11"/>
            </w:pPr>
            <w:r>
              <w:t>38.15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27.93</w:t>
            </w:r>
          </w:p>
        </w:tc>
        <w:tc>
          <w:tcPr>
            <w:tcW w:w="2551" w:type="dxa"/>
            <w:vAlign w:val="center"/>
          </w:tcPr>
          <w:p>
            <w:pPr>
              <w:pStyle w:val="11"/>
            </w:pPr>
            <w:r>
              <w:t>27.93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30.01</w:t>
            </w:r>
          </w:p>
        </w:tc>
        <w:tc>
          <w:tcPr>
            <w:tcW w:w="2551" w:type="dxa"/>
            <w:vAlign w:val="center"/>
          </w:tcPr>
          <w:p>
            <w:pPr>
              <w:pStyle w:val="11"/>
            </w:pPr>
            <w:r>
              <w:t>30.01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27.35</w:t>
            </w:r>
          </w:p>
        </w:tc>
        <w:tc>
          <w:tcPr>
            <w:tcW w:w="2551" w:type="dxa"/>
            <w:vAlign w:val="center"/>
          </w:tcPr>
          <w:p>
            <w:pPr>
              <w:pStyle w:val="11"/>
            </w:pPr>
            <w:r>
              <w:t>27.35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12.81</w:t>
            </w:r>
          </w:p>
        </w:tc>
        <w:tc>
          <w:tcPr>
            <w:tcW w:w="2551" w:type="dxa"/>
            <w:vAlign w:val="center"/>
          </w:tcPr>
          <w:p>
            <w:pPr>
              <w:pStyle w:val="11"/>
            </w:pPr>
            <w:r>
              <w:t>12.81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2.35</w:t>
            </w:r>
          </w:p>
        </w:tc>
        <w:tc>
          <w:tcPr>
            <w:tcW w:w="2551" w:type="dxa"/>
            <w:vAlign w:val="center"/>
          </w:tcPr>
          <w:p>
            <w:pPr>
              <w:pStyle w:val="11"/>
            </w:pPr>
            <w:r>
              <w:t>2.35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24.68</w:t>
            </w:r>
          </w:p>
        </w:tc>
        <w:tc>
          <w:tcPr>
            <w:tcW w:w="2551" w:type="dxa"/>
            <w:vAlign w:val="center"/>
          </w:tcPr>
          <w:p>
            <w:pPr>
              <w:pStyle w:val="11"/>
            </w:pPr>
            <w:r>
              <w:t>24.68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5.40</w:t>
            </w:r>
          </w:p>
        </w:tc>
        <w:tc>
          <w:tcPr>
            <w:tcW w:w="2551" w:type="dxa"/>
            <w:vAlign w:val="center"/>
          </w:tcPr>
          <w:p>
            <w:pPr>
              <w:pStyle w:val="11"/>
            </w:pPr>
            <w:r>
              <w:t>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31.36</w:t>
            </w:r>
          </w:p>
        </w:tc>
        <w:tc>
          <w:tcPr>
            <w:tcW w:w="2551" w:type="dxa"/>
            <w:vAlign w:val="center"/>
          </w:tcPr>
          <w:p>
            <w:pPr>
              <w:pStyle w:val="11"/>
            </w:pPr>
          </w:p>
        </w:tc>
        <w:tc>
          <w:tcPr>
            <w:tcW w:w="2551" w:type="dxa"/>
            <w:vAlign w:val="center"/>
          </w:tcPr>
          <w:p>
            <w:pPr>
              <w:pStyle w:val="11"/>
            </w:pPr>
            <w:r>
              <w:t>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2.98</w:t>
            </w:r>
          </w:p>
        </w:tc>
        <w:tc>
          <w:tcPr>
            <w:tcW w:w="2551" w:type="dxa"/>
            <w:vAlign w:val="center"/>
          </w:tcPr>
          <w:p>
            <w:pPr>
              <w:pStyle w:val="11"/>
            </w:pPr>
          </w:p>
        </w:tc>
        <w:tc>
          <w:tcPr>
            <w:tcW w:w="2551" w:type="dxa"/>
            <w:vAlign w:val="center"/>
          </w:tcPr>
          <w:p>
            <w:pPr>
              <w:pStyle w:val="11"/>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6.64</w:t>
            </w:r>
          </w:p>
        </w:tc>
        <w:tc>
          <w:tcPr>
            <w:tcW w:w="2551" w:type="dxa"/>
            <w:vAlign w:val="center"/>
          </w:tcPr>
          <w:p>
            <w:pPr>
              <w:pStyle w:val="11"/>
            </w:pPr>
          </w:p>
        </w:tc>
        <w:tc>
          <w:tcPr>
            <w:tcW w:w="2551" w:type="dxa"/>
            <w:vAlign w:val="center"/>
          </w:tcPr>
          <w:p>
            <w:pPr>
              <w:pStyle w:val="11"/>
            </w:pPr>
            <w:r>
              <w:t>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0.22</w:t>
            </w:r>
          </w:p>
        </w:tc>
        <w:tc>
          <w:tcPr>
            <w:tcW w:w="2551" w:type="dxa"/>
            <w:vAlign w:val="center"/>
          </w:tcPr>
          <w:p>
            <w:pPr>
              <w:pStyle w:val="11"/>
            </w:pPr>
          </w:p>
        </w:tc>
        <w:tc>
          <w:tcPr>
            <w:tcW w:w="2551" w:type="dxa"/>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2.03</w:t>
            </w:r>
          </w:p>
        </w:tc>
        <w:tc>
          <w:tcPr>
            <w:tcW w:w="2551" w:type="dxa"/>
            <w:vAlign w:val="center"/>
          </w:tcPr>
          <w:p>
            <w:pPr>
              <w:pStyle w:val="11"/>
            </w:pPr>
          </w:p>
        </w:tc>
        <w:tc>
          <w:tcPr>
            <w:tcW w:w="2551" w:type="dxa"/>
            <w:vAlign w:val="center"/>
          </w:tcPr>
          <w:p>
            <w:pPr>
              <w:pStyle w:val="11"/>
            </w:pPr>
            <w:r>
              <w:t>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8.40</w:t>
            </w:r>
          </w:p>
        </w:tc>
        <w:tc>
          <w:tcPr>
            <w:tcW w:w="2551" w:type="dxa"/>
            <w:vAlign w:val="center"/>
          </w:tcPr>
          <w:p>
            <w:pPr>
              <w:pStyle w:val="11"/>
            </w:pPr>
          </w:p>
        </w:tc>
        <w:tc>
          <w:tcPr>
            <w:tcW w:w="2551" w:type="dxa"/>
            <w:vAlign w:val="center"/>
          </w:tcPr>
          <w:p>
            <w:pPr>
              <w:pStyle w:val="11"/>
            </w:pPr>
            <w:r>
              <w:t>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5.59</w:t>
            </w:r>
          </w:p>
        </w:tc>
        <w:tc>
          <w:tcPr>
            <w:tcW w:w="2551" w:type="dxa"/>
            <w:vAlign w:val="center"/>
          </w:tcPr>
          <w:p>
            <w:pPr>
              <w:pStyle w:val="11"/>
            </w:pPr>
          </w:p>
        </w:tc>
        <w:tc>
          <w:tcPr>
            <w:tcW w:w="2551" w:type="dxa"/>
            <w:vAlign w:val="center"/>
          </w:tcPr>
          <w:p>
            <w:pPr>
              <w:pStyle w:val="11"/>
            </w:pPr>
            <w:r>
              <w:t>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37.99</w:t>
            </w:r>
          </w:p>
        </w:tc>
        <w:tc>
          <w:tcPr>
            <w:tcW w:w="2551" w:type="dxa"/>
            <w:vAlign w:val="center"/>
          </w:tcPr>
          <w:p>
            <w:pPr>
              <w:pStyle w:val="11"/>
            </w:pPr>
            <w:r>
              <w:t>37.99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36.76</w:t>
            </w:r>
          </w:p>
        </w:tc>
        <w:tc>
          <w:tcPr>
            <w:tcW w:w="2551" w:type="dxa"/>
            <w:vAlign w:val="center"/>
          </w:tcPr>
          <w:p>
            <w:pPr>
              <w:pStyle w:val="11"/>
            </w:pPr>
            <w:r>
              <w:t>36.76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1.23</w:t>
            </w:r>
          </w:p>
        </w:tc>
        <w:tc>
          <w:tcPr>
            <w:tcW w:w="2551" w:type="dxa"/>
            <w:vAlign w:val="center"/>
          </w:tcPr>
          <w:p>
            <w:pPr>
              <w:pStyle w:val="11"/>
            </w:pPr>
            <w:r>
              <w:t>1.23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501001新乐市信访局本级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2.40</w:t>
            </w:r>
          </w:p>
        </w:tc>
        <w:tc>
          <w:tcPr>
            <w:tcW w:w="2381" w:type="dxa"/>
            <w:vAlign w:val="center"/>
          </w:tcPr>
          <w:p>
            <w:pPr>
              <w:pStyle w:val="15"/>
            </w:pPr>
            <w:r>
              <w:t>2.40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2.40</w:t>
            </w:r>
          </w:p>
        </w:tc>
        <w:tc>
          <w:tcPr>
            <w:tcW w:w="2381" w:type="dxa"/>
            <w:vAlign w:val="center"/>
          </w:tcPr>
          <w:p>
            <w:pPr>
              <w:pStyle w:val="11"/>
            </w:pPr>
            <w:r>
              <w:t>2.40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新乐市信访局本级2026年单位预算信息公开情况说明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按照《中华人民共和国预算法》、《地方预决算公开操作规程》和《关于进一步推进预算公开工作的实施意见》规定，现将新乐市信访局本级2026年单位预算公开如下：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1、办理人民群众来信、来访、网上信访；协助上级信访局处理越级上访工作。</w:t>
      </w:r>
    </w:p>
    <w:p>
      <w:pPr>
        <w:pStyle w:val="17"/>
      </w:pPr>
      <w:r>
        <w:t>2、协助公安机关维护重点区域的正常工作秩序；处置影响社会政治稳定的各类非访、突发性、群体性事件；负责组织协调、稳控劝返、服务保障我市越级非访工作。承办市联席办的日常工作。</w:t>
      </w:r>
    </w:p>
    <w:p>
      <w:pPr>
        <w:pStyle w:val="17"/>
      </w:pPr>
      <w:r>
        <w:t>3、负责指导全市信访督查、复查复核、听证等工作，并对相关事项进行审核、上报；负责信访疑难案件的督办。</w:t>
      </w:r>
    </w:p>
    <w:p>
      <w:pPr>
        <w:pStyle w:val="17"/>
      </w:pPr>
      <w:r>
        <w:t>4、负责信访接待场所的接访、登记、后勤服务等工作及入驻单位工作人员的协调、管理工作。</w:t>
      </w:r>
    </w:p>
    <w:p>
      <w:pPr>
        <w:pStyle w:val="17"/>
      </w:pPr>
      <w:r>
        <w:t>5、负责征集社会各界对全市政治、经济、文化、发展等方面的意见和建议；引导人民群众对党和政府的工作献计献策，负责对人民建议进行筛选、登记及督办，对重要的意见建议进行调研和论证，向市委、市政府或相关部门提供决策参考。</w:t>
      </w:r>
    </w:p>
    <w:p>
      <w:pPr>
        <w:pStyle w:val="17"/>
      </w:pPr>
      <w:r>
        <w:t>6、调研提出信访工作对策建议；督促检查和指导全市信访工作；信息化建设与运维管理；机要邮件正常传递；负责局机关行政后勤、资产、物业管理。</w:t>
      </w:r>
    </w:p>
    <w:p>
      <w:pPr>
        <w:pStyle w:val="17"/>
      </w:pPr>
      <w:r>
        <w:t>7、承办上级机关和领导交办的其他事项。</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新乐市信访局本级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346.03万元，其中：一般公共预算收入346.03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信访局本级年度单位预算中支出预算的总体情况。2026年支出预算346.03万元，其中基本支出346.03万元，包括人员经费314.67万元和日常公用经费31.36万元；项目支出0.00万元，主要为我单位2026年无项目预算。；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346.03万元，较2025年预算增加6.00万元，其中：基本支出增加41.00万元，主要为人员工资和社保费用自然增长。项目支出减少35.00万元，主要为信访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2026年，我单位机关运行经费共计安排31.36万元，主要用于日常维修、办公用房水电费、办公用房取暖费、办公用房物业管理费等日常运行支出。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2.40万元，其中因公出国（境）费0.00万元；公务用车购置及运维费2.40万元（其中：公务用车购置费为0.00万元，公务用车运维费2.40万元)；公务接待费0.00万元。与2025年相比增加0.00万元，增减变化的主要原因是与上年相比持平，无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ind w:firstLine="1280" w:firstLineChars="400"/>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bookmarkStart w:id="1" w:name="_GoBack"/>
      <w:bookmarkEnd w:id="1"/>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501001新乐市信访局本级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新乐市信访局本级上年末固定资产金额为138.22万元（详见下表）。本年度拟购置固定资产总额为0.00万元，已按要求列入政府采购预算，详见政府采购预算表。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501001新乐市信访局本级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235</w:t>
            </w:r>
          </w:p>
        </w:tc>
        <w:tc>
          <w:tcPr>
            <w:tcW w:w="2835" w:type="dxa"/>
            <w:vAlign w:val="center"/>
          </w:tcPr>
          <w:p>
            <w:pPr>
              <w:pStyle w:val="11"/>
            </w:pPr>
            <w:r>
              <w:t>125.36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1831131"/>
    <w:multiLevelType w:val="singleLevel"/>
    <w:tmpl w:val="2183113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45B25D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5137</Words>
  <Characters>6603</Characters>
  <TotalTime>0</TotalTime>
  <ScaleCrop>false</ScaleCrop>
  <LinksUpToDate>false</LinksUpToDate>
  <CharactersWithSpaces>6720</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2026-03-04T14:00:00Z</dcterms:created>
  <dc:creator>Administrator</dc:creator>
  <cp:lastModifiedBy>飞翔的麦穗</cp:lastModifiedBy>
  <dcterms:modified xsi:type="dcterms:W3CDTF">2026-03-04T06:38:57Z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C439E8622DFD401C9F7F8411BF67CE25</vt:lpwstr>
  </property>
</Properties>
</file>