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501新乐市信访局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346.03</w:t>
            </w:r>
          </w:p>
        </w:tc>
        <w:tc>
          <w:tcPr>
            <w:tcW w:w="4535" w:type="dxa"/>
            <w:vAlign w:val="center"/>
          </w:tcPr>
          <w:p>
            <w:pPr>
              <w:pStyle w:val="13"/>
            </w:pPr>
            <w:r>
              <w:t>一、一般公共服务支出</w:t>
            </w:r>
          </w:p>
        </w:tc>
        <w:tc>
          <w:tcPr>
            <w:tcW w:w="2126" w:type="dxa"/>
            <w:vAlign w:val="center"/>
          </w:tcPr>
          <w:p>
            <w:pPr>
              <w:pStyle w:val="12"/>
            </w:pPr>
            <w:r>
              <w:t>240.85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346.03</w:t>
            </w:r>
          </w:p>
        </w:tc>
        <w:tc>
          <w:tcPr>
            <w:tcW w:w="4535" w:type="dxa"/>
            <w:vAlign w:val="center"/>
          </w:tcPr>
          <w:p>
            <w:pPr>
              <w:pStyle w:val="15"/>
            </w:pPr>
            <w:r>
              <w:t>本年支出合计</w:t>
            </w:r>
          </w:p>
        </w:tc>
        <w:tc>
          <w:tcPr>
            <w:tcW w:w="2126" w:type="dxa"/>
            <w:vAlign w:val="center"/>
          </w:tcPr>
          <w:p>
            <w:pPr>
              <w:pStyle w:val="16"/>
            </w:pPr>
            <w:r>
              <w:t>346.03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346.03</w:t>
            </w:r>
          </w:p>
        </w:tc>
        <w:tc>
          <w:tcPr>
            <w:tcW w:w="4535" w:type="dxa"/>
            <w:vAlign w:val="center"/>
          </w:tcPr>
          <w:p>
            <w:pPr>
              <w:pStyle w:val="15"/>
            </w:pPr>
            <w:r>
              <w:t>支出总计</w:t>
            </w:r>
          </w:p>
        </w:tc>
        <w:tc>
          <w:tcPr>
            <w:tcW w:w="2126" w:type="dxa"/>
            <w:vAlign w:val="center"/>
          </w:tcPr>
          <w:p>
            <w:pPr>
              <w:pStyle w:val="16"/>
            </w:pPr>
            <w:r>
              <w:t>346.03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501新乐市信访局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346.03</w:t>
            </w:r>
          </w:p>
        </w:tc>
        <w:tc>
          <w:tcPr>
            <w:tcW w:w="1134" w:type="dxa"/>
            <w:vAlign w:val="center"/>
          </w:tcPr>
          <w:p>
            <w:pPr>
              <w:pStyle w:val="16"/>
            </w:pPr>
            <w:r>
              <w:t>346.03</w:t>
            </w:r>
          </w:p>
        </w:tc>
        <w:tc>
          <w:tcPr>
            <w:tcW w:w="1134" w:type="dxa"/>
            <w:vAlign w:val="center"/>
          </w:tcPr>
          <w:p>
            <w:pPr>
              <w:pStyle w:val="16"/>
            </w:pPr>
            <w:r>
              <w:t>346.03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r>
              <w:t>240.85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67.69</w:t>
            </w:r>
          </w:p>
        </w:tc>
        <w:tc>
          <w:tcPr>
            <w:tcW w:w="1134" w:type="dxa"/>
            <w:vAlign w:val="center"/>
          </w:tcPr>
          <w:p>
            <w:pPr>
              <w:pStyle w:val="12"/>
            </w:pPr>
            <w:r>
              <w:t>67.69</w:t>
            </w:r>
          </w:p>
        </w:tc>
        <w:tc>
          <w:tcPr>
            <w:tcW w:w="1134" w:type="dxa"/>
            <w:vAlign w:val="center"/>
          </w:tcPr>
          <w:p>
            <w:pPr>
              <w:pStyle w:val="12"/>
            </w:pPr>
            <w:r>
              <w:t>67.69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64.11</w:t>
            </w:r>
          </w:p>
        </w:tc>
        <w:tc>
          <w:tcPr>
            <w:tcW w:w="1134" w:type="dxa"/>
            <w:vAlign w:val="center"/>
          </w:tcPr>
          <w:p>
            <w:pPr>
              <w:pStyle w:val="12"/>
            </w:pPr>
            <w:r>
              <w:t>64.11</w:t>
            </w:r>
          </w:p>
        </w:tc>
        <w:tc>
          <w:tcPr>
            <w:tcW w:w="1134" w:type="dxa"/>
            <w:vAlign w:val="center"/>
          </w:tcPr>
          <w:p>
            <w:pPr>
              <w:pStyle w:val="12"/>
            </w:pPr>
            <w:r>
              <w:t>64.11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36.76</w:t>
            </w:r>
          </w:p>
        </w:tc>
        <w:tc>
          <w:tcPr>
            <w:tcW w:w="1134" w:type="dxa"/>
            <w:vAlign w:val="center"/>
          </w:tcPr>
          <w:p>
            <w:pPr>
              <w:pStyle w:val="12"/>
            </w:pPr>
            <w:r>
              <w:t>36.76</w:t>
            </w:r>
          </w:p>
        </w:tc>
        <w:tc>
          <w:tcPr>
            <w:tcW w:w="1134" w:type="dxa"/>
            <w:vAlign w:val="center"/>
          </w:tcPr>
          <w:p>
            <w:pPr>
              <w:pStyle w:val="12"/>
            </w:pPr>
            <w:r>
              <w:t>36.76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27.35</w:t>
            </w:r>
          </w:p>
        </w:tc>
        <w:tc>
          <w:tcPr>
            <w:tcW w:w="1134" w:type="dxa"/>
            <w:vAlign w:val="center"/>
          </w:tcPr>
          <w:p>
            <w:pPr>
              <w:pStyle w:val="12"/>
            </w:pPr>
            <w:r>
              <w:t>27.35</w:t>
            </w:r>
          </w:p>
        </w:tc>
        <w:tc>
          <w:tcPr>
            <w:tcW w:w="1134" w:type="dxa"/>
            <w:vAlign w:val="center"/>
          </w:tcPr>
          <w:p>
            <w:pPr>
              <w:pStyle w:val="12"/>
            </w:pPr>
            <w:r>
              <w:t>27.35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1.23</w:t>
            </w:r>
          </w:p>
        </w:tc>
        <w:tc>
          <w:tcPr>
            <w:tcW w:w="1134" w:type="dxa"/>
            <w:vAlign w:val="center"/>
          </w:tcPr>
          <w:p>
            <w:pPr>
              <w:pStyle w:val="12"/>
            </w:pPr>
            <w:r>
              <w:t>1.23</w:t>
            </w:r>
          </w:p>
        </w:tc>
        <w:tc>
          <w:tcPr>
            <w:tcW w:w="1134" w:type="dxa"/>
            <w:vAlign w:val="center"/>
          </w:tcPr>
          <w:p>
            <w:pPr>
              <w:pStyle w:val="12"/>
            </w:pPr>
            <w:r>
              <w:t>1.23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1.23</w:t>
            </w:r>
          </w:p>
        </w:tc>
        <w:tc>
          <w:tcPr>
            <w:tcW w:w="1134" w:type="dxa"/>
            <w:vAlign w:val="center"/>
          </w:tcPr>
          <w:p>
            <w:pPr>
              <w:pStyle w:val="12"/>
            </w:pPr>
            <w:r>
              <w:t>1.23</w:t>
            </w:r>
          </w:p>
        </w:tc>
        <w:tc>
          <w:tcPr>
            <w:tcW w:w="1134" w:type="dxa"/>
            <w:vAlign w:val="center"/>
          </w:tcPr>
          <w:p>
            <w:pPr>
              <w:pStyle w:val="12"/>
            </w:pPr>
            <w:r>
              <w:t>1.23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2.35</w:t>
            </w:r>
          </w:p>
        </w:tc>
        <w:tc>
          <w:tcPr>
            <w:tcW w:w="1134" w:type="dxa"/>
            <w:vAlign w:val="center"/>
          </w:tcPr>
          <w:p>
            <w:pPr>
              <w:pStyle w:val="12"/>
            </w:pPr>
            <w:r>
              <w:t>2.35</w:t>
            </w:r>
          </w:p>
        </w:tc>
        <w:tc>
          <w:tcPr>
            <w:tcW w:w="1134" w:type="dxa"/>
            <w:vAlign w:val="center"/>
          </w:tcPr>
          <w:p>
            <w:pPr>
              <w:pStyle w:val="12"/>
            </w:pPr>
            <w:r>
              <w:t>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2.35</w:t>
            </w:r>
          </w:p>
        </w:tc>
        <w:tc>
          <w:tcPr>
            <w:tcW w:w="1134" w:type="dxa"/>
            <w:vAlign w:val="center"/>
          </w:tcPr>
          <w:p>
            <w:pPr>
              <w:pStyle w:val="12"/>
            </w:pPr>
            <w:r>
              <w:t>2.35</w:t>
            </w:r>
          </w:p>
        </w:tc>
        <w:tc>
          <w:tcPr>
            <w:tcW w:w="1134" w:type="dxa"/>
            <w:vAlign w:val="center"/>
          </w:tcPr>
          <w:p>
            <w:pPr>
              <w:pStyle w:val="12"/>
            </w:pPr>
            <w:r>
              <w:t>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r>
              <w:t>12.81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r>
              <w:t>24.68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346.03</w:t>
            </w:r>
          </w:p>
        </w:tc>
        <w:tc>
          <w:tcPr>
            <w:tcW w:w="1361" w:type="dxa"/>
            <w:vAlign w:val="center"/>
          </w:tcPr>
          <w:p>
            <w:pPr>
              <w:pStyle w:val="16"/>
            </w:pPr>
            <w:r>
              <w:t>346.03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240.85</w:t>
            </w:r>
          </w:p>
        </w:tc>
        <w:tc>
          <w:tcPr>
            <w:tcW w:w="1361" w:type="dxa"/>
            <w:vAlign w:val="center"/>
          </w:tcPr>
          <w:p>
            <w:pPr>
              <w:pStyle w:val="12"/>
            </w:pPr>
            <w:r>
              <w:t>240.85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240.85</w:t>
            </w:r>
          </w:p>
        </w:tc>
        <w:tc>
          <w:tcPr>
            <w:tcW w:w="1361" w:type="dxa"/>
            <w:vAlign w:val="center"/>
          </w:tcPr>
          <w:p>
            <w:pPr>
              <w:pStyle w:val="12"/>
            </w:pPr>
            <w:r>
              <w:t>240.85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240.85</w:t>
            </w:r>
          </w:p>
        </w:tc>
        <w:tc>
          <w:tcPr>
            <w:tcW w:w="1361" w:type="dxa"/>
            <w:vAlign w:val="center"/>
          </w:tcPr>
          <w:p>
            <w:pPr>
              <w:pStyle w:val="12"/>
            </w:pPr>
            <w:r>
              <w:t>240.85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67.69</w:t>
            </w:r>
          </w:p>
        </w:tc>
        <w:tc>
          <w:tcPr>
            <w:tcW w:w="1361" w:type="dxa"/>
            <w:vAlign w:val="center"/>
          </w:tcPr>
          <w:p>
            <w:pPr>
              <w:pStyle w:val="12"/>
            </w:pPr>
            <w:r>
              <w:t>67.69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64.11</w:t>
            </w:r>
          </w:p>
        </w:tc>
        <w:tc>
          <w:tcPr>
            <w:tcW w:w="1361" w:type="dxa"/>
            <w:vAlign w:val="center"/>
          </w:tcPr>
          <w:p>
            <w:pPr>
              <w:pStyle w:val="12"/>
            </w:pPr>
            <w:r>
              <w:t>64.11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36.76</w:t>
            </w:r>
          </w:p>
        </w:tc>
        <w:tc>
          <w:tcPr>
            <w:tcW w:w="1361" w:type="dxa"/>
            <w:vAlign w:val="center"/>
          </w:tcPr>
          <w:p>
            <w:pPr>
              <w:pStyle w:val="12"/>
            </w:pPr>
            <w:r>
              <w:t>36.76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27.35</w:t>
            </w:r>
          </w:p>
        </w:tc>
        <w:tc>
          <w:tcPr>
            <w:tcW w:w="1361" w:type="dxa"/>
            <w:vAlign w:val="center"/>
          </w:tcPr>
          <w:p>
            <w:pPr>
              <w:pStyle w:val="12"/>
            </w:pPr>
            <w:r>
              <w:t>27.35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1.23</w:t>
            </w:r>
          </w:p>
        </w:tc>
        <w:tc>
          <w:tcPr>
            <w:tcW w:w="1361" w:type="dxa"/>
            <w:vAlign w:val="center"/>
          </w:tcPr>
          <w:p>
            <w:pPr>
              <w:pStyle w:val="12"/>
            </w:pPr>
            <w:r>
              <w:t>1.23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1.23</w:t>
            </w:r>
          </w:p>
        </w:tc>
        <w:tc>
          <w:tcPr>
            <w:tcW w:w="1361" w:type="dxa"/>
            <w:vAlign w:val="center"/>
          </w:tcPr>
          <w:p>
            <w:pPr>
              <w:pStyle w:val="12"/>
            </w:pPr>
            <w:r>
              <w:t>1.23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2.35</w:t>
            </w:r>
          </w:p>
        </w:tc>
        <w:tc>
          <w:tcPr>
            <w:tcW w:w="1361" w:type="dxa"/>
            <w:vAlign w:val="center"/>
          </w:tcPr>
          <w:p>
            <w:pPr>
              <w:pStyle w:val="12"/>
            </w:pPr>
            <w:r>
              <w:t>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2.35</w:t>
            </w:r>
          </w:p>
        </w:tc>
        <w:tc>
          <w:tcPr>
            <w:tcW w:w="1361" w:type="dxa"/>
            <w:vAlign w:val="center"/>
          </w:tcPr>
          <w:p>
            <w:pPr>
              <w:pStyle w:val="12"/>
            </w:pPr>
            <w:r>
              <w:t>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12.81</w:t>
            </w:r>
          </w:p>
        </w:tc>
        <w:tc>
          <w:tcPr>
            <w:tcW w:w="1361" w:type="dxa"/>
            <w:vAlign w:val="center"/>
          </w:tcPr>
          <w:p>
            <w:pPr>
              <w:pStyle w:val="12"/>
            </w:pPr>
            <w:r>
              <w:t>12.81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12.81</w:t>
            </w:r>
          </w:p>
        </w:tc>
        <w:tc>
          <w:tcPr>
            <w:tcW w:w="1361" w:type="dxa"/>
            <w:vAlign w:val="center"/>
          </w:tcPr>
          <w:p>
            <w:pPr>
              <w:pStyle w:val="12"/>
            </w:pPr>
            <w:r>
              <w:t>12.81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12.81</w:t>
            </w:r>
          </w:p>
        </w:tc>
        <w:tc>
          <w:tcPr>
            <w:tcW w:w="1361" w:type="dxa"/>
            <w:vAlign w:val="center"/>
          </w:tcPr>
          <w:p>
            <w:pPr>
              <w:pStyle w:val="12"/>
            </w:pPr>
            <w:r>
              <w:t>12.81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24.68</w:t>
            </w:r>
          </w:p>
        </w:tc>
        <w:tc>
          <w:tcPr>
            <w:tcW w:w="1361" w:type="dxa"/>
            <w:vAlign w:val="center"/>
          </w:tcPr>
          <w:p>
            <w:pPr>
              <w:pStyle w:val="12"/>
            </w:pPr>
            <w:r>
              <w:t>24.68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24.68</w:t>
            </w:r>
          </w:p>
        </w:tc>
        <w:tc>
          <w:tcPr>
            <w:tcW w:w="1361" w:type="dxa"/>
            <w:vAlign w:val="center"/>
          </w:tcPr>
          <w:p>
            <w:pPr>
              <w:pStyle w:val="12"/>
            </w:pPr>
            <w:r>
              <w:t>24.68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24.68</w:t>
            </w:r>
          </w:p>
        </w:tc>
        <w:tc>
          <w:tcPr>
            <w:tcW w:w="1361" w:type="dxa"/>
            <w:vAlign w:val="center"/>
          </w:tcPr>
          <w:p>
            <w:pPr>
              <w:pStyle w:val="12"/>
            </w:pPr>
            <w:r>
              <w:t>24.68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346.03</w:t>
            </w:r>
          </w:p>
        </w:tc>
        <w:tc>
          <w:tcPr>
            <w:tcW w:w="3402" w:type="dxa"/>
            <w:vAlign w:val="center"/>
          </w:tcPr>
          <w:p>
            <w:pPr>
              <w:pStyle w:val="13"/>
            </w:pPr>
            <w:r>
              <w:t>一、一般公共服务支出</w:t>
            </w:r>
          </w:p>
        </w:tc>
        <w:tc>
          <w:tcPr>
            <w:tcW w:w="1474" w:type="dxa"/>
            <w:vAlign w:val="center"/>
          </w:tcPr>
          <w:p>
            <w:pPr>
              <w:pStyle w:val="12"/>
            </w:pPr>
            <w:r>
              <w:t>240.85</w:t>
            </w:r>
          </w:p>
        </w:tc>
        <w:tc>
          <w:tcPr>
            <w:tcW w:w="1474" w:type="dxa"/>
            <w:vAlign w:val="center"/>
          </w:tcPr>
          <w:p>
            <w:pPr>
              <w:pStyle w:val="12"/>
            </w:pPr>
            <w:r>
              <w:t>240.85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67.69</w:t>
            </w:r>
          </w:p>
        </w:tc>
        <w:tc>
          <w:tcPr>
            <w:tcW w:w="1474" w:type="dxa"/>
            <w:vAlign w:val="center"/>
          </w:tcPr>
          <w:p>
            <w:pPr>
              <w:pStyle w:val="12"/>
            </w:pPr>
            <w:r>
              <w:t>67.69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12.81</w:t>
            </w:r>
          </w:p>
        </w:tc>
        <w:tc>
          <w:tcPr>
            <w:tcW w:w="1474" w:type="dxa"/>
            <w:vAlign w:val="center"/>
          </w:tcPr>
          <w:p>
            <w:pPr>
              <w:pStyle w:val="12"/>
            </w:pPr>
            <w:r>
              <w:t>12.81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24.68</w:t>
            </w:r>
          </w:p>
        </w:tc>
        <w:tc>
          <w:tcPr>
            <w:tcW w:w="1474" w:type="dxa"/>
            <w:vAlign w:val="center"/>
          </w:tcPr>
          <w:p>
            <w:pPr>
              <w:pStyle w:val="12"/>
            </w:pPr>
            <w:r>
              <w:t>24.68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346.03</w:t>
            </w:r>
          </w:p>
        </w:tc>
        <w:tc>
          <w:tcPr>
            <w:tcW w:w="3402" w:type="dxa"/>
            <w:vAlign w:val="center"/>
          </w:tcPr>
          <w:p>
            <w:pPr>
              <w:pStyle w:val="15"/>
            </w:pPr>
            <w:r>
              <w:t>本年支出合计</w:t>
            </w:r>
          </w:p>
        </w:tc>
        <w:tc>
          <w:tcPr>
            <w:tcW w:w="1474" w:type="dxa"/>
            <w:vAlign w:val="center"/>
          </w:tcPr>
          <w:p>
            <w:pPr>
              <w:pStyle w:val="16"/>
            </w:pPr>
            <w:r>
              <w:t>346.03</w:t>
            </w:r>
          </w:p>
        </w:tc>
        <w:tc>
          <w:tcPr>
            <w:tcW w:w="1474" w:type="dxa"/>
            <w:vAlign w:val="center"/>
          </w:tcPr>
          <w:p>
            <w:pPr>
              <w:pStyle w:val="16"/>
            </w:pPr>
            <w:r>
              <w:t>346.03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346.03</w:t>
            </w:r>
          </w:p>
        </w:tc>
        <w:tc>
          <w:tcPr>
            <w:tcW w:w="3402" w:type="dxa"/>
            <w:vAlign w:val="center"/>
          </w:tcPr>
          <w:p>
            <w:pPr>
              <w:pStyle w:val="15"/>
            </w:pPr>
            <w:r>
              <w:t>支出总计</w:t>
            </w:r>
          </w:p>
        </w:tc>
        <w:tc>
          <w:tcPr>
            <w:tcW w:w="1474" w:type="dxa"/>
            <w:vAlign w:val="center"/>
          </w:tcPr>
          <w:p>
            <w:pPr>
              <w:pStyle w:val="16"/>
            </w:pPr>
            <w:r>
              <w:t>346.03</w:t>
            </w:r>
          </w:p>
        </w:tc>
        <w:tc>
          <w:tcPr>
            <w:tcW w:w="1474" w:type="dxa"/>
            <w:vAlign w:val="center"/>
          </w:tcPr>
          <w:p>
            <w:pPr>
              <w:pStyle w:val="16"/>
            </w:pPr>
            <w:r>
              <w:t>346.03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346.03</w:t>
            </w:r>
          </w:p>
        </w:tc>
        <w:tc>
          <w:tcPr>
            <w:tcW w:w="2551" w:type="dxa"/>
            <w:vAlign w:val="center"/>
          </w:tcPr>
          <w:p>
            <w:pPr>
              <w:pStyle w:val="16"/>
            </w:pPr>
            <w:r>
              <w:t>346.03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240.85</w:t>
            </w:r>
          </w:p>
        </w:tc>
        <w:tc>
          <w:tcPr>
            <w:tcW w:w="2551" w:type="dxa"/>
            <w:vAlign w:val="center"/>
          </w:tcPr>
          <w:p>
            <w:pPr>
              <w:pStyle w:val="12"/>
            </w:pPr>
            <w:r>
              <w:t>240.85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240.85</w:t>
            </w:r>
          </w:p>
        </w:tc>
        <w:tc>
          <w:tcPr>
            <w:tcW w:w="2551" w:type="dxa"/>
            <w:vAlign w:val="center"/>
          </w:tcPr>
          <w:p>
            <w:pPr>
              <w:pStyle w:val="12"/>
            </w:pPr>
            <w:r>
              <w:t>240.85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240.85</w:t>
            </w:r>
          </w:p>
        </w:tc>
        <w:tc>
          <w:tcPr>
            <w:tcW w:w="2551" w:type="dxa"/>
            <w:vAlign w:val="center"/>
          </w:tcPr>
          <w:p>
            <w:pPr>
              <w:pStyle w:val="12"/>
            </w:pPr>
            <w:r>
              <w:t>240.85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67.69</w:t>
            </w:r>
          </w:p>
        </w:tc>
        <w:tc>
          <w:tcPr>
            <w:tcW w:w="2551" w:type="dxa"/>
            <w:vAlign w:val="center"/>
          </w:tcPr>
          <w:p>
            <w:pPr>
              <w:pStyle w:val="12"/>
            </w:pPr>
            <w:r>
              <w:t>67.69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64.11</w:t>
            </w:r>
          </w:p>
        </w:tc>
        <w:tc>
          <w:tcPr>
            <w:tcW w:w="2551" w:type="dxa"/>
            <w:vAlign w:val="center"/>
          </w:tcPr>
          <w:p>
            <w:pPr>
              <w:pStyle w:val="12"/>
            </w:pPr>
            <w:r>
              <w:t>64.11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36.76</w:t>
            </w:r>
          </w:p>
        </w:tc>
        <w:tc>
          <w:tcPr>
            <w:tcW w:w="2551" w:type="dxa"/>
            <w:vAlign w:val="center"/>
          </w:tcPr>
          <w:p>
            <w:pPr>
              <w:pStyle w:val="12"/>
            </w:pPr>
            <w:r>
              <w:t>36.76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27.35</w:t>
            </w:r>
          </w:p>
        </w:tc>
        <w:tc>
          <w:tcPr>
            <w:tcW w:w="2551" w:type="dxa"/>
            <w:vAlign w:val="center"/>
          </w:tcPr>
          <w:p>
            <w:pPr>
              <w:pStyle w:val="12"/>
            </w:pPr>
            <w:r>
              <w:t>27.35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1.23</w:t>
            </w:r>
          </w:p>
        </w:tc>
        <w:tc>
          <w:tcPr>
            <w:tcW w:w="2551" w:type="dxa"/>
            <w:vAlign w:val="center"/>
          </w:tcPr>
          <w:p>
            <w:pPr>
              <w:pStyle w:val="12"/>
            </w:pPr>
            <w:r>
              <w:t>1.23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1.23</w:t>
            </w:r>
          </w:p>
        </w:tc>
        <w:tc>
          <w:tcPr>
            <w:tcW w:w="2551" w:type="dxa"/>
            <w:vAlign w:val="center"/>
          </w:tcPr>
          <w:p>
            <w:pPr>
              <w:pStyle w:val="12"/>
            </w:pPr>
            <w:r>
              <w:t>1.23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2.35</w:t>
            </w:r>
          </w:p>
        </w:tc>
        <w:tc>
          <w:tcPr>
            <w:tcW w:w="2551" w:type="dxa"/>
            <w:vAlign w:val="center"/>
          </w:tcPr>
          <w:p>
            <w:pPr>
              <w:pStyle w:val="12"/>
            </w:pPr>
            <w:r>
              <w:t>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2.35</w:t>
            </w:r>
          </w:p>
        </w:tc>
        <w:tc>
          <w:tcPr>
            <w:tcW w:w="2551" w:type="dxa"/>
            <w:vAlign w:val="center"/>
          </w:tcPr>
          <w:p>
            <w:pPr>
              <w:pStyle w:val="12"/>
            </w:pPr>
            <w:r>
              <w:t>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24.68</w:t>
            </w:r>
          </w:p>
        </w:tc>
        <w:tc>
          <w:tcPr>
            <w:tcW w:w="2551" w:type="dxa"/>
            <w:vAlign w:val="center"/>
          </w:tcPr>
          <w:p>
            <w:pPr>
              <w:pStyle w:val="12"/>
            </w:pPr>
            <w:r>
              <w:t>24.68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24.68</w:t>
            </w:r>
          </w:p>
        </w:tc>
        <w:tc>
          <w:tcPr>
            <w:tcW w:w="2551" w:type="dxa"/>
            <w:vAlign w:val="center"/>
          </w:tcPr>
          <w:p>
            <w:pPr>
              <w:pStyle w:val="12"/>
            </w:pPr>
            <w:r>
              <w:t>24.68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24.68</w:t>
            </w:r>
          </w:p>
        </w:tc>
        <w:tc>
          <w:tcPr>
            <w:tcW w:w="2551" w:type="dxa"/>
            <w:vAlign w:val="center"/>
          </w:tcPr>
          <w:p>
            <w:pPr>
              <w:pStyle w:val="12"/>
            </w:pPr>
            <w:r>
              <w:t>24.68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346.03</w:t>
            </w:r>
          </w:p>
        </w:tc>
        <w:tc>
          <w:tcPr>
            <w:tcW w:w="2551" w:type="dxa"/>
            <w:vAlign w:val="center"/>
          </w:tcPr>
          <w:p>
            <w:pPr>
              <w:pStyle w:val="16"/>
            </w:pPr>
            <w:r>
              <w:t>314.67</w:t>
            </w:r>
          </w:p>
        </w:tc>
        <w:tc>
          <w:tcPr>
            <w:tcW w:w="2551" w:type="dxa"/>
            <w:vAlign w:val="center"/>
          </w:tcPr>
          <w:p>
            <w:pPr>
              <w:pStyle w:val="16"/>
            </w:pPr>
            <w:r>
              <w:t>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276.68</w:t>
            </w:r>
          </w:p>
        </w:tc>
        <w:tc>
          <w:tcPr>
            <w:tcW w:w="2551" w:type="dxa"/>
            <w:vAlign w:val="center"/>
          </w:tcPr>
          <w:p>
            <w:pPr>
              <w:pStyle w:val="12"/>
            </w:pPr>
            <w:r>
              <w:t>276.68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108.00</w:t>
            </w:r>
          </w:p>
        </w:tc>
        <w:tc>
          <w:tcPr>
            <w:tcW w:w="2551" w:type="dxa"/>
            <w:vAlign w:val="center"/>
          </w:tcPr>
          <w:p>
            <w:pPr>
              <w:pStyle w:val="12"/>
            </w:pPr>
            <w:r>
              <w:t>108.00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38.15</w:t>
            </w:r>
          </w:p>
        </w:tc>
        <w:tc>
          <w:tcPr>
            <w:tcW w:w="2551" w:type="dxa"/>
            <w:vAlign w:val="center"/>
          </w:tcPr>
          <w:p>
            <w:pPr>
              <w:pStyle w:val="12"/>
            </w:pPr>
            <w:r>
              <w:t>38.15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27.93</w:t>
            </w:r>
          </w:p>
        </w:tc>
        <w:tc>
          <w:tcPr>
            <w:tcW w:w="2551" w:type="dxa"/>
            <w:vAlign w:val="center"/>
          </w:tcPr>
          <w:p>
            <w:pPr>
              <w:pStyle w:val="12"/>
            </w:pPr>
            <w:r>
              <w:t>27.93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30.01</w:t>
            </w:r>
          </w:p>
        </w:tc>
        <w:tc>
          <w:tcPr>
            <w:tcW w:w="2551" w:type="dxa"/>
            <w:vAlign w:val="center"/>
          </w:tcPr>
          <w:p>
            <w:pPr>
              <w:pStyle w:val="12"/>
            </w:pPr>
            <w:r>
              <w:t>30.01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27.35</w:t>
            </w:r>
          </w:p>
        </w:tc>
        <w:tc>
          <w:tcPr>
            <w:tcW w:w="2551" w:type="dxa"/>
            <w:vAlign w:val="center"/>
          </w:tcPr>
          <w:p>
            <w:pPr>
              <w:pStyle w:val="12"/>
            </w:pPr>
            <w:r>
              <w:t>27.35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12.81</w:t>
            </w:r>
          </w:p>
        </w:tc>
        <w:tc>
          <w:tcPr>
            <w:tcW w:w="2551" w:type="dxa"/>
            <w:vAlign w:val="center"/>
          </w:tcPr>
          <w:p>
            <w:pPr>
              <w:pStyle w:val="12"/>
            </w:pPr>
            <w:r>
              <w:t>12.81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2.35</w:t>
            </w:r>
          </w:p>
        </w:tc>
        <w:tc>
          <w:tcPr>
            <w:tcW w:w="2551" w:type="dxa"/>
            <w:vAlign w:val="center"/>
          </w:tcPr>
          <w:p>
            <w:pPr>
              <w:pStyle w:val="12"/>
            </w:pPr>
            <w:r>
              <w:t>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24.68</w:t>
            </w:r>
          </w:p>
        </w:tc>
        <w:tc>
          <w:tcPr>
            <w:tcW w:w="2551" w:type="dxa"/>
            <w:vAlign w:val="center"/>
          </w:tcPr>
          <w:p>
            <w:pPr>
              <w:pStyle w:val="12"/>
            </w:pPr>
            <w:r>
              <w:t>24.68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31.36</w:t>
            </w:r>
          </w:p>
        </w:tc>
        <w:tc>
          <w:tcPr>
            <w:tcW w:w="2551" w:type="dxa"/>
            <w:vAlign w:val="center"/>
          </w:tcPr>
          <w:p>
            <w:pPr>
              <w:pStyle w:val="12"/>
            </w:pPr>
          </w:p>
        </w:tc>
        <w:tc>
          <w:tcPr>
            <w:tcW w:w="2551" w:type="dxa"/>
            <w:vAlign w:val="center"/>
          </w:tcPr>
          <w:p>
            <w:pPr>
              <w:pStyle w:val="12"/>
            </w:pPr>
            <w:r>
              <w:t>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2.98</w:t>
            </w:r>
          </w:p>
        </w:tc>
        <w:tc>
          <w:tcPr>
            <w:tcW w:w="2551" w:type="dxa"/>
            <w:vAlign w:val="center"/>
          </w:tcPr>
          <w:p>
            <w:pPr>
              <w:pStyle w:val="12"/>
            </w:pPr>
          </w:p>
        </w:tc>
        <w:tc>
          <w:tcPr>
            <w:tcW w:w="2551" w:type="dxa"/>
            <w:vAlign w:val="center"/>
          </w:tcPr>
          <w:p>
            <w:pPr>
              <w:pStyle w:val="12"/>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6.64</w:t>
            </w:r>
          </w:p>
        </w:tc>
        <w:tc>
          <w:tcPr>
            <w:tcW w:w="2551" w:type="dxa"/>
            <w:vAlign w:val="center"/>
          </w:tcPr>
          <w:p>
            <w:pPr>
              <w:pStyle w:val="12"/>
            </w:pPr>
          </w:p>
        </w:tc>
        <w:tc>
          <w:tcPr>
            <w:tcW w:w="2551" w:type="dxa"/>
            <w:vAlign w:val="center"/>
          </w:tcPr>
          <w:p>
            <w:pPr>
              <w:pStyle w:val="12"/>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0.22</w:t>
            </w:r>
          </w:p>
        </w:tc>
        <w:tc>
          <w:tcPr>
            <w:tcW w:w="2551" w:type="dxa"/>
            <w:vAlign w:val="center"/>
          </w:tcPr>
          <w:p>
            <w:pPr>
              <w:pStyle w:val="12"/>
            </w:pPr>
          </w:p>
        </w:tc>
        <w:tc>
          <w:tcPr>
            <w:tcW w:w="2551"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2.03</w:t>
            </w:r>
          </w:p>
        </w:tc>
        <w:tc>
          <w:tcPr>
            <w:tcW w:w="2551" w:type="dxa"/>
            <w:vAlign w:val="center"/>
          </w:tcPr>
          <w:p>
            <w:pPr>
              <w:pStyle w:val="12"/>
            </w:pPr>
          </w:p>
        </w:tc>
        <w:tc>
          <w:tcPr>
            <w:tcW w:w="2551" w:type="dxa"/>
            <w:vAlign w:val="center"/>
          </w:tcPr>
          <w:p>
            <w:pPr>
              <w:pStyle w:val="12"/>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8.40</w:t>
            </w:r>
          </w:p>
        </w:tc>
        <w:tc>
          <w:tcPr>
            <w:tcW w:w="2551" w:type="dxa"/>
            <w:vAlign w:val="center"/>
          </w:tcPr>
          <w:p>
            <w:pPr>
              <w:pStyle w:val="12"/>
            </w:pPr>
          </w:p>
        </w:tc>
        <w:tc>
          <w:tcPr>
            <w:tcW w:w="2551" w:type="dxa"/>
            <w:vAlign w:val="center"/>
          </w:tcPr>
          <w:p>
            <w:pPr>
              <w:pStyle w:val="12"/>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5.59</w:t>
            </w:r>
          </w:p>
        </w:tc>
        <w:tc>
          <w:tcPr>
            <w:tcW w:w="2551" w:type="dxa"/>
            <w:vAlign w:val="center"/>
          </w:tcPr>
          <w:p>
            <w:pPr>
              <w:pStyle w:val="12"/>
            </w:pPr>
          </w:p>
        </w:tc>
        <w:tc>
          <w:tcPr>
            <w:tcW w:w="2551" w:type="dxa"/>
            <w:vAlign w:val="center"/>
          </w:tcPr>
          <w:p>
            <w:pPr>
              <w:pStyle w:val="12"/>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37.99</w:t>
            </w:r>
          </w:p>
        </w:tc>
        <w:tc>
          <w:tcPr>
            <w:tcW w:w="2551" w:type="dxa"/>
            <w:vAlign w:val="center"/>
          </w:tcPr>
          <w:p>
            <w:pPr>
              <w:pStyle w:val="12"/>
            </w:pPr>
            <w:r>
              <w:t>37.99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36.76</w:t>
            </w:r>
          </w:p>
        </w:tc>
        <w:tc>
          <w:tcPr>
            <w:tcW w:w="2551" w:type="dxa"/>
            <w:vAlign w:val="center"/>
          </w:tcPr>
          <w:p>
            <w:pPr>
              <w:pStyle w:val="12"/>
            </w:pPr>
            <w:r>
              <w:t>36.76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1.23</w:t>
            </w:r>
          </w:p>
        </w:tc>
        <w:tc>
          <w:tcPr>
            <w:tcW w:w="2551" w:type="dxa"/>
            <w:vAlign w:val="center"/>
          </w:tcPr>
          <w:p>
            <w:pPr>
              <w:pStyle w:val="12"/>
            </w:pPr>
            <w:r>
              <w:t>1.23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2.40</w:t>
            </w:r>
          </w:p>
        </w:tc>
        <w:tc>
          <w:tcPr>
            <w:tcW w:w="2381" w:type="dxa"/>
            <w:vAlign w:val="center"/>
          </w:tcPr>
          <w:p>
            <w:pPr>
              <w:pStyle w:val="16"/>
            </w:pPr>
            <w:r>
              <w:t>2.40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1、办理人民群众来信、来访、网上信访；协助上级信访局处理越级上访工作。</w:t>
      </w:r>
    </w:p>
    <w:p>
      <w:pPr>
        <w:pStyle w:val="18"/>
      </w:pPr>
      <w:r>
        <w:t>2、协助公安机关维护重点区域的正常工作秩序；处置影响社会政治稳定的各类非访、突发性、群体性事件；负责组织协调、稳控劝返、服务保障我市越级非访工作。承办市联席办的日常工作。</w:t>
      </w:r>
    </w:p>
    <w:p>
      <w:pPr>
        <w:pStyle w:val="18"/>
      </w:pPr>
      <w:r>
        <w:t>3、负责指导全市信访督查、复查复核、听证等工作，并对相关事项进行审核、上报；负责信访疑难案件的督办。</w:t>
      </w:r>
    </w:p>
    <w:p>
      <w:pPr>
        <w:pStyle w:val="18"/>
      </w:pPr>
      <w:r>
        <w:t>4、负责信访接待场所的接访、登记、后勤服务等工作及入驻单位工作人员的协调、管理工作。</w:t>
      </w:r>
    </w:p>
    <w:p>
      <w:pPr>
        <w:pStyle w:val="18"/>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pPr>
        <w:pStyle w:val="18"/>
      </w:pPr>
      <w:r>
        <w:t>6、调研提出信访工作对策建议；督促检查和指导全市信访工作；信息化建设与运维管理；机要邮件正常传递；负责局机关行政后勤、资产、物业管理。</w:t>
      </w:r>
    </w:p>
    <w:p>
      <w:pPr>
        <w:pStyle w:val="18"/>
      </w:pPr>
      <w:r>
        <w:t>7、承办上级机关和领导交办的其他事项。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按照预算管理有关规定，目前部门预算的编制实行综合预算管理，即全部收入和支出都反映在预算中。新乐市信访局机关及所属事业单位的收支包含在部门预算中。</w:t>
      </w:r>
    </w:p>
    <w:p>
      <w:pPr>
        <w:pStyle w:val="19"/>
      </w:pPr>
      <w:r>
        <w:t>1、收入说明</w:t>
      </w:r>
    </w:p>
    <w:p>
      <w:pPr>
        <w:pStyle w:val="19"/>
      </w:pPr>
      <w:r>
        <w:t>反映本部门当年全部收入。2026年预算收入346.03万元，其中：一般公共预算收入346.03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信访局年度部门预算中支出预算的总体情况。2026年支出预算346.03万元，其中基本支出346.03万元，包括人员经费314.67万元和日常公用经费31.36万元；项目支出0.00万元，主要为我单位2026年无项目预算。；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346.03万元，较2025年预算增加6.00万元，其中：基本支出增加41.00万元，主要为人员工资和社保费用自然增长。项目支出减少35.00万元，主要为信访项目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2026年，我部门机关运行经费共计安排31.36万元，主要用于日常维修、办公用房水电费、办公用房取暖费、办公用房物业管理费等日常运行支出。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2.40万元，其中因公出国（境）费0.00万元；公务用车购置及运维费2.40万元（其中：公务用车购置费为0.00万元，公务用车运维费2.40万元)；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入贯彻落实上级要求，坚持以群众工作为统揽，以依法及时就地解决问题为核心，以系统治理、依法治理、综合治理、源头治理为抓手，统筹推进“三个信访”建设，全面提升信访工作整体水平，为建设“经济强市、美丽新乐”作出新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（一）畅通信访渠道，进一步强化源头预防。坚持和发展新时代“枫桥经验”、“浦江经验”， 深入推进“全国信访工作示范县”创建工作，加强联合接访工作，推动领导干部接访下访常态化长效化。深入开展矛盾纠纷排查化解，及时就地解决信访问题，对排查的信访苗头和不稳定隐患，逐个建立工作台账，深入分析研判，做到及时发现，提前介入，最大限度的把问题解决化解在萌芽状态，努力实现小事不出村、大事不出乡、矛盾不上交。</w:t>
      </w:r>
    </w:p>
    <w:p>
      <w:pPr>
        <w:pStyle w:val="23"/>
      </w:pPr>
      <w:r>
        <w:t>（二）规范基础业务，进一步夯实基层基础。加大初信初访处理力度。认真办理每次群众来信，热情接待每次群众来访，认真寻求解决问题的办法，通过及时交办、转送每件信访案件，千方百计地提高初访问题的办结率，开展信访基础业务规范化工作，进一步规范信访基础业务，提升信访工作质量和水平，确保信访信息登记录入及时、全面、准确，信访事项受理办理依法规范高效。</w:t>
      </w:r>
    </w:p>
    <w:p>
      <w:pPr>
        <w:pStyle w:val="23"/>
      </w:pPr>
      <w:r>
        <w:t>（三）坚持“事要解决”，进一步推动积案攻坚。严格落实首办责任制，规范高效做好受理办理工作，坚持分类施策、一案一策，逐案落实“三到位一处理”要求，提高一次性化解率和群众满意率。加大领导干部包联化解信访事项力度，实现市、乡两级领导包联化解信访积案全覆盖，特别是做好省、石家庄市领导包联我市重点信访案件的化解工作，层层落实责任、强化措施，确保按期化解到位。</w:t>
      </w:r>
    </w:p>
    <w:p>
      <w:pPr>
        <w:pStyle w:val="23"/>
      </w:pPr>
      <w:r>
        <w:t>（四）聚焦特殊时期，进一步做好安全保障。聚焦全国“两会”、北戴河暑期以及省市重大敏感节点信访保障工作，精心组织、周密部署，筑牢“三道”防线，通过领导接访、化解矛盾、困难帮扶、教育疏导等措施，切实把问题解决在基层、人员吸附在当地。切实强化信访信息预警，启动战时工作机制，完善应急处置预案，牢牢把握工作主动权，确保第一时间发现问题，第一时间介入处置，坚决防止形成现实危害，坚决当好首都政治“护城河”。</w:t>
      </w:r>
    </w:p>
    <w:p>
      <w:pPr>
        <w:pStyle w:val="23"/>
      </w:pPr>
      <w:r>
        <w:t>（五）强化督查督办，进一步严格考核问责。创新和丰富督查方式，通过网上督导、联合督导、实地督导等，提升工作实效和公信力。完善信访事项日常督办机制，持续跟踪督办结果。充分运用信访“三项建议权”，防止信访程序空转，倒逼责任落实，推动问题解决。对化解稳定工作不力，导致重点人员失联失控，造成进京赴省上访的，倒查责任人的责任。对公职人员参与上访以及幕后出主意、搞串联违法上访的，依法依纪严肃追究。</w:t>
      </w: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1、把信访工作列入党委、政府和市直部门要议事日程,定期听工作汇报、分析研判信访形势、研究解决工作中的重点问题,不断进信访工作制度改革创新发展,促进信访工作上水平、上台阶。</w:t>
      </w:r>
    </w:p>
    <w:p>
      <w:pPr>
        <w:pStyle w:val="24"/>
      </w:pPr>
      <w:r>
        <w:t>2、按照“属地管理、分级负责”,“谁主管、谁负责”,“党政同责原则,压实主要领导负总责、分管领导直接负责、其他领导“一岗责”的信访工作责任,推动本地本部门本系统层层签订《信访工作任书》,建立一级抓一级、层层抓落实的信访工作责任体系。</w:t>
      </w:r>
    </w:p>
    <w:p>
      <w:pPr>
        <w:pStyle w:val="24"/>
      </w:pPr>
      <w:r>
        <w:t>3、党政主要领导要做到以身作则、率先垂范,认真落实接访约访访和包联化解信访矛盾工作责任,带头按时公开接访、重点约访下访和包联化解重点疑难复杂信访事,推动各级领导干部接访访下访和包联化解信访矛盾落地见效、形成常态。</w:t>
      </w:r>
    </w:p>
    <w:p>
      <w:pPr>
        <w:pStyle w:val="24"/>
      </w:pPr>
      <w:r>
        <w:t>4、严格落实科学民主依法决策机制实施重大决策社会稳定风险评估,从源头上预防和减少信访问题发生,坚持依法执政、依法行政依法施政,依法及时就地解决信访问题,切实维护群众合理合法权益加强信访矛盾纠纷排查和社会稳定风险防控预警,及时做好各类苗头隐患的防范化解稳定工作。</w:t>
      </w:r>
    </w:p>
    <w:p>
      <w:pPr>
        <w:pStyle w:val="24"/>
      </w:pPr>
      <w:r>
        <w:t>5、市直有关职能部门要牵头负责,坚持分类施策、事要解决,突出“十项重点”,开展“八项整治”,认真组织专项治理,加强政策研完,制定治本之策,从根本上推动信访问题成批解决。</w:t>
      </w:r>
    </w:p>
    <w:p>
      <w:pPr>
        <w:pStyle w:val="24"/>
      </w:pPr>
      <w:r>
        <w:t>6、加强信访法治宣传教育,积极引导群众依法理性表达诉求。巩固完善由公安机关牵头,信访部门配合的到非接待场所上访人员接劝返工作机制,依法依规、及时有效地处置信活动中的违法行为,树立法治权威,依法维护信访秩序。</w:t>
      </w:r>
    </w:p>
    <w:p>
      <w:pPr>
        <w:pStyle w:val="24"/>
      </w:pPr>
      <w:r>
        <w:t>7、把信访工作纳入党委、政府和重点工作督查范围,完善常态化督查机制,发挥督查工作“利剑”作用。完善信访工作考核评价标准和指标体系,严格迫责问贵,兑现奖惩,杜绝信访工作中的形式主义官僚主义。</w:t>
      </w:r>
    </w:p>
    <w:p>
      <w:pPr>
        <w:pStyle w:val="24"/>
      </w:pPr>
      <w:r>
        <w:t>8、着力建设一支对党忠诚可靠、恪守为民之责、善做群众工作的高素质信访干部队伍,配齐配强信访机构班子力量、督查力量,关心关爱信访干部成长,加强信访干部的培养、交流和使用。</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hint="default" w:ascii="黑体" w:hAnsi="黑体" w:eastAsia="黑体" w:cs="黑体"/>
          <w:color w:val="000000"/>
          <w:sz w:val="32"/>
          <w:lang w:val="en-US" w:eastAsia="zh-CN"/>
        </w:rPr>
      </w:pPr>
    </w:p>
    <w:p>
      <w:pPr>
        <w:numPr>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501新乐市信访局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新乐市信访局（含所属单位）上年末固定资产金额为138.22万元（详见下表）。本年度拟购置固定资产总额为0.00万元，已按要求列入政府采购预算，详见政府采购预算表。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501新乐市信访局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235</w:t>
            </w:r>
          </w:p>
        </w:tc>
        <w:tc>
          <w:tcPr>
            <w:tcW w:w="2835" w:type="dxa"/>
            <w:vAlign w:val="center"/>
          </w:tcPr>
          <w:p>
            <w:pPr>
              <w:pStyle w:val="12"/>
            </w:pPr>
            <w:r>
              <w:t>125.36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001F0C"/>
    <w:multiLevelType w:val="singleLevel"/>
    <w:tmpl w:val="C5001F0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83D65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2026-03-04T14:29:00Z</dcterms:created>
  <dc:creator>Administrator</dc:creator>
  <cp:lastModifiedBy>Administrator</cp:lastModifiedBy>
  <dcterms:modified xsi:type="dcterms:W3CDTF">2026-03-04T06:38:04Z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