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一、新乐市医疗保障局本级收支预算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一、新乐市医疗保障局本级收支预算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6712.67</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73.84</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6593.24</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45.59</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6712.67</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6712.67</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6712.67</w:t>
            </w:r>
          </w:p>
        </w:tc>
        <w:tc>
          <w:tcPr>
            <w:tcW w:w="4535" w:type="dxa"/>
            <w:vAlign w:val="center"/>
          </w:tcPr>
          <w:p>
            <w:pPr>
              <w:pStyle w:val="单元格样式6"/>
            </w:pPr>
            <w:r>
              <w:t xml:space="preserve">支出总计</w:t>
            </w:r>
          </w:p>
        </w:tc>
        <w:tc>
          <w:tcPr>
            <w:tcW w:w="2126" w:type="dxa"/>
            <w:vAlign w:val="center"/>
          </w:tcPr>
          <w:p>
            <w:pPr>
              <w:pStyle w:val="单元格样式7"/>
            </w:pPr>
            <w:r>
              <w:t xml:space="preserve">6712.67</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6712.67</w:t>
            </w:r>
          </w:p>
        </w:tc>
        <w:tc>
          <w:tcPr>
            <w:tcW w:w="1134" w:type="dxa"/>
            <w:vAlign w:val="center"/>
          </w:tcPr>
          <w:p>
            <w:pPr>
              <w:pStyle w:val="单元格样式7"/>
            </w:pPr>
            <w:r>
              <w:t xml:space="preserve">6712.67</w:t>
            </w:r>
          </w:p>
        </w:tc>
        <w:tc>
          <w:tcPr>
            <w:tcW w:w="1134" w:type="dxa"/>
            <w:vAlign w:val="center"/>
          </w:tcPr>
          <w:p>
            <w:pPr>
              <w:pStyle w:val="单元格样式7"/>
            </w:pPr>
            <w:r>
              <w:t xml:space="preserve">6712.67</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73.84</w:t>
            </w:r>
          </w:p>
        </w:tc>
        <w:tc>
          <w:tcPr>
            <w:tcW w:w="1134" w:type="dxa"/>
            <w:vAlign w:val="center"/>
          </w:tcPr>
          <w:p>
            <w:pPr>
              <w:pStyle w:val="单元格样式4"/>
            </w:pPr>
            <w:r>
              <w:t xml:space="preserve">73.84</w:t>
            </w:r>
          </w:p>
        </w:tc>
        <w:tc>
          <w:tcPr>
            <w:tcW w:w="1134" w:type="dxa"/>
            <w:vAlign w:val="center"/>
          </w:tcPr>
          <w:p>
            <w:pPr>
              <w:pStyle w:val="单元格样式4"/>
            </w:pPr>
            <w:r>
              <w:t xml:space="preserve">73.84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69.79</w:t>
            </w:r>
          </w:p>
        </w:tc>
        <w:tc>
          <w:tcPr>
            <w:tcW w:w="1134" w:type="dxa"/>
            <w:vAlign w:val="center"/>
          </w:tcPr>
          <w:p>
            <w:pPr>
              <w:pStyle w:val="单元格样式4"/>
            </w:pPr>
            <w:r>
              <w:t xml:space="preserve">69.79</w:t>
            </w:r>
          </w:p>
        </w:tc>
        <w:tc>
          <w:tcPr>
            <w:tcW w:w="1134" w:type="dxa"/>
            <w:vAlign w:val="center"/>
          </w:tcPr>
          <w:p>
            <w:pPr>
              <w:pStyle w:val="单元格样式4"/>
            </w:pPr>
            <w:r>
              <w:t xml:space="preserve">69.79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17.19</w:t>
            </w:r>
          </w:p>
        </w:tc>
        <w:tc>
          <w:tcPr>
            <w:tcW w:w="1134" w:type="dxa"/>
            <w:vAlign w:val="center"/>
          </w:tcPr>
          <w:p>
            <w:pPr>
              <w:pStyle w:val="单元格样式4"/>
            </w:pPr>
            <w:r>
              <w:t xml:space="preserve">17.19</w:t>
            </w:r>
          </w:p>
        </w:tc>
        <w:tc>
          <w:tcPr>
            <w:tcW w:w="1134" w:type="dxa"/>
            <w:vAlign w:val="center"/>
          </w:tcPr>
          <w:p>
            <w:pPr>
              <w:pStyle w:val="单元格样式4"/>
            </w:pPr>
            <w:r>
              <w:t xml:space="preserve">17.19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52.60</w:t>
            </w:r>
          </w:p>
        </w:tc>
        <w:tc>
          <w:tcPr>
            <w:tcW w:w="1134" w:type="dxa"/>
            <w:vAlign w:val="center"/>
          </w:tcPr>
          <w:p>
            <w:pPr>
              <w:pStyle w:val="单元格样式4"/>
            </w:pPr>
            <w:r>
              <w:t xml:space="preserve">52.60</w:t>
            </w:r>
          </w:p>
        </w:tc>
        <w:tc>
          <w:tcPr>
            <w:tcW w:w="1134" w:type="dxa"/>
            <w:vAlign w:val="center"/>
          </w:tcPr>
          <w:p>
            <w:pPr>
              <w:pStyle w:val="单元格样式4"/>
            </w:pPr>
            <w:r>
              <w:t xml:space="preserve">52.60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r>
              <w:t xml:space="preserve">4.05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6593.24</w:t>
            </w:r>
          </w:p>
        </w:tc>
        <w:tc>
          <w:tcPr>
            <w:tcW w:w="1134" w:type="dxa"/>
            <w:vAlign w:val="center"/>
          </w:tcPr>
          <w:p>
            <w:pPr>
              <w:pStyle w:val="单元格样式4"/>
            </w:pPr>
            <w:r>
              <w:t xml:space="preserve">6593.24</w:t>
            </w:r>
          </w:p>
        </w:tc>
        <w:tc>
          <w:tcPr>
            <w:tcW w:w="1134" w:type="dxa"/>
            <w:vAlign w:val="center"/>
          </w:tcPr>
          <w:p>
            <w:pPr>
              <w:pStyle w:val="单元格样式4"/>
            </w:pPr>
            <w:r>
              <w:t xml:space="preserve">6593.24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r>
              <w:t xml:space="preserve">22.89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21012</w:t>
            </w:r>
          </w:p>
        </w:tc>
        <w:tc>
          <w:tcPr>
            <w:tcW w:w="1559" w:type="dxa"/>
            <w:vAlign w:val="center"/>
          </w:tcPr>
          <w:p>
            <w:pPr>
              <w:pStyle w:val="单元格样式2"/>
            </w:pPr>
            <w:r>
              <w:t xml:space="preserve">财政对基本医疗保险基金的补助</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2101202</w:t>
            </w:r>
          </w:p>
        </w:tc>
        <w:tc>
          <w:tcPr>
            <w:tcW w:w="1559" w:type="dxa"/>
            <w:vAlign w:val="center"/>
          </w:tcPr>
          <w:p>
            <w:pPr>
              <w:pStyle w:val="单元格样式2"/>
            </w:pPr>
            <w:r>
              <w:t xml:space="preserve">财政对城乡居民基本医疗保险基金的补助</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r>
              <w:t xml:space="preserve">5932.35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21013</w:t>
            </w:r>
          </w:p>
        </w:tc>
        <w:tc>
          <w:tcPr>
            <w:tcW w:w="1559" w:type="dxa"/>
            <w:vAlign w:val="center"/>
          </w:tcPr>
          <w:p>
            <w:pPr>
              <w:pStyle w:val="单元格样式2"/>
            </w:pPr>
            <w:r>
              <w:t xml:space="preserve">医疗救助</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2101301</w:t>
            </w:r>
          </w:p>
        </w:tc>
        <w:tc>
          <w:tcPr>
            <w:tcW w:w="1559" w:type="dxa"/>
            <w:vAlign w:val="center"/>
          </w:tcPr>
          <w:p>
            <w:pPr>
              <w:pStyle w:val="单元格样式2"/>
            </w:pPr>
            <w:r>
              <w:t xml:space="preserve">城乡医疗救助</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r>
              <w:t xml:space="preserve">200.00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21015</w:t>
            </w:r>
          </w:p>
        </w:tc>
        <w:tc>
          <w:tcPr>
            <w:tcW w:w="1559" w:type="dxa"/>
            <w:vAlign w:val="center"/>
          </w:tcPr>
          <w:p>
            <w:pPr>
              <w:pStyle w:val="单元格样式2"/>
            </w:pPr>
            <w:r>
              <w:t xml:space="preserve">医疗保障管理事务</w:t>
            </w:r>
          </w:p>
        </w:tc>
        <w:tc>
          <w:tcPr>
            <w:tcW w:w="1134" w:type="dxa"/>
            <w:vAlign w:val="center"/>
          </w:tcPr>
          <w:p>
            <w:pPr>
              <w:pStyle w:val="单元格样式4"/>
            </w:pPr>
            <w:r>
              <w:t xml:space="preserve">438.00</w:t>
            </w:r>
          </w:p>
        </w:tc>
        <w:tc>
          <w:tcPr>
            <w:tcW w:w="1134" w:type="dxa"/>
            <w:vAlign w:val="center"/>
          </w:tcPr>
          <w:p>
            <w:pPr>
              <w:pStyle w:val="单元格样式4"/>
            </w:pPr>
            <w:r>
              <w:t xml:space="preserve">438.00</w:t>
            </w:r>
          </w:p>
        </w:tc>
        <w:tc>
          <w:tcPr>
            <w:tcW w:w="1134" w:type="dxa"/>
            <w:vAlign w:val="center"/>
          </w:tcPr>
          <w:p>
            <w:pPr>
              <w:pStyle w:val="单元格样式4"/>
            </w:pPr>
            <w:r>
              <w:t xml:space="preserve">438.00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2101501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403.00</w:t>
            </w:r>
          </w:p>
        </w:tc>
        <w:tc>
          <w:tcPr>
            <w:tcW w:w="1134" w:type="dxa"/>
            <w:vAlign w:val="center"/>
          </w:tcPr>
          <w:p>
            <w:pPr>
              <w:pStyle w:val="单元格样式4"/>
            </w:pPr>
            <w:r>
              <w:t xml:space="preserve">403.00</w:t>
            </w:r>
          </w:p>
        </w:tc>
        <w:tc>
          <w:tcPr>
            <w:tcW w:w="1134" w:type="dxa"/>
            <w:vAlign w:val="center"/>
          </w:tcPr>
          <w:p>
            <w:pPr>
              <w:pStyle w:val="单元格样式4"/>
            </w:pPr>
            <w:r>
              <w:t xml:space="preserve">403.00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2101505</w:t>
            </w:r>
          </w:p>
        </w:tc>
        <w:tc>
          <w:tcPr>
            <w:tcW w:w="1559" w:type="dxa"/>
            <w:vAlign w:val="center"/>
          </w:tcPr>
          <w:p>
            <w:pPr>
              <w:pStyle w:val="单元格样式2"/>
            </w:pPr>
            <w:r>
              <w:t xml:space="preserve">医疗保障政策管理</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r>
              <w:t xml:space="preserve">35.00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r>
              <w:t xml:space="preserve">45.59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6712.67</w:t>
            </w:r>
          </w:p>
        </w:tc>
        <w:tc>
          <w:tcPr>
            <w:tcW w:w="1361" w:type="dxa"/>
            <w:vAlign w:val="center"/>
          </w:tcPr>
          <w:p>
            <w:pPr>
              <w:pStyle w:val="单元格样式7"/>
            </w:pPr>
            <w:r>
              <w:t xml:space="preserve">545.32</w:t>
            </w:r>
          </w:p>
        </w:tc>
        <w:tc>
          <w:tcPr>
            <w:tcW w:w="1361" w:type="dxa"/>
            <w:vAlign w:val="center"/>
          </w:tcPr>
          <w:p>
            <w:pPr>
              <w:pStyle w:val="单元格样式7"/>
            </w:pPr>
            <w:r>
              <w:t xml:space="preserve">6167.35</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73.84</w:t>
            </w:r>
          </w:p>
        </w:tc>
        <w:tc>
          <w:tcPr>
            <w:tcW w:w="1361" w:type="dxa"/>
            <w:vAlign w:val="center"/>
          </w:tcPr>
          <w:p>
            <w:pPr>
              <w:pStyle w:val="单元格样式4"/>
            </w:pPr>
            <w:r>
              <w:t xml:space="preserve">73.84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69.79</w:t>
            </w:r>
          </w:p>
        </w:tc>
        <w:tc>
          <w:tcPr>
            <w:tcW w:w="1361" w:type="dxa"/>
            <w:vAlign w:val="center"/>
          </w:tcPr>
          <w:p>
            <w:pPr>
              <w:pStyle w:val="单元格样式4"/>
            </w:pPr>
            <w:r>
              <w:t xml:space="preserve">69.79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17.19</w:t>
            </w:r>
          </w:p>
        </w:tc>
        <w:tc>
          <w:tcPr>
            <w:tcW w:w="1361" w:type="dxa"/>
            <w:vAlign w:val="center"/>
          </w:tcPr>
          <w:p>
            <w:pPr>
              <w:pStyle w:val="单元格样式4"/>
            </w:pPr>
            <w:r>
              <w:t xml:space="preserve">17.19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52.60</w:t>
            </w:r>
          </w:p>
        </w:tc>
        <w:tc>
          <w:tcPr>
            <w:tcW w:w="1361" w:type="dxa"/>
            <w:vAlign w:val="center"/>
          </w:tcPr>
          <w:p>
            <w:pPr>
              <w:pStyle w:val="单元格样式4"/>
            </w:pPr>
            <w:r>
              <w:t xml:space="preserve">52.60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4.05</w:t>
            </w: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4.05</w:t>
            </w:r>
          </w:p>
        </w:tc>
        <w:tc>
          <w:tcPr>
            <w:tcW w:w="1361" w:type="dxa"/>
            <w:vAlign w:val="center"/>
          </w:tcPr>
          <w:p>
            <w:pPr>
              <w:pStyle w:val="单元格样式4"/>
            </w:pPr>
            <w:r>
              <w:t xml:space="preserve">4.05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6593.24</w:t>
            </w:r>
          </w:p>
        </w:tc>
        <w:tc>
          <w:tcPr>
            <w:tcW w:w="1361" w:type="dxa"/>
            <w:vAlign w:val="center"/>
          </w:tcPr>
          <w:p>
            <w:pPr>
              <w:pStyle w:val="单元格样式4"/>
            </w:pPr>
            <w:r>
              <w:t xml:space="preserve">425.89</w:t>
            </w:r>
          </w:p>
        </w:tc>
        <w:tc>
          <w:tcPr>
            <w:tcW w:w="1361" w:type="dxa"/>
            <w:vAlign w:val="center"/>
          </w:tcPr>
          <w:p>
            <w:pPr>
              <w:pStyle w:val="单元格样式4"/>
            </w:pPr>
            <w:r>
              <w:t xml:space="preserve">6167.35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22.89</w:t>
            </w:r>
          </w:p>
        </w:tc>
        <w:tc>
          <w:tcPr>
            <w:tcW w:w="1361" w:type="dxa"/>
            <w:vAlign w:val="center"/>
          </w:tcPr>
          <w:p>
            <w:pPr>
              <w:pStyle w:val="单元格样式4"/>
            </w:pPr>
            <w:r>
              <w:t xml:space="preserve">22.89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22.89</w:t>
            </w:r>
          </w:p>
        </w:tc>
        <w:tc>
          <w:tcPr>
            <w:tcW w:w="1361" w:type="dxa"/>
            <w:vAlign w:val="center"/>
          </w:tcPr>
          <w:p>
            <w:pPr>
              <w:pStyle w:val="单元格样式4"/>
            </w:pPr>
            <w:r>
              <w:t xml:space="preserve">22.89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r>
              <w:t xml:space="preserve">5932.35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21013</w:t>
            </w:r>
          </w:p>
        </w:tc>
        <w:tc>
          <w:tcPr>
            <w:tcW w:w="4535" w:type="dxa"/>
            <w:vAlign w:val="center"/>
          </w:tcPr>
          <w:p>
            <w:pPr>
              <w:pStyle w:val="单元格样式2"/>
            </w:pPr>
            <w:r>
              <w:t xml:space="preserve">医疗救助</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r>
              <w:t xml:space="preserve">200.00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1361" w:type="dxa"/>
            <w:vAlign w:val="center"/>
          </w:tcPr>
          <w:p>
            <w:pPr>
              <w:pStyle w:val="单元格样式4"/>
            </w:pPr>
            <w:r>
              <w:t xml:space="preserve">438.00</w:t>
            </w:r>
          </w:p>
        </w:tc>
        <w:tc>
          <w:tcPr>
            <w:tcW w:w="1361" w:type="dxa"/>
            <w:vAlign w:val="center"/>
          </w:tcPr>
          <w:p>
            <w:pPr>
              <w:pStyle w:val="单元格样式4"/>
            </w:pPr>
            <w:r>
              <w:t xml:space="preserve">403.00</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403.00</w:t>
            </w:r>
          </w:p>
        </w:tc>
        <w:tc>
          <w:tcPr>
            <w:tcW w:w="1361" w:type="dxa"/>
            <w:vAlign w:val="center"/>
          </w:tcPr>
          <w:p>
            <w:pPr>
              <w:pStyle w:val="单元格样式4"/>
            </w:pPr>
            <w:r>
              <w:t xml:space="preserve">403.00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2101505</w:t>
            </w:r>
          </w:p>
        </w:tc>
        <w:tc>
          <w:tcPr>
            <w:tcW w:w="4535" w:type="dxa"/>
            <w:vAlign w:val="center"/>
          </w:tcPr>
          <w:p>
            <w:pPr>
              <w:pStyle w:val="单元格样式2"/>
            </w:pPr>
            <w:r>
              <w:t xml:space="preserve">医疗保障政策管理</w:t>
            </w: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r>
              <w:t xml:space="preserve">35.00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45.59</w:t>
            </w:r>
          </w:p>
        </w:tc>
        <w:tc>
          <w:tcPr>
            <w:tcW w:w="1361" w:type="dxa"/>
            <w:vAlign w:val="center"/>
          </w:tcPr>
          <w:p>
            <w:pPr>
              <w:pStyle w:val="单元格样式4"/>
            </w:pPr>
            <w:r>
              <w:t xml:space="preserve">45.59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6712.67</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73.84</w:t>
            </w:r>
          </w:p>
        </w:tc>
        <w:tc>
          <w:tcPr>
            <w:tcW w:w="1474" w:type="dxa"/>
            <w:vAlign w:val="center"/>
          </w:tcPr>
          <w:p>
            <w:pPr>
              <w:pStyle w:val="单元格样式4"/>
            </w:pPr>
            <w:r>
              <w:t xml:space="preserve">73.84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6593.24</w:t>
            </w:r>
          </w:p>
        </w:tc>
        <w:tc>
          <w:tcPr>
            <w:tcW w:w="1474" w:type="dxa"/>
            <w:vAlign w:val="center"/>
          </w:tcPr>
          <w:p>
            <w:pPr>
              <w:pStyle w:val="单元格样式4"/>
            </w:pPr>
            <w:r>
              <w:t xml:space="preserve">6593.24</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45.59</w:t>
            </w:r>
          </w:p>
        </w:tc>
        <w:tc>
          <w:tcPr>
            <w:tcW w:w="1474" w:type="dxa"/>
            <w:vAlign w:val="center"/>
          </w:tcPr>
          <w:p>
            <w:pPr>
              <w:pStyle w:val="单元格样式4"/>
            </w:pPr>
            <w:r>
              <w:t xml:space="preserve">45.59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6712.67</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6712.67</w:t>
            </w:r>
          </w:p>
        </w:tc>
        <w:tc>
          <w:tcPr>
            <w:tcW w:w="1474" w:type="dxa"/>
            <w:vAlign w:val="center"/>
          </w:tcPr>
          <w:p>
            <w:pPr>
              <w:pStyle w:val="单元格样式7"/>
            </w:pPr>
            <w:r>
              <w:t xml:space="preserve">6712.67</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6712.67</w:t>
            </w:r>
          </w:p>
        </w:tc>
        <w:tc>
          <w:tcPr>
            <w:tcW w:w="3402" w:type="dxa"/>
            <w:vAlign w:val="center"/>
          </w:tcPr>
          <w:p>
            <w:pPr>
              <w:pStyle w:val="单元格样式6"/>
            </w:pPr>
            <w:r>
              <w:t xml:space="preserve">支出总计</w:t>
            </w:r>
          </w:p>
        </w:tc>
        <w:tc>
          <w:tcPr>
            <w:tcW w:w="1474" w:type="dxa"/>
            <w:vAlign w:val="center"/>
          </w:tcPr>
          <w:p>
            <w:pPr>
              <w:pStyle w:val="单元格样式7"/>
            </w:pPr>
            <w:r>
              <w:t xml:space="preserve">6712.67</w:t>
            </w:r>
          </w:p>
        </w:tc>
        <w:tc>
          <w:tcPr>
            <w:tcW w:w="1474" w:type="dxa"/>
            <w:vAlign w:val="center"/>
          </w:tcPr>
          <w:p>
            <w:pPr>
              <w:pStyle w:val="单元格样式7"/>
            </w:pPr>
            <w:r>
              <w:t xml:space="preserve">6712.67</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6712.67</w:t>
            </w:r>
          </w:p>
        </w:tc>
        <w:tc>
          <w:tcPr>
            <w:tcW w:w="2551" w:type="dxa"/>
            <w:vAlign w:val="center"/>
          </w:tcPr>
          <w:p>
            <w:pPr>
              <w:pStyle w:val="单元格样式7"/>
            </w:pPr>
            <w:r>
              <w:t xml:space="preserve">545.32</w:t>
            </w:r>
          </w:p>
        </w:tc>
        <w:tc>
          <w:tcPr>
            <w:tcW w:w="2551" w:type="dxa"/>
            <w:vAlign w:val="center"/>
          </w:tcPr>
          <w:p>
            <w:pPr>
              <w:pStyle w:val="单元格样式7"/>
            </w:pPr>
            <w:r>
              <w:t xml:space="preserve">6167.35</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73.84</w:t>
            </w:r>
          </w:p>
        </w:tc>
        <w:tc>
          <w:tcPr>
            <w:tcW w:w="2551" w:type="dxa"/>
            <w:vAlign w:val="center"/>
          </w:tcPr>
          <w:p>
            <w:pPr>
              <w:pStyle w:val="单元格样式4"/>
            </w:pPr>
            <w:r>
              <w:t xml:space="preserve">73.84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69.79</w:t>
            </w:r>
          </w:p>
        </w:tc>
        <w:tc>
          <w:tcPr>
            <w:tcW w:w="2551" w:type="dxa"/>
            <w:vAlign w:val="center"/>
          </w:tcPr>
          <w:p>
            <w:pPr>
              <w:pStyle w:val="单元格样式4"/>
            </w:pPr>
            <w:r>
              <w:t xml:space="preserve">69.79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52.60</w:t>
            </w:r>
          </w:p>
        </w:tc>
        <w:tc>
          <w:tcPr>
            <w:tcW w:w="2551" w:type="dxa"/>
            <w:vAlign w:val="center"/>
          </w:tcPr>
          <w:p>
            <w:pPr>
              <w:pStyle w:val="单元格样式4"/>
            </w:pPr>
            <w:r>
              <w:t xml:space="preserve">52.60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6593.24</w:t>
            </w:r>
          </w:p>
        </w:tc>
        <w:tc>
          <w:tcPr>
            <w:tcW w:w="2551" w:type="dxa"/>
            <w:vAlign w:val="center"/>
          </w:tcPr>
          <w:p>
            <w:pPr>
              <w:pStyle w:val="单元格样式4"/>
            </w:pPr>
            <w:r>
              <w:t xml:space="preserve">425.89</w:t>
            </w:r>
          </w:p>
        </w:tc>
        <w:tc>
          <w:tcPr>
            <w:tcW w:w="2551" w:type="dxa"/>
            <w:vAlign w:val="center"/>
          </w:tcPr>
          <w:p>
            <w:pPr>
              <w:pStyle w:val="单元格样式4"/>
            </w:pPr>
            <w:r>
              <w:t xml:space="preserve">6167.35</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21012</w:t>
            </w:r>
          </w:p>
        </w:tc>
        <w:tc>
          <w:tcPr>
            <w:tcW w:w="4535" w:type="dxa"/>
            <w:vAlign w:val="center"/>
          </w:tcPr>
          <w:p>
            <w:pPr>
              <w:pStyle w:val="单元格样式2"/>
            </w:pPr>
            <w:r>
              <w:t xml:space="preserve">财政对基本医疗保险基金的补助</w:t>
            </w:r>
          </w:p>
        </w:tc>
        <w:tc>
          <w:tcPr>
            <w:tcW w:w="2551" w:type="dxa"/>
            <w:vAlign w:val="center"/>
          </w:tcPr>
          <w:p>
            <w:pPr>
              <w:pStyle w:val="单元格样式4"/>
            </w:pPr>
            <w:r>
              <w:t xml:space="preserve">5932.35</w:t>
            </w:r>
          </w:p>
        </w:tc>
        <w:tc>
          <w:tcPr>
            <w:tcW w:w="2551" w:type="dxa"/>
            <w:vAlign w:val="center"/>
          </w:tcPr>
          <w:p>
            <w:pPr>
              <w:pStyle w:val="单元格样式4"/>
            </w:pPr>
          </w:p>
        </w:tc>
        <w:tc>
          <w:tcPr>
            <w:tcW w:w="2551" w:type="dxa"/>
            <w:vAlign w:val="center"/>
          </w:tcPr>
          <w:p>
            <w:pPr>
              <w:pStyle w:val="单元格样式4"/>
            </w:pPr>
            <w:r>
              <w:t xml:space="preserve">5932.35</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2101202</w:t>
            </w:r>
          </w:p>
        </w:tc>
        <w:tc>
          <w:tcPr>
            <w:tcW w:w="4535" w:type="dxa"/>
            <w:vAlign w:val="center"/>
          </w:tcPr>
          <w:p>
            <w:pPr>
              <w:pStyle w:val="单元格样式2"/>
            </w:pPr>
            <w:r>
              <w:t xml:space="preserve">财政对城乡居民基本医疗保险基金的补助</w:t>
            </w:r>
          </w:p>
        </w:tc>
        <w:tc>
          <w:tcPr>
            <w:tcW w:w="2551" w:type="dxa"/>
            <w:vAlign w:val="center"/>
          </w:tcPr>
          <w:p>
            <w:pPr>
              <w:pStyle w:val="单元格样式4"/>
            </w:pPr>
            <w:r>
              <w:t xml:space="preserve">5932.35</w:t>
            </w:r>
          </w:p>
        </w:tc>
        <w:tc>
          <w:tcPr>
            <w:tcW w:w="2551" w:type="dxa"/>
            <w:vAlign w:val="center"/>
          </w:tcPr>
          <w:p>
            <w:pPr>
              <w:pStyle w:val="单元格样式4"/>
            </w:pPr>
          </w:p>
        </w:tc>
        <w:tc>
          <w:tcPr>
            <w:tcW w:w="2551" w:type="dxa"/>
            <w:vAlign w:val="center"/>
          </w:tcPr>
          <w:p>
            <w:pPr>
              <w:pStyle w:val="单元格样式4"/>
            </w:pPr>
            <w:r>
              <w:t xml:space="preserve">5932.35</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21013</w:t>
            </w:r>
          </w:p>
        </w:tc>
        <w:tc>
          <w:tcPr>
            <w:tcW w:w="4535" w:type="dxa"/>
            <w:vAlign w:val="center"/>
          </w:tcPr>
          <w:p>
            <w:pPr>
              <w:pStyle w:val="单元格样式2"/>
            </w:pPr>
            <w:r>
              <w:t xml:space="preserve">医疗救助</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2101301</w:t>
            </w:r>
          </w:p>
        </w:tc>
        <w:tc>
          <w:tcPr>
            <w:tcW w:w="4535" w:type="dxa"/>
            <w:vAlign w:val="center"/>
          </w:tcPr>
          <w:p>
            <w:pPr>
              <w:pStyle w:val="单元格样式2"/>
            </w:pPr>
            <w:r>
              <w:t xml:space="preserve">城乡医疗救助</w:t>
            </w:r>
          </w:p>
        </w:tc>
        <w:tc>
          <w:tcPr>
            <w:tcW w:w="2551" w:type="dxa"/>
            <w:vAlign w:val="center"/>
          </w:tcPr>
          <w:p>
            <w:pPr>
              <w:pStyle w:val="单元格样式4"/>
            </w:pPr>
            <w:r>
              <w:t xml:space="preserve">200.00</w:t>
            </w:r>
          </w:p>
        </w:tc>
        <w:tc>
          <w:tcPr>
            <w:tcW w:w="2551" w:type="dxa"/>
            <w:vAlign w:val="center"/>
          </w:tcPr>
          <w:p>
            <w:pPr>
              <w:pStyle w:val="单元格样式4"/>
            </w:pPr>
          </w:p>
        </w:tc>
        <w:tc>
          <w:tcPr>
            <w:tcW w:w="2551" w:type="dxa"/>
            <w:vAlign w:val="center"/>
          </w:tcPr>
          <w:p>
            <w:pPr>
              <w:pStyle w:val="单元格样式4"/>
            </w:pPr>
            <w:r>
              <w:t xml:space="preserve">200.00</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21015</w:t>
            </w:r>
          </w:p>
        </w:tc>
        <w:tc>
          <w:tcPr>
            <w:tcW w:w="4535" w:type="dxa"/>
            <w:vAlign w:val="center"/>
          </w:tcPr>
          <w:p>
            <w:pPr>
              <w:pStyle w:val="单元格样式2"/>
            </w:pPr>
            <w:r>
              <w:t xml:space="preserve">医疗保障管理事务</w:t>
            </w:r>
          </w:p>
        </w:tc>
        <w:tc>
          <w:tcPr>
            <w:tcW w:w="2551" w:type="dxa"/>
            <w:vAlign w:val="center"/>
          </w:tcPr>
          <w:p>
            <w:pPr>
              <w:pStyle w:val="单元格样式4"/>
            </w:pPr>
            <w:r>
              <w:t xml:space="preserve">438.00</w:t>
            </w:r>
          </w:p>
        </w:tc>
        <w:tc>
          <w:tcPr>
            <w:tcW w:w="2551" w:type="dxa"/>
            <w:vAlign w:val="center"/>
          </w:tcPr>
          <w:p>
            <w:pPr>
              <w:pStyle w:val="单元格样式4"/>
            </w:pPr>
            <w:r>
              <w:t xml:space="preserve">403.00</w:t>
            </w: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2101501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403.00</w:t>
            </w:r>
          </w:p>
        </w:tc>
        <w:tc>
          <w:tcPr>
            <w:tcW w:w="2551" w:type="dxa"/>
            <w:vAlign w:val="center"/>
          </w:tcPr>
          <w:p>
            <w:pPr>
              <w:pStyle w:val="单元格样式4"/>
            </w:pPr>
            <w:r>
              <w:t xml:space="preserve">403.00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2101505</w:t>
            </w:r>
          </w:p>
        </w:tc>
        <w:tc>
          <w:tcPr>
            <w:tcW w:w="4535" w:type="dxa"/>
            <w:vAlign w:val="center"/>
          </w:tcPr>
          <w:p>
            <w:pPr>
              <w:pStyle w:val="单元格样式2"/>
            </w:pPr>
            <w:r>
              <w:t xml:space="preserve">医疗保障政策管理</w:t>
            </w:r>
          </w:p>
        </w:tc>
        <w:tc>
          <w:tcPr>
            <w:tcW w:w="2551" w:type="dxa"/>
            <w:vAlign w:val="center"/>
          </w:tcPr>
          <w:p>
            <w:pPr>
              <w:pStyle w:val="单元格样式4"/>
            </w:pPr>
            <w:r>
              <w:t xml:space="preserve">35.00</w:t>
            </w:r>
          </w:p>
        </w:tc>
        <w:tc>
          <w:tcPr>
            <w:tcW w:w="2551" w:type="dxa"/>
            <w:vAlign w:val="center"/>
          </w:tcPr>
          <w:p>
            <w:pPr>
              <w:pStyle w:val="单元格样式4"/>
            </w:pPr>
          </w:p>
        </w:tc>
        <w:tc>
          <w:tcPr>
            <w:tcW w:w="2551" w:type="dxa"/>
            <w:vAlign w:val="center"/>
          </w:tcPr>
          <w:p>
            <w:pPr>
              <w:pStyle w:val="单元格样式4"/>
            </w:pPr>
            <w:r>
              <w:t xml:space="preserve">35.00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545.32</w:t>
            </w:r>
          </w:p>
        </w:tc>
        <w:tc>
          <w:tcPr>
            <w:tcW w:w="2551" w:type="dxa"/>
            <w:vAlign w:val="center"/>
          </w:tcPr>
          <w:p>
            <w:pPr>
              <w:pStyle w:val="单元格样式7"/>
            </w:pPr>
            <w:r>
              <w:t xml:space="preserve">517.52</w:t>
            </w:r>
          </w:p>
        </w:tc>
        <w:tc>
          <w:tcPr>
            <w:tcW w:w="2551" w:type="dxa"/>
            <w:vAlign w:val="center"/>
          </w:tcPr>
          <w:p>
            <w:pPr>
              <w:pStyle w:val="单元格样式7"/>
            </w:pPr>
            <w:r>
              <w:t xml:space="preserve">27.80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500.33</w:t>
            </w:r>
          </w:p>
        </w:tc>
        <w:tc>
          <w:tcPr>
            <w:tcW w:w="2551" w:type="dxa"/>
            <w:vAlign w:val="center"/>
          </w:tcPr>
          <w:p>
            <w:pPr>
              <w:pStyle w:val="单元格样式4"/>
            </w:pPr>
            <w:r>
              <w:t xml:space="preserve">500.33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200.33</w:t>
            </w:r>
          </w:p>
        </w:tc>
        <w:tc>
          <w:tcPr>
            <w:tcW w:w="2551" w:type="dxa"/>
            <w:vAlign w:val="center"/>
          </w:tcPr>
          <w:p>
            <w:pPr>
              <w:pStyle w:val="单元格样式4"/>
            </w:pPr>
            <w:r>
              <w:t xml:space="preserve">200.33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38.31</w:t>
            </w:r>
          </w:p>
        </w:tc>
        <w:tc>
          <w:tcPr>
            <w:tcW w:w="2551" w:type="dxa"/>
            <w:vAlign w:val="center"/>
          </w:tcPr>
          <w:p>
            <w:pPr>
              <w:pStyle w:val="单元格样式4"/>
            </w:pPr>
            <w:r>
              <w:t xml:space="preserve">38.31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13.24</w:t>
            </w:r>
          </w:p>
        </w:tc>
        <w:tc>
          <w:tcPr>
            <w:tcW w:w="2551" w:type="dxa"/>
            <w:vAlign w:val="center"/>
          </w:tcPr>
          <w:p>
            <w:pPr>
              <w:pStyle w:val="单元格样式4"/>
            </w:pPr>
            <w:r>
              <w:t xml:space="preserve">13.24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122.96</w:t>
            </w:r>
          </w:p>
        </w:tc>
        <w:tc>
          <w:tcPr>
            <w:tcW w:w="2551" w:type="dxa"/>
            <w:vAlign w:val="center"/>
          </w:tcPr>
          <w:p>
            <w:pPr>
              <w:pStyle w:val="单元格样式4"/>
            </w:pPr>
            <w:r>
              <w:t xml:space="preserve">122.96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52.60</w:t>
            </w:r>
          </w:p>
        </w:tc>
        <w:tc>
          <w:tcPr>
            <w:tcW w:w="2551" w:type="dxa"/>
            <w:vAlign w:val="center"/>
          </w:tcPr>
          <w:p>
            <w:pPr>
              <w:pStyle w:val="单元格样式4"/>
            </w:pPr>
            <w:r>
              <w:t xml:space="preserve">52.60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22.89</w:t>
            </w:r>
          </w:p>
        </w:tc>
        <w:tc>
          <w:tcPr>
            <w:tcW w:w="2551" w:type="dxa"/>
            <w:vAlign w:val="center"/>
          </w:tcPr>
          <w:p>
            <w:pPr>
              <w:pStyle w:val="单元格样式4"/>
            </w:pPr>
            <w:r>
              <w:t xml:space="preserve">22.89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4.05</w:t>
            </w:r>
          </w:p>
        </w:tc>
        <w:tc>
          <w:tcPr>
            <w:tcW w:w="2551" w:type="dxa"/>
            <w:vAlign w:val="center"/>
          </w:tcPr>
          <w:p>
            <w:pPr>
              <w:pStyle w:val="单元格样式4"/>
            </w:pPr>
            <w:r>
              <w:t xml:space="preserve">4.05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45.59</w:t>
            </w:r>
          </w:p>
        </w:tc>
        <w:tc>
          <w:tcPr>
            <w:tcW w:w="2551" w:type="dxa"/>
            <w:vAlign w:val="center"/>
          </w:tcPr>
          <w:p>
            <w:pPr>
              <w:pStyle w:val="单元格样式4"/>
            </w:pPr>
            <w:r>
              <w:t xml:space="preserve">45.59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0.36</w:t>
            </w:r>
          </w:p>
        </w:tc>
        <w:tc>
          <w:tcPr>
            <w:tcW w:w="2551" w:type="dxa"/>
            <w:vAlign w:val="center"/>
          </w:tcPr>
          <w:p>
            <w:pPr>
              <w:pStyle w:val="单元格样式4"/>
            </w:pPr>
            <w:r>
              <w:t xml:space="preserve">0.36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26.23</w:t>
            </w:r>
          </w:p>
        </w:tc>
        <w:tc>
          <w:tcPr>
            <w:tcW w:w="2551" w:type="dxa"/>
            <w:vAlign w:val="center"/>
          </w:tcPr>
          <w:p>
            <w:pPr>
              <w:pStyle w:val="单元格样式4"/>
            </w:pPr>
          </w:p>
        </w:tc>
        <w:tc>
          <w:tcPr>
            <w:tcW w:w="2551" w:type="dxa"/>
            <w:vAlign w:val="center"/>
          </w:tcPr>
          <w:p>
            <w:pPr>
              <w:pStyle w:val="单元格样式4"/>
            </w:pPr>
            <w:r>
              <w:t xml:space="preserve">26.23</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3.08</w:t>
            </w:r>
          </w:p>
        </w:tc>
        <w:tc>
          <w:tcPr>
            <w:tcW w:w="2551" w:type="dxa"/>
            <w:vAlign w:val="center"/>
          </w:tcPr>
          <w:p>
            <w:pPr>
              <w:pStyle w:val="单元格样式4"/>
            </w:pPr>
          </w:p>
        </w:tc>
        <w:tc>
          <w:tcPr>
            <w:tcW w:w="2551" w:type="dxa"/>
            <w:vAlign w:val="center"/>
          </w:tcPr>
          <w:p>
            <w:pPr>
              <w:pStyle w:val="单元格样式4"/>
            </w:pPr>
            <w:r>
              <w:t xml:space="preserve">3.08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3.04</w:t>
            </w:r>
          </w:p>
        </w:tc>
        <w:tc>
          <w:tcPr>
            <w:tcW w:w="2551" w:type="dxa"/>
            <w:vAlign w:val="center"/>
          </w:tcPr>
          <w:p>
            <w:pPr>
              <w:pStyle w:val="单元格样式4"/>
            </w:pPr>
          </w:p>
        </w:tc>
        <w:tc>
          <w:tcPr>
            <w:tcW w:w="2551" w:type="dxa"/>
            <w:vAlign w:val="center"/>
          </w:tcPr>
          <w:p>
            <w:pPr>
              <w:pStyle w:val="单元格样式4"/>
            </w:pPr>
            <w:r>
              <w:t xml:space="preserve">3.04</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3.87</w:t>
            </w:r>
          </w:p>
        </w:tc>
        <w:tc>
          <w:tcPr>
            <w:tcW w:w="2551" w:type="dxa"/>
            <w:vAlign w:val="center"/>
          </w:tcPr>
          <w:p>
            <w:pPr>
              <w:pStyle w:val="单元格样式4"/>
            </w:pPr>
          </w:p>
        </w:tc>
        <w:tc>
          <w:tcPr>
            <w:tcW w:w="2551" w:type="dxa"/>
            <w:vAlign w:val="center"/>
          </w:tcPr>
          <w:p>
            <w:pPr>
              <w:pStyle w:val="单元格样式4"/>
            </w:pPr>
            <w:r>
              <w:t xml:space="preserve">3.87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3.84</w:t>
            </w:r>
          </w:p>
        </w:tc>
        <w:tc>
          <w:tcPr>
            <w:tcW w:w="2551" w:type="dxa"/>
            <w:vAlign w:val="center"/>
          </w:tcPr>
          <w:p>
            <w:pPr>
              <w:pStyle w:val="单元格样式4"/>
            </w:pPr>
          </w:p>
        </w:tc>
        <w:tc>
          <w:tcPr>
            <w:tcW w:w="2551" w:type="dxa"/>
            <w:vAlign w:val="center"/>
          </w:tcPr>
          <w:p>
            <w:pPr>
              <w:pStyle w:val="单元格样式4"/>
            </w:pPr>
            <w:r>
              <w:t xml:space="preserve">3.84</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10.07</w:t>
            </w:r>
          </w:p>
        </w:tc>
        <w:tc>
          <w:tcPr>
            <w:tcW w:w="2551" w:type="dxa"/>
            <w:vAlign w:val="center"/>
          </w:tcPr>
          <w:p>
            <w:pPr>
              <w:pStyle w:val="单元格样式4"/>
            </w:pPr>
          </w:p>
        </w:tc>
        <w:tc>
          <w:tcPr>
            <w:tcW w:w="2551" w:type="dxa"/>
            <w:vAlign w:val="center"/>
          </w:tcPr>
          <w:p>
            <w:pPr>
              <w:pStyle w:val="单元格样式4"/>
            </w:pPr>
            <w:r>
              <w:t xml:space="preserve">10.07</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17.19</w:t>
            </w:r>
          </w:p>
        </w:tc>
        <w:tc>
          <w:tcPr>
            <w:tcW w:w="2551" w:type="dxa"/>
            <w:vAlign w:val="center"/>
          </w:tcPr>
          <w:p>
            <w:pPr>
              <w:pStyle w:val="单元格样式4"/>
            </w:pPr>
            <w:r>
              <w:t xml:space="preserve">17.19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1.57</w:t>
            </w:r>
          </w:p>
        </w:tc>
        <w:tc>
          <w:tcPr>
            <w:tcW w:w="2551" w:type="dxa"/>
            <w:vAlign w:val="center"/>
          </w:tcPr>
          <w:p>
            <w:pPr>
              <w:pStyle w:val="单元格样式4"/>
            </w:pPr>
          </w:p>
        </w:tc>
        <w:tc>
          <w:tcPr>
            <w:tcW w:w="2551" w:type="dxa"/>
            <w:vAlign w:val="center"/>
          </w:tcPr>
          <w:p>
            <w:pPr>
              <w:pStyle w:val="单元格样式4"/>
            </w:pPr>
            <w:r>
              <w:t xml:space="preserve">1.57</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新乐市医疗保障局本级2026年单位预算信息公开情况说明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按照《中华人民共和国预算法》、《地方预决算公开操作规程》和《关于进一步推进预算公开工作的实施意见》规定，现将新乐市医疗保障局本级2026年单位预算公开如下：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主要职责是：</w:t>
      </w:r>
    </w:p>
    <w:p>
      <w:pPr>
        <w:pStyle w:val="插入文本样式-插入单位职责文件"/>
      </w:pPr>
      <w:r>
        <w:t xml:space="preserve">（一）贯彻落实省、石家庄市城镇职工和城乡居民医疗保险、生育保险、长期护理保险、医疗救助等医疗保障地方性法规、政府规章以及政策、制度、规划和标准。</w:t>
      </w:r>
    </w:p>
    <w:p>
      <w:pPr>
        <w:pStyle w:val="插入文本样式-插入单位职责文件"/>
      </w:pPr>
      <w:r>
        <w:t xml:space="preserve">（二）贯彻落实省、石家庄市医疗保障基金监督管理办法，建立健全医疗保障基金安全防控机制，使用维护网络信息和智能监控平台，推进医疗保障基金支付方式改革，并组织实施。</w:t>
      </w:r>
    </w:p>
    <w:p>
      <w:pPr>
        <w:pStyle w:val="插入文本样式-插入单位职责文件"/>
      </w:pPr>
      <w:r>
        <w:t xml:space="preserve">（三）贯彻落实省、石家庄市城镇职工、城乡居民参保筹资和保障待遇政策，统筹城乡医疗保障政策标准，建立健全与筹资水平相适应的待遇调整机制。组织实施长期护理保险制度方案及政策标准。</w:t>
      </w:r>
    </w:p>
    <w:p>
      <w:pPr>
        <w:pStyle w:val="插入文本样式-插入单位职责文件"/>
      </w:pPr>
      <w:r>
        <w:t xml:space="preserve">（四）贯彻落实省、石家庄市城乡统一的药品、医用耗材、医疗服务项目、医疗服务设施等医保支付标准，实行动态调整。</w:t>
      </w:r>
    </w:p>
    <w:p>
      <w:pPr>
        <w:pStyle w:val="插入文本样式-插入单位职责文件"/>
      </w:pPr>
      <w:r>
        <w:t xml:space="preserve">（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pStyle w:val="插入文本样式-插入单位职责文件"/>
      </w:pPr>
      <w:r>
        <w:t xml:space="preserve">（六）落实省、石家庄市药品、医用耗材的招标采购政策，指导药品、医用耗材招投标采购平台建设。</w:t>
      </w:r>
    </w:p>
    <w:p>
      <w:pPr>
        <w:pStyle w:val="插入文本样式-插入单位职责文件"/>
      </w:pPr>
      <w:r>
        <w:t xml:space="preserve">（七）落实省、石家庄市定点医药机构协议和支付管理办法。建立健全医疗保障信用评价体系和信息披露制度，监督管理定点医药机构的医疗服务行为、医疗费用和医药价格，依法查处医疗保障领域违法违规行为。</w:t>
      </w:r>
    </w:p>
    <w:p>
      <w:pPr>
        <w:pStyle w:val="插入文本样式-插入单位职责文件"/>
      </w:pPr>
      <w:r>
        <w:t xml:space="preserve">（八）负责医疗保障经办管理、公共服务体系和信息化建设。执行异地就医管理、费用结算政策和医疗保障关系转移接续制度。</w:t>
      </w:r>
    </w:p>
    <w:p>
      <w:pPr>
        <w:pStyle w:val="插入文本样式-插入单位职责文件"/>
      </w:pPr>
      <w:r>
        <w:t xml:space="preserve">（九）完成市委、市政府交办的其他任务。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新乐市医疗保障局本级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6712.67万元，其中：一般公共预算收入6712.67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新乐市医疗保障局本级年度单位预算中支出预算的总体情况。2026年支出预算6712.67万元，其中基本支出545.32万元，包括人员经费517.52万元和日常公用经费27.80万元；项目支出6167.35万元，主要为2026年本级支出-城乡居民医疗保险（市级统筹后县级负担部分）5932.35万元，2026年本级支出-城乡医疗救助（市级统筹后县级负担部分）200万元，2026年中央财政医疗服务与保障能力提升补助资金35万元。；预计下年使用的单位资金结余0.00万元。委托业务费共计安排3.00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6712.67万元，较2025年预算增加281.56万元，其中：基本支出增加38.32万元，主要为人员经费比上年增长37.98万元，公用经费比上年增长0.34万元。项目支出增加243.24万元，主要为2026年本级支出-城乡居民医疗保险（市级统筹后县级负担部分）较上年增长238.24万元，2026年中央财政医疗服务与保障能力提升补助资金较上年增长5万元。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2026年，我单位机关运行经费共计安排27.80万元，主要用于日常维修、办公用房水电费、办公用房取暖费、办公用房物业管理费等日常运行支出。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运维费比上年减少0.07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1、2026年本级支出-城乡居民医疗保险县级负担部分（保基本民生）绩效目标表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13018426P00002110002P</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2026年本级支出-城乡居民医疗保险县级负担部分（保基本民生）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5932.35</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5932.35</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城乡居民医保实行个人缴费和政府补助相结合为主的筹资方式，执行国家制定的财政补助标准。</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1483.09</w:t>
            </w:r>
          </w:p>
        </w:tc>
        <w:tc>
          <w:tcPr>
            <w:tcW w:w="2835" w:type="dxa"/>
            <w:vAlign w:val="center"/>
          </w:tcPr>
          <w:p>
            <w:pPr>
              <w:pStyle w:val="单元格样式3"/>
            </w:pPr>
            <w:r>
              <w:t xml:space="preserve">2966.18</w:t>
            </w:r>
          </w:p>
        </w:tc>
        <w:tc>
          <w:tcPr>
            <w:tcW w:w="2551" w:type="dxa"/>
            <w:vAlign w:val="center"/>
          </w:tcPr>
          <w:p>
            <w:pPr>
              <w:pStyle w:val="单元格样式3"/>
            </w:pPr>
            <w:r>
              <w:t xml:space="preserve">4449.26</w:t>
            </w:r>
          </w:p>
        </w:tc>
        <w:tc>
          <w:tcPr>
            <w:tcW w:w="3544" w:type="dxa"/>
            <w:gridSpan w:val="2"/>
            <w:vAlign w:val="center"/>
          </w:tcPr>
          <w:p>
            <w:pPr>
              <w:pStyle w:val="单元格样式3"/>
            </w:pPr>
            <w:r>
              <w:t xml:space="preserve">5932.35</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1.1、巩固参保率</w:t>
            </w:r>
          </w:p>
          <w:p>
            <w:pPr>
              <w:pStyle w:val="单元格样式2"/>
            </w:pPr>
            <w:r>
              <w:t xml:space="preserve">2、实现基金收支平衡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城乡居民参保人数</w:t>
            </w:r>
          </w:p>
        </w:tc>
        <w:tc>
          <w:tcPr>
            <w:tcW w:w="5386" w:type="dxa"/>
            <w:vAlign w:val="center"/>
          </w:tcPr>
          <w:p>
            <w:pPr>
              <w:pStyle w:val="单元格样式2"/>
            </w:pPr>
            <w:r>
              <w:t xml:space="preserve">城乡居民参保人数</w:t>
            </w:r>
          </w:p>
        </w:tc>
        <w:tc>
          <w:tcPr>
            <w:tcW w:w="2268" w:type="dxa"/>
            <w:vAlign w:val="center"/>
          </w:tcPr>
          <w:p>
            <w:pPr>
              <w:pStyle w:val="单元格样式2"/>
            </w:pPr>
            <w:r>
              <w:t xml:space="preserve">≥406800人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综合参保率（%）</w:t>
            </w:r>
          </w:p>
        </w:tc>
        <w:tc>
          <w:tcPr>
            <w:tcW w:w="5386" w:type="dxa"/>
            <w:vAlign w:val="center"/>
          </w:tcPr>
          <w:p>
            <w:pPr>
              <w:pStyle w:val="单元格样式2"/>
            </w:pPr>
            <w:r>
              <w:t xml:space="preserve">以常住人口数为基数计算的基本参保综合参保率（%）</w:t>
            </w: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财政补助资金到位率</w:t>
            </w:r>
          </w:p>
        </w:tc>
        <w:tc>
          <w:tcPr>
            <w:tcW w:w="5386" w:type="dxa"/>
            <w:vAlign w:val="center"/>
          </w:tcPr>
          <w:p>
            <w:pPr>
              <w:pStyle w:val="单元格样式2"/>
            </w:pPr>
            <w:r>
              <w:t xml:space="preserve">当年县级财政补助资金到位率(%)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参保居民个人实际缴费标准（元）</w:t>
            </w:r>
          </w:p>
        </w:tc>
        <w:tc>
          <w:tcPr>
            <w:tcW w:w="5386" w:type="dxa"/>
            <w:vAlign w:val="center"/>
          </w:tcPr>
          <w:p>
            <w:pPr>
              <w:pStyle w:val="单元格样式2"/>
            </w:pPr>
            <w:r>
              <w:t xml:space="preserve">普通参保居民个人实际缴费标准（元）</w:t>
            </w:r>
          </w:p>
        </w:tc>
        <w:tc>
          <w:tcPr>
            <w:tcW w:w="2268" w:type="dxa"/>
            <w:vAlign w:val="center"/>
          </w:tcPr>
          <w:p>
            <w:pPr>
              <w:pStyle w:val="单元格样式2"/>
            </w:pPr>
            <w:r>
              <w:t xml:space="preserve">410元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收支平衡</w:t>
            </w:r>
          </w:p>
        </w:tc>
        <w:tc>
          <w:tcPr>
            <w:tcW w:w="5386" w:type="dxa"/>
            <w:vAlign w:val="center"/>
          </w:tcPr>
          <w:p>
            <w:pPr>
              <w:pStyle w:val="单元格样式2"/>
            </w:pPr>
            <w:r>
              <w:t xml:space="preserve">医保基金实现收支平衡</w:t>
            </w:r>
          </w:p>
        </w:tc>
        <w:tc>
          <w:tcPr>
            <w:tcW w:w="2268" w:type="dxa"/>
            <w:vAlign w:val="center"/>
          </w:tcPr>
          <w:p>
            <w:pPr>
              <w:pStyle w:val="单元格样式2"/>
            </w:pPr>
            <w:r>
              <w:t xml:space="preserve">收支平衡</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享受财政补助覆盖面</w:t>
            </w:r>
          </w:p>
        </w:tc>
        <w:tc>
          <w:tcPr>
            <w:tcW w:w="5386" w:type="dxa"/>
            <w:vAlign w:val="center"/>
          </w:tcPr>
          <w:p>
            <w:pPr>
              <w:pStyle w:val="单元格样式2"/>
            </w:pPr>
            <w:r>
              <w:t xml:space="preserve">享受财政补助覆盖面</w:t>
            </w:r>
          </w:p>
        </w:tc>
        <w:tc>
          <w:tcPr>
            <w:tcW w:w="2268" w:type="dxa"/>
            <w:vAlign w:val="center"/>
          </w:tcPr>
          <w:p>
            <w:pPr>
              <w:pStyle w:val="单元格样式2"/>
            </w:pPr>
            <w:r>
              <w:t xml:space="preserve">全面覆盖</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资源消耗</w:t>
            </w:r>
          </w:p>
        </w:tc>
        <w:tc>
          <w:tcPr>
            <w:tcW w:w="5386" w:type="dxa"/>
            <w:vAlign w:val="center"/>
          </w:tcPr>
          <w:p>
            <w:pPr>
              <w:pStyle w:val="单元格样式2"/>
            </w:pPr>
            <w:r>
              <w:t xml:space="preserve">资源消耗</w:t>
            </w:r>
          </w:p>
        </w:tc>
        <w:tc>
          <w:tcPr>
            <w:tcW w:w="2268" w:type="dxa"/>
            <w:vAlign w:val="center"/>
          </w:tcPr>
          <w:p>
            <w:pPr>
              <w:pStyle w:val="单元格样式2"/>
            </w:pPr>
            <w:r>
              <w:t xml:space="preserve">节约资源</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持续参保</w:t>
            </w:r>
          </w:p>
        </w:tc>
        <w:tc>
          <w:tcPr>
            <w:tcW w:w="5386" w:type="dxa"/>
            <w:vAlign w:val="center"/>
          </w:tcPr>
          <w:p>
            <w:pPr>
              <w:pStyle w:val="单元格样式2"/>
            </w:pPr>
            <w:r>
              <w:t xml:space="preserve">城乡居民持续参加医疗保险</w:t>
            </w:r>
          </w:p>
        </w:tc>
        <w:tc>
          <w:tcPr>
            <w:tcW w:w="2268" w:type="dxa"/>
            <w:vAlign w:val="center"/>
          </w:tcPr>
          <w:p>
            <w:pPr>
              <w:pStyle w:val="单元格样式2"/>
            </w:pPr>
            <w:r>
              <w:t xml:space="preserve">持续参保</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群众满意数量占总数的比例。</w:t>
            </w:r>
          </w:p>
        </w:tc>
        <w:tc>
          <w:tcPr>
            <w:tcW w:w="5386" w:type="dxa"/>
            <w:vAlign w:val="center"/>
          </w:tcPr>
          <w:p>
            <w:pPr>
              <w:pStyle w:val="单元格样式2"/>
            </w:pPr>
            <w:r>
              <w:t xml:space="preserve">群众满意数量占总数的比例。</w:t>
            </w:r>
          </w:p>
        </w:tc>
        <w:tc>
          <w:tcPr>
            <w:tcW w:w="2268" w:type="dxa"/>
            <w:vAlign w:val="center"/>
          </w:tcPr>
          <w:p>
            <w:pPr>
              <w:pStyle w:val="单元格样式2"/>
            </w:pPr>
            <w:r>
              <w:t xml:space="preserve">≥85%</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2、2026年本级支出-城乡医疗救助县级负担部分（保基本民生）绩效目标表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13018426P00002210002D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2026年本级支出-城乡医疗救助县级负担部分（保基本民生）</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贯彻落实国家、省决策部署，聚焦减轻困难群众重特大医保医疗费负担，建立健全防范和化解因病致贫返贫长效机制，增强基本医保、大病保险、医疗救助综合保障功能。</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 </w:t>
            </w:r>
          </w:p>
        </w:tc>
        <w:tc>
          <w:tcPr>
            <w:tcW w:w="2835" w:type="dxa"/>
            <w:vAlign w:val="center"/>
          </w:tcPr>
          <w:p>
            <w:pPr>
              <w:pStyle w:val="单元格样式3"/>
            </w:pPr>
            <w:r>
              <w:t xml:space="preserve"> </w:t>
            </w:r>
          </w:p>
        </w:tc>
        <w:tc>
          <w:tcPr>
            <w:tcW w:w="2551" w:type="dxa"/>
            <w:vAlign w:val="center"/>
          </w:tcPr>
          <w:p>
            <w:pPr>
              <w:pStyle w:val="单元格样式3"/>
            </w:pPr>
            <w:r>
              <w:t xml:space="preserve"> </w:t>
            </w:r>
          </w:p>
        </w:tc>
        <w:tc>
          <w:tcPr>
            <w:tcW w:w="3544" w:type="dxa"/>
            <w:gridSpan w:val="2"/>
            <w:vAlign w:val="center"/>
          </w:tcPr>
          <w:p>
            <w:pPr>
              <w:pStyle w:val="单元格样式3"/>
            </w:pPr>
            <w:r>
              <w:t xml:space="preserve">200.00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1.持续实施重特大疾病医疗救助；强化医疗救助规范管理。</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资助参保参保人次数</w:t>
            </w:r>
          </w:p>
        </w:tc>
        <w:tc>
          <w:tcPr>
            <w:tcW w:w="5386" w:type="dxa"/>
            <w:vAlign w:val="center"/>
          </w:tcPr>
          <w:p>
            <w:pPr>
              <w:pStyle w:val="单元格样式2"/>
            </w:pPr>
            <w:r>
              <w:t xml:space="preserve">资助参保参保人次数</w:t>
            </w:r>
          </w:p>
        </w:tc>
        <w:tc>
          <w:tcPr>
            <w:tcW w:w="2268" w:type="dxa"/>
            <w:vAlign w:val="center"/>
          </w:tcPr>
          <w:p>
            <w:pPr>
              <w:pStyle w:val="单元格样式2"/>
            </w:pPr>
            <w:r>
              <w:t xml:space="preserve">≥12500人</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确保困难群众基本医疗有保障</w:t>
            </w:r>
          </w:p>
        </w:tc>
        <w:tc>
          <w:tcPr>
            <w:tcW w:w="5386" w:type="dxa"/>
            <w:vAlign w:val="center"/>
          </w:tcPr>
          <w:p>
            <w:pPr>
              <w:pStyle w:val="单元格样式2"/>
            </w:pPr>
            <w:r>
              <w:t xml:space="preserve">困难群众参保率</w:t>
            </w:r>
          </w:p>
        </w:tc>
        <w:tc>
          <w:tcPr>
            <w:tcW w:w="2268" w:type="dxa"/>
            <w:vAlign w:val="center"/>
          </w:tcPr>
          <w:p>
            <w:pPr>
              <w:pStyle w:val="单元格样式2"/>
            </w:pPr>
            <w:r>
              <w:t xml:space="preserve">≥100%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一站式即时结算覆盖地区</w:t>
            </w:r>
          </w:p>
        </w:tc>
        <w:tc>
          <w:tcPr>
            <w:tcW w:w="5386" w:type="dxa"/>
            <w:vAlign w:val="center"/>
          </w:tcPr>
          <w:p>
            <w:pPr>
              <w:pStyle w:val="单元格样式2"/>
            </w:pPr>
            <w:r>
              <w:t xml:space="preserve">一站式即时结算覆盖地区</w:t>
            </w:r>
          </w:p>
        </w:tc>
        <w:tc>
          <w:tcPr>
            <w:tcW w:w="2268" w:type="dxa"/>
            <w:vAlign w:val="center"/>
          </w:tcPr>
          <w:p>
            <w:pPr>
              <w:pStyle w:val="单元格样式2"/>
            </w:pPr>
            <w:r>
              <w:t xml:space="preserve">全覆盖</w:t>
            </w:r>
          </w:p>
        </w:tc>
        <w:tc>
          <w:tcPr>
            <w:tcW w:w="1276" w:type="dxa"/>
            <w:vAlign w:val="center"/>
          </w:tcPr>
          <w:p>
            <w:pPr>
              <w:pStyle w:val="单元格样式2"/>
            </w:pPr>
            <w:r>
              <w:t xml:space="preserve">工作安排</w:t>
            </w:r>
            <w:r>
              <w:tab/>
            </w:r>
          </w:p>
          <w:p>
            <w:pPr>
              <w:pStyle w:val="单元格样式2"/>
            </w:pP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特困人员资助金额</w:t>
            </w:r>
          </w:p>
        </w:tc>
        <w:tc>
          <w:tcPr>
            <w:tcW w:w="5386" w:type="dxa"/>
            <w:vAlign w:val="center"/>
          </w:tcPr>
          <w:p>
            <w:pPr>
              <w:pStyle w:val="单元格样式2"/>
            </w:pPr>
            <w:r>
              <w:t xml:space="preserve">资助特困人员参加城乡居民医保金额</w:t>
            </w:r>
          </w:p>
        </w:tc>
        <w:tc>
          <w:tcPr>
            <w:tcW w:w="2268" w:type="dxa"/>
            <w:vAlign w:val="center"/>
          </w:tcPr>
          <w:p>
            <w:pPr>
              <w:pStyle w:val="单元格样式2"/>
            </w:pPr>
            <w:r>
              <w:t xml:space="preserve">410元</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医疗救助对象覆盖范围</w:t>
            </w:r>
          </w:p>
        </w:tc>
        <w:tc>
          <w:tcPr>
            <w:tcW w:w="5386" w:type="dxa"/>
            <w:vAlign w:val="center"/>
          </w:tcPr>
          <w:p>
            <w:pPr>
              <w:pStyle w:val="单元格样式2"/>
            </w:pPr>
            <w:r>
              <w:t xml:space="preserve">医疗救助对象覆盖范围</w:t>
            </w:r>
          </w:p>
        </w:tc>
        <w:tc>
          <w:tcPr>
            <w:tcW w:w="2268" w:type="dxa"/>
            <w:vAlign w:val="center"/>
          </w:tcPr>
          <w:p>
            <w:pPr>
              <w:pStyle w:val="单元格样式2"/>
            </w:pPr>
            <w:r>
              <w:t xml:space="preserve">应覆盖尽覆盖</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减轻困难群众特重大疾病医疗费负担</w:t>
            </w:r>
          </w:p>
        </w:tc>
        <w:tc>
          <w:tcPr>
            <w:tcW w:w="5386" w:type="dxa"/>
            <w:vAlign w:val="center"/>
          </w:tcPr>
          <w:p>
            <w:pPr>
              <w:pStyle w:val="单元格样式2"/>
            </w:pPr>
            <w:r>
              <w:t xml:space="preserve">减轻困难群众特重大疾病医疗费负担</w:t>
            </w:r>
          </w:p>
        </w:tc>
        <w:tc>
          <w:tcPr>
            <w:tcW w:w="2268" w:type="dxa"/>
            <w:vAlign w:val="center"/>
          </w:tcPr>
          <w:p>
            <w:pPr>
              <w:pStyle w:val="单元格样式2"/>
            </w:pPr>
            <w:r>
              <w:t xml:space="preserve">明显减轻</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对健全医疗救助体系的影响</w:t>
            </w:r>
          </w:p>
        </w:tc>
        <w:tc>
          <w:tcPr>
            <w:tcW w:w="5386" w:type="dxa"/>
            <w:vAlign w:val="center"/>
          </w:tcPr>
          <w:p>
            <w:pPr>
              <w:pStyle w:val="单元格样式2"/>
            </w:pPr>
            <w:r>
              <w:t xml:space="preserve">对健全医疗救助体系的影响</w:t>
            </w:r>
          </w:p>
        </w:tc>
        <w:tc>
          <w:tcPr>
            <w:tcW w:w="2268" w:type="dxa"/>
            <w:vAlign w:val="center"/>
          </w:tcPr>
          <w:p>
            <w:pPr>
              <w:pStyle w:val="单元格样式2"/>
            </w:pPr>
            <w:r>
              <w:t xml:space="preserve">成效明显</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对健全医疗保障制度体系的作用</w:t>
            </w:r>
          </w:p>
        </w:tc>
        <w:tc>
          <w:tcPr>
            <w:tcW w:w="5386" w:type="dxa"/>
            <w:vAlign w:val="center"/>
          </w:tcPr>
          <w:p>
            <w:pPr>
              <w:pStyle w:val="单元格样式2"/>
            </w:pPr>
            <w:r>
              <w:t xml:space="preserve">对健全医疗保障制度体系的作用</w:t>
            </w:r>
          </w:p>
        </w:tc>
        <w:tc>
          <w:tcPr>
            <w:tcW w:w="2268" w:type="dxa"/>
            <w:vAlign w:val="center"/>
          </w:tcPr>
          <w:p>
            <w:pPr>
              <w:pStyle w:val="单元格样式2"/>
            </w:pPr>
            <w:r>
              <w:t xml:space="preserve">效果明显</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3、冀财社【2025】128号-提前下达2026年中央财政医疗服务与保障能力提升补助资金[医疗保障服务能力建设部分]绩效目标表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13018426P00006610009A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冀财社【2025】128号-提前下达2026年中央财政医疗服务与保障能力提升补助资金[医疗保障服务能力建设部分]</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医疗服务与保障能力提升资金用于医保信息化标准化、基金监管、支付方式改革、带量采购、医疗服务价格改革、医保目录实施监管、经办管理服务体系建设。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8.75</w:t>
            </w:r>
          </w:p>
        </w:tc>
        <w:tc>
          <w:tcPr>
            <w:tcW w:w="2835" w:type="dxa"/>
            <w:vAlign w:val="center"/>
          </w:tcPr>
          <w:p>
            <w:pPr>
              <w:pStyle w:val="单元格样式3"/>
            </w:pPr>
            <w:r>
              <w:t xml:space="preserve">17.50</w:t>
            </w:r>
          </w:p>
        </w:tc>
        <w:tc>
          <w:tcPr>
            <w:tcW w:w="2551" w:type="dxa"/>
            <w:vAlign w:val="center"/>
          </w:tcPr>
          <w:p>
            <w:pPr>
              <w:pStyle w:val="单元格样式3"/>
            </w:pPr>
            <w:r>
              <w:t xml:space="preserve">26.25</w:t>
            </w:r>
          </w:p>
        </w:tc>
        <w:tc>
          <w:tcPr>
            <w:tcW w:w="3544" w:type="dxa"/>
            <w:gridSpan w:val="2"/>
            <w:vAlign w:val="center"/>
          </w:tcPr>
          <w:p>
            <w:pPr>
              <w:pStyle w:val="单元格样式3"/>
            </w:pPr>
            <w:r>
              <w:t xml:space="preserve">35.00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国家统一医保信息平台正常运行，定点医药机构监督检查全覆盖，推行DIP医保支付方式改革</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城乡居民医疗参保率</w:t>
            </w:r>
          </w:p>
        </w:tc>
        <w:tc>
          <w:tcPr>
            <w:tcW w:w="5386" w:type="dxa"/>
            <w:vAlign w:val="center"/>
          </w:tcPr>
          <w:p>
            <w:pPr>
              <w:pStyle w:val="单元格样式2"/>
            </w:pPr>
            <w:r>
              <w:t xml:space="preserve">以常住人口数为基数计算的基本参保综合参保率（%）</w:t>
            </w:r>
          </w:p>
          <w:p>
            <w:pPr>
              <w:pStyle w:val="单元格样式2"/>
            </w:pPr>
          </w:p>
        </w:tc>
        <w:tc>
          <w:tcPr>
            <w:tcW w:w="2268" w:type="dxa"/>
            <w:vAlign w:val="center"/>
          </w:tcPr>
          <w:p>
            <w:pPr>
              <w:pStyle w:val="单元格样式2"/>
            </w:pPr>
            <w:r>
              <w:t xml:space="preserve">≥95%</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定点医药机构监督检查覆盖率</w:t>
            </w:r>
          </w:p>
        </w:tc>
        <w:tc>
          <w:tcPr>
            <w:tcW w:w="5386" w:type="dxa"/>
            <w:vAlign w:val="center"/>
          </w:tcPr>
          <w:p>
            <w:pPr>
              <w:pStyle w:val="单元格样式2"/>
            </w:pPr>
            <w:r>
              <w:t xml:space="preserve">定点医药机构监督检查覆盖率</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集中带量采购落实情况</w:t>
            </w:r>
          </w:p>
        </w:tc>
        <w:tc>
          <w:tcPr>
            <w:tcW w:w="5386" w:type="dxa"/>
            <w:vAlign w:val="center"/>
          </w:tcPr>
          <w:p>
            <w:pPr>
              <w:pStyle w:val="单元格样式2"/>
            </w:pPr>
            <w:r>
              <w:t xml:space="preserve">集中带量采购落实情况</w:t>
            </w:r>
          </w:p>
        </w:tc>
        <w:tc>
          <w:tcPr>
            <w:tcW w:w="2268" w:type="dxa"/>
            <w:vAlign w:val="center"/>
          </w:tcPr>
          <w:p>
            <w:pPr>
              <w:pStyle w:val="单元格样式2"/>
            </w:pPr>
            <w:r>
              <w:t xml:space="preserve">有效落实</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运行保障成本</w:t>
            </w:r>
          </w:p>
        </w:tc>
        <w:tc>
          <w:tcPr>
            <w:tcW w:w="5386" w:type="dxa"/>
            <w:vAlign w:val="center"/>
          </w:tcPr>
          <w:p>
            <w:pPr>
              <w:pStyle w:val="单元格样式2"/>
            </w:pPr>
            <w:r>
              <w:t xml:space="preserve">运行保障成本</w:t>
            </w:r>
          </w:p>
        </w:tc>
        <w:tc>
          <w:tcPr>
            <w:tcW w:w="2268" w:type="dxa"/>
            <w:vAlign w:val="center"/>
          </w:tcPr>
          <w:p>
            <w:pPr>
              <w:pStyle w:val="单元格样式2"/>
            </w:pPr>
            <w:r>
              <w:t xml:space="preserve">不铺张浪费</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医疗服务价格动态调整情况</w:t>
            </w:r>
          </w:p>
        </w:tc>
        <w:tc>
          <w:tcPr>
            <w:tcW w:w="5386" w:type="dxa"/>
            <w:vAlign w:val="center"/>
          </w:tcPr>
          <w:p>
            <w:pPr>
              <w:pStyle w:val="单元格样式2"/>
            </w:pPr>
            <w:r>
              <w:t xml:space="preserve">医疗服务价格动态调整</w:t>
            </w:r>
          </w:p>
        </w:tc>
        <w:tc>
          <w:tcPr>
            <w:tcW w:w="2268" w:type="dxa"/>
            <w:vAlign w:val="center"/>
          </w:tcPr>
          <w:p>
            <w:pPr>
              <w:pStyle w:val="单元格样式2"/>
            </w:pPr>
            <w:r>
              <w:t xml:space="preserve">有效开展动态调整评估</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推进医保支付方式改革</w:t>
            </w:r>
          </w:p>
        </w:tc>
        <w:tc>
          <w:tcPr>
            <w:tcW w:w="5386" w:type="dxa"/>
            <w:vAlign w:val="center"/>
          </w:tcPr>
          <w:p>
            <w:pPr>
              <w:pStyle w:val="单元格样式2"/>
            </w:pPr>
            <w:r>
              <w:t xml:space="preserve">推进医保支付方式改革</w:t>
            </w:r>
          </w:p>
        </w:tc>
        <w:tc>
          <w:tcPr>
            <w:tcW w:w="2268" w:type="dxa"/>
            <w:vAlign w:val="center"/>
          </w:tcPr>
          <w:p>
            <w:pPr>
              <w:pStyle w:val="单元格样式2"/>
            </w:pPr>
            <w:r>
              <w:t xml:space="preserve">继续不断推进</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生态效益指标</w:t>
            </w:r>
          </w:p>
        </w:tc>
        <w:tc>
          <w:tcPr>
            <w:tcW w:w="2835" w:type="dxa"/>
            <w:vAlign w:val="center"/>
          </w:tcPr>
          <w:p>
            <w:pPr>
              <w:pStyle w:val="单元格样式2"/>
            </w:pPr>
            <w:r>
              <w:t xml:space="preserve">医保经办服务能力</w:t>
            </w:r>
          </w:p>
        </w:tc>
        <w:tc>
          <w:tcPr>
            <w:tcW w:w="5386" w:type="dxa"/>
            <w:vAlign w:val="center"/>
          </w:tcPr>
          <w:p>
            <w:pPr>
              <w:pStyle w:val="单元格样式2"/>
            </w:pPr>
            <w:r>
              <w:t xml:space="preserve">医保经办服务能力</w:t>
            </w:r>
          </w:p>
        </w:tc>
        <w:tc>
          <w:tcPr>
            <w:tcW w:w="2268" w:type="dxa"/>
            <w:vAlign w:val="center"/>
          </w:tcPr>
          <w:p>
            <w:pPr>
              <w:pStyle w:val="单元格样式2"/>
            </w:pPr>
            <w:r>
              <w:t xml:space="preserve">继续不断提升</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异地就医网上备案率</w:t>
            </w:r>
          </w:p>
        </w:tc>
        <w:tc>
          <w:tcPr>
            <w:tcW w:w="5386" w:type="dxa"/>
            <w:vAlign w:val="center"/>
          </w:tcPr>
          <w:p>
            <w:pPr>
              <w:pStyle w:val="单元格样式2"/>
            </w:pPr>
            <w:r>
              <w:t xml:space="preserve">异地就医网上备案率</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参保人员对医保服务的满意度</w:t>
            </w:r>
          </w:p>
        </w:tc>
        <w:tc>
          <w:tcPr>
            <w:tcW w:w="5386" w:type="dxa"/>
            <w:vAlign w:val="center"/>
          </w:tcPr>
          <w:p>
            <w:pPr>
              <w:pStyle w:val="单元格样式2"/>
            </w:pPr>
            <w:r>
              <w:t xml:space="preserve">参保人员对医保服务的满意度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工作安排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新乐市医疗保障局本级上年末固定资产金额为77.15万元（详见下表）。本年度拟购置固定资产总额为0.00万元，已按要求列入政府采购预算，详见政府采购预算表。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450001新乐市医疗保障局本级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77.15</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12.84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346</w:t>
            </w:r>
          </w:p>
        </w:tc>
        <w:tc>
          <w:tcPr>
            <w:tcW w:w="2835" w:type="dxa"/>
            <w:vAlign w:val="center"/>
          </w:tcPr>
          <w:p>
            <w:pPr>
              <w:pStyle w:val="单元格样式4"/>
            </w:pPr>
            <w:r>
              <w:t xml:space="preserve">64.31</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28</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2026-03-03T14:57:16Z</dcterms:created>
  <dcterms:modified xsi:type="dcterms:W3CDTF">2026-03-03T14:57:16Z</dcterms:modified>
</cp:coreProperties>
</file>