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一、新乐市城市管理综合行政执法局本级收支预算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二、新乐市市场管理中心收支预算</w:t>
      </w:r>
      <w:r>
        <w:tab/>
      </w:r>
      <w:r>
        <w:fldChar w:fldCharType="begin"/>
      </w:r>
      <w:r>
        <w:instrText xml:space="preserve">PAGEREF _Toc_4_4_0000000002 \h</w:instrText>
      </w:r>
      <w:r>
        <w:fldChar w:fldCharType="separate"/>
      </w:r>
      <w:r>
        <w:t xml:space="preserve">61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一、新乐市城市管理综合行政执法局本级收支预算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37737.02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200.98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45.70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33897.50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80.28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38737.02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43163.85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4426.84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43163.85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43163.85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43163.85</w:t>
            </w:r>
          </w:p>
        </w:tc>
        <w:tc>
          <w:tcPr>
            <w:tcW w:w="1134" w:type="dxa"/>
            <w:vAlign w:val="center"/>
          </w:tcPr>
          <w:p>
            <w:pPr>
              <w:pStyle w:val="单元格样式7"/>
            </w:pPr>
            <w:r>
              <w:t xml:space="preserve">38737.02</w:t>
            </w:r>
          </w:p>
        </w:tc>
        <w:tc>
          <w:tcPr>
            <w:tcW w:w="1134" w:type="dxa"/>
            <w:vAlign w:val="center"/>
          </w:tcPr>
          <w:p>
            <w:pPr>
              <w:pStyle w:val="单元格样式7"/>
            </w:pPr>
            <w:r>
              <w:t xml:space="preserve">38737.02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4426.84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200.98</w:t>
            </w:r>
          </w:p>
        </w:tc>
        <w:tc>
          <w:tcPr>
            <w:tcW w:w="1134" w:type="dxa"/>
            <w:vAlign w:val="center"/>
          </w:tcPr>
          <w:p>
            <w:pPr>
              <w:pStyle w:val="单元格样式4"/>
            </w:pPr>
            <w:r>
              <w:t xml:space="preserve">200.98</w:t>
            </w:r>
          </w:p>
        </w:tc>
        <w:tc>
          <w:tcPr>
            <w:tcW w:w="1134" w:type="dxa"/>
            <w:vAlign w:val="center"/>
          </w:tcPr>
          <w:p>
            <w:pPr>
              <w:pStyle w:val="单元格样式4"/>
            </w:pPr>
            <w:r>
              <w:t xml:space="preserve">200.98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195.20</w:t>
            </w:r>
          </w:p>
        </w:tc>
        <w:tc>
          <w:tcPr>
            <w:tcW w:w="1134" w:type="dxa"/>
            <w:vAlign w:val="center"/>
          </w:tcPr>
          <w:p>
            <w:pPr>
              <w:pStyle w:val="单元格样式4"/>
            </w:pPr>
            <w:r>
              <w:t xml:space="preserve">195.20</w:t>
            </w:r>
          </w:p>
        </w:tc>
        <w:tc>
          <w:tcPr>
            <w:tcW w:w="1134" w:type="dxa"/>
            <w:vAlign w:val="center"/>
          </w:tcPr>
          <w:p>
            <w:pPr>
              <w:pStyle w:val="单元格样式4"/>
            </w:pPr>
            <w:r>
              <w:t xml:space="preserve">195.20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39.08</w:t>
            </w:r>
          </w:p>
        </w:tc>
        <w:tc>
          <w:tcPr>
            <w:tcW w:w="1134" w:type="dxa"/>
            <w:vAlign w:val="center"/>
          </w:tcPr>
          <w:p>
            <w:pPr>
              <w:pStyle w:val="单元格样式4"/>
            </w:pPr>
            <w:r>
              <w:t xml:space="preserve">39.08</w:t>
            </w:r>
          </w:p>
        </w:tc>
        <w:tc>
          <w:tcPr>
            <w:tcW w:w="1134" w:type="dxa"/>
            <w:vAlign w:val="center"/>
          </w:tcPr>
          <w:p>
            <w:pPr>
              <w:pStyle w:val="单元格样式4"/>
            </w:pPr>
            <w:r>
              <w:t xml:space="preserve">39.08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103.60</w:t>
            </w:r>
          </w:p>
        </w:tc>
        <w:tc>
          <w:tcPr>
            <w:tcW w:w="1134" w:type="dxa"/>
            <w:vAlign w:val="center"/>
          </w:tcPr>
          <w:p>
            <w:pPr>
              <w:pStyle w:val="单元格样式4"/>
            </w:pPr>
            <w:r>
              <w:t xml:space="preserve">103.60</w:t>
            </w:r>
          </w:p>
        </w:tc>
        <w:tc>
          <w:tcPr>
            <w:tcW w:w="1134" w:type="dxa"/>
            <w:vAlign w:val="center"/>
          </w:tcPr>
          <w:p>
            <w:pPr>
              <w:pStyle w:val="单元格样式4"/>
            </w:pPr>
            <w:r>
              <w:t xml:space="preserve">103.60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5.78</w:t>
            </w:r>
          </w:p>
        </w:tc>
        <w:tc>
          <w:tcPr>
            <w:tcW w:w="1134" w:type="dxa"/>
            <w:vAlign w:val="center"/>
          </w:tcPr>
          <w:p>
            <w:pPr>
              <w:pStyle w:val="单元格样式4"/>
            </w:pPr>
            <w:r>
              <w:t xml:space="preserve">5.78</w:t>
            </w:r>
          </w:p>
        </w:tc>
        <w:tc>
          <w:tcPr>
            <w:tcW w:w="1134" w:type="dxa"/>
            <w:vAlign w:val="center"/>
          </w:tcPr>
          <w:p>
            <w:pPr>
              <w:pStyle w:val="单元格样式4"/>
            </w:pPr>
            <w:r>
              <w:t xml:space="preserve">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5.78</w:t>
            </w:r>
          </w:p>
        </w:tc>
        <w:tc>
          <w:tcPr>
            <w:tcW w:w="1134" w:type="dxa"/>
            <w:vAlign w:val="center"/>
          </w:tcPr>
          <w:p>
            <w:pPr>
              <w:pStyle w:val="单元格样式4"/>
            </w:pPr>
            <w:r>
              <w:t xml:space="preserve">5.78</w:t>
            </w:r>
          </w:p>
        </w:tc>
        <w:tc>
          <w:tcPr>
            <w:tcW w:w="1134" w:type="dxa"/>
            <w:vAlign w:val="center"/>
          </w:tcPr>
          <w:p>
            <w:pPr>
              <w:pStyle w:val="单元格样式4"/>
            </w:pPr>
            <w:r>
              <w:t xml:space="preserve">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5396.43</w:t>
            </w:r>
          </w:p>
        </w:tc>
        <w:tc>
          <w:tcPr>
            <w:tcW w:w="1134" w:type="dxa"/>
            <w:vAlign w:val="center"/>
          </w:tcPr>
          <w:p>
            <w:pPr>
              <w:pStyle w:val="单元格样式4"/>
            </w:pPr>
            <w:r>
              <w:t xml:space="preserve">4848.00</w:t>
            </w:r>
          </w:p>
        </w:tc>
        <w:tc>
          <w:tcPr>
            <w:tcW w:w="1134" w:type="dxa"/>
            <w:vAlign w:val="center"/>
          </w:tcPr>
          <w:p>
            <w:pPr>
              <w:pStyle w:val="单元格样式4"/>
            </w:pPr>
            <w:r>
              <w:t xml:space="preserve">4848.00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5396.43</w:t>
            </w:r>
          </w:p>
        </w:tc>
        <w:tc>
          <w:tcPr>
            <w:tcW w:w="1134" w:type="dxa"/>
            <w:vAlign w:val="center"/>
          </w:tcPr>
          <w:p>
            <w:pPr>
              <w:pStyle w:val="单元格样式4"/>
            </w:pPr>
            <w:r>
              <w:t xml:space="preserve">4848.00</w:t>
            </w:r>
          </w:p>
        </w:tc>
        <w:tc>
          <w:tcPr>
            <w:tcW w:w="1134" w:type="dxa"/>
            <w:vAlign w:val="center"/>
          </w:tcPr>
          <w:p>
            <w:pPr>
              <w:pStyle w:val="单元格样式4"/>
            </w:pPr>
            <w:r>
              <w:t xml:space="preserve">4848.00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2596.43</w:t>
            </w:r>
          </w:p>
        </w:tc>
        <w:tc>
          <w:tcPr>
            <w:tcW w:w="1134" w:type="dxa"/>
            <w:vAlign w:val="center"/>
          </w:tcPr>
          <w:p>
            <w:pPr>
              <w:pStyle w:val="单元格样式4"/>
            </w:pPr>
            <w:r>
              <w:t xml:space="preserve">2048.00</w:t>
            </w:r>
          </w:p>
        </w:tc>
        <w:tc>
          <w:tcPr>
            <w:tcW w:w="1134" w:type="dxa"/>
            <w:vAlign w:val="center"/>
          </w:tcPr>
          <w:p>
            <w:pPr>
              <w:pStyle w:val="单元格样式4"/>
            </w:pPr>
            <w:r>
              <w:t xml:space="preserve">2048.00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548.43</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2110302</w:t>
            </w:r>
          </w:p>
        </w:tc>
        <w:tc>
          <w:tcPr>
            <w:tcW w:w="1559" w:type="dxa"/>
            <w:vAlign w:val="center"/>
          </w:tcPr>
          <w:p>
            <w:pPr>
              <w:pStyle w:val="单元格样式2"/>
            </w:pPr>
            <w:r>
              <w:t xml:space="preserve">水体</w:t>
            </w:r>
          </w:p>
        </w:tc>
        <w:tc>
          <w:tcPr>
            <w:tcW w:w="1134" w:type="dxa"/>
            <w:vAlign w:val="center"/>
          </w:tcPr>
          <w:p>
            <w:pPr>
              <w:pStyle w:val="单元格样式4"/>
            </w:pPr>
            <w:r>
              <w:t xml:space="preserve">2800.00</w:t>
            </w:r>
          </w:p>
        </w:tc>
        <w:tc>
          <w:tcPr>
            <w:tcW w:w="1134" w:type="dxa"/>
            <w:vAlign w:val="center"/>
          </w:tcPr>
          <w:p>
            <w:pPr>
              <w:pStyle w:val="单元格样式4"/>
            </w:pPr>
            <w:r>
              <w:t xml:space="preserve">2800.00</w:t>
            </w:r>
          </w:p>
        </w:tc>
        <w:tc>
          <w:tcPr>
            <w:tcW w:w="1134" w:type="dxa"/>
            <w:vAlign w:val="center"/>
          </w:tcPr>
          <w:p>
            <w:pPr>
              <w:pStyle w:val="单元格样式4"/>
            </w:pPr>
            <w:r>
              <w:t xml:space="preserve">2800.00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33897.50</w:t>
            </w:r>
          </w:p>
        </w:tc>
        <w:tc>
          <w:tcPr>
            <w:tcW w:w="1134" w:type="dxa"/>
            <w:vAlign w:val="center"/>
          </w:tcPr>
          <w:p>
            <w:pPr>
              <w:pStyle w:val="单元格样式4"/>
            </w:pPr>
            <w:r>
              <w:t xml:space="preserve">33562.06</w:t>
            </w:r>
          </w:p>
        </w:tc>
        <w:tc>
          <w:tcPr>
            <w:tcW w:w="1134" w:type="dxa"/>
            <w:vAlign w:val="center"/>
          </w:tcPr>
          <w:p>
            <w:pPr>
              <w:pStyle w:val="单元格样式4"/>
            </w:pPr>
            <w:r>
              <w:t xml:space="preserve">33562.06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24587.72</w:t>
            </w:r>
          </w:p>
        </w:tc>
        <w:tc>
          <w:tcPr>
            <w:tcW w:w="1134" w:type="dxa"/>
            <w:vAlign w:val="center"/>
          </w:tcPr>
          <w:p>
            <w:pPr>
              <w:pStyle w:val="单元格样式4"/>
            </w:pPr>
            <w:r>
              <w:t xml:space="preserve">24252.27</w:t>
            </w:r>
          </w:p>
        </w:tc>
        <w:tc>
          <w:tcPr>
            <w:tcW w:w="1134" w:type="dxa"/>
            <w:vAlign w:val="center"/>
          </w:tcPr>
          <w:p>
            <w:pPr>
              <w:pStyle w:val="单元格样式4"/>
            </w:pPr>
            <w:r>
              <w:t xml:space="preserve">24252.27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5177.94</w:t>
            </w:r>
          </w:p>
        </w:tc>
        <w:tc>
          <w:tcPr>
            <w:tcW w:w="1134" w:type="dxa"/>
            <w:vAlign w:val="center"/>
          </w:tcPr>
          <w:p>
            <w:pPr>
              <w:pStyle w:val="单元格样式4"/>
            </w:pPr>
            <w:r>
              <w:t xml:space="preserve">5177.94</w:t>
            </w:r>
          </w:p>
        </w:tc>
        <w:tc>
          <w:tcPr>
            <w:tcW w:w="1134" w:type="dxa"/>
            <w:vAlign w:val="center"/>
          </w:tcPr>
          <w:p>
            <w:pPr>
              <w:pStyle w:val="单元格样式4"/>
            </w:pPr>
            <w:r>
              <w:t xml:space="preserve">5177.94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2120104</w:t>
            </w:r>
          </w:p>
        </w:tc>
        <w:tc>
          <w:tcPr>
            <w:tcW w:w="1559" w:type="dxa"/>
            <w:vAlign w:val="center"/>
          </w:tcPr>
          <w:p>
            <w:pPr>
              <w:pStyle w:val="单元格样式2"/>
            </w:pPr>
            <w:r>
              <w:t xml:space="preserve">城管执法</w:t>
            </w:r>
          </w:p>
        </w:tc>
        <w:tc>
          <w:tcPr>
            <w:tcW w:w="1134" w:type="dxa"/>
            <w:vAlign w:val="center"/>
          </w:tcPr>
          <w:p>
            <w:pPr>
              <w:pStyle w:val="单元格样式4"/>
            </w:pPr>
            <w:r>
              <w:t xml:space="preserve">19409.78</w:t>
            </w:r>
          </w:p>
        </w:tc>
        <w:tc>
          <w:tcPr>
            <w:tcW w:w="1134" w:type="dxa"/>
            <w:vAlign w:val="center"/>
          </w:tcPr>
          <w:p>
            <w:pPr>
              <w:pStyle w:val="单元格样式4"/>
            </w:pPr>
            <w:r>
              <w:t xml:space="preserve">19074.33</w:t>
            </w:r>
          </w:p>
        </w:tc>
        <w:tc>
          <w:tcPr>
            <w:tcW w:w="1134" w:type="dxa"/>
            <w:vAlign w:val="center"/>
          </w:tcPr>
          <w:p>
            <w:pPr>
              <w:pStyle w:val="单元格样式4"/>
            </w:pPr>
            <w:r>
              <w:t xml:space="preserve">19074.33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335.45</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r>
              <w:t xml:space="preserve">8309.79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r>
              <w:t xml:space="preserve">80.28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2240799</w:t>
            </w:r>
          </w:p>
        </w:tc>
        <w:tc>
          <w:tcPr>
            <w:tcW w:w="1559" w:type="dxa"/>
            <w:vAlign w:val="center"/>
          </w:tcPr>
          <w:p>
            <w:pPr>
              <w:pStyle w:val="单元格样式2"/>
            </w:pPr>
            <w:r>
              <w:t xml:space="preserve">其他自然灾害救灾及恢复重建支出</w:t>
            </w:r>
          </w:p>
        </w:tc>
        <w:tc>
          <w:tcPr>
            <w:tcW w:w="1134" w:type="dxa"/>
            <w:vAlign w:val="center"/>
          </w:tcPr>
          <w:p>
            <w:pPr>
              <w:pStyle w:val="单元格样式4"/>
            </w:pPr>
            <w:r>
              <w:t xml:space="preserve">750.00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750.00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2792.96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2792.96</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43163.85</w:t>
            </w:r>
          </w:p>
        </w:tc>
        <w:tc>
          <w:tcPr>
            <w:tcW w:w="1361" w:type="dxa"/>
            <w:vAlign w:val="center"/>
          </w:tcPr>
          <w:p>
            <w:pPr>
              <w:pStyle w:val="单元格样式7"/>
            </w:pPr>
            <w:r>
              <w:t xml:space="preserve">5504.90</w:t>
            </w:r>
          </w:p>
        </w:tc>
        <w:tc>
          <w:tcPr>
            <w:tcW w:w="1361" w:type="dxa"/>
            <w:vAlign w:val="center"/>
          </w:tcPr>
          <w:p>
            <w:pPr>
              <w:pStyle w:val="单元格样式7"/>
            </w:pPr>
            <w:r>
              <w:t xml:space="preserve">37658.95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200.98</w:t>
            </w:r>
          </w:p>
        </w:tc>
        <w:tc>
          <w:tcPr>
            <w:tcW w:w="1361" w:type="dxa"/>
            <w:vAlign w:val="center"/>
          </w:tcPr>
          <w:p>
            <w:pPr>
              <w:pStyle w:val="单元格样式4"/>
            </w:pPr>
            <w:r>
              <w:t xml:space="preserve">200.98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195.20</w:t>
            </w:r>
          </w:p>
        </w:tc>
        <w:tc>
          <w:tcPr>
            <w:tcW w:w="1361" w:type="dxa"/>
            <w:vAlign w:val="center"/>
          </w:tcPr>
          <w:p>
            <w:pPr>
              <w:pStyle w:val="单元格样式4"/>
            </w:pPr>
            <w:r>
              <w:t xml:space="preserve">195.20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39.08</w:t>
            </w:r>
          </w:p>
        </w:tc>
        <w:tc>
          <w:tcPr>
            <w:tcW w:w="1361" w:type="dxa"/>
            <w:vAlign w:val="center"/>
          </w:tcPr>
          <w:p>
            <w:pPr>
              <w:pStyle w:val="单元格样式4"/>
            </w:pPr>
            <w:r>
              <w:t xml:space="preserve">39.08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103.60</w:t>
            </w:r>
          </w:p>
        </w:tc>
        <w:tc>
          <w:tcPr>
            <w:tcW w:w="1361" w:type="dxa"/>
            <w:vAlign w:val="center"/>
          </w:tcPr>
          <w:p>
            <w:pPr>
              <w:pStyle w:val="单元格样式4"/>
            </w:pPr>
            <w:r>
              <w:t xml:space="preserve">103.60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52.52</w:t>
            </w:r>
          </w:p>
        </w:tc>
        <w:tc>
          <w:tcPr>
            <w:tcW w:w="1361" w:type="dxa"/>
            <w:vAlign w:val="center"/>
          </w:tcPr>
          <w:p>
            <w:pPr>
              <w:pStyle w:val="单元格样式4"/>
            </w:pPr>
            <w:r>
              <w:t xml:space="preserve">52.52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5.78</w:t>
            </w:r>
          </w:p>
        </w:tc>
        <w:tc>
          <w:tcPr>
            <w:tcW w:w="1361" w:type="dxa"/>
            <w:vAlign w:val="center"/>
          </w:tcPr>
          <w:p>
            <w:pPr>
              <w:pStyle w:val="单元格样式4"/>
            </w:pPr>
            <w:r>
              <w:t xml:space="preserve">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5.78</w:t>
            </w:r>
          </w:p>
        </w:tc>
        <w:tc>
          <w:tcPr>
            <w:tcW w:w="1361" w:type="dxa"/>
            <w:vAlign w:val="center"/>
          </w:tcPr>
          <w:p>
            <w:pPr>
              <w:pStyle w:val="单元格样式4"/>
            </w:pPr>
            <w:r>
              <w:t xml:space="preserve">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r>
              <w:t xml:space="preserve">5396.43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2596.43</w:t>
            </w:r>
          </w:p>
        </w:tc>
        <w:tc>
          <w:tcPr>
            <w:tcW w:w="1361" w:type="dxa"/>
            <w:vAlign w:val="center"/>
          </w:tcPr>
          <w:p>
            <w:pPr>
              <w:pStyle w:val="单元格样式4"/>
            </w:pPr>
          </w:p>
        </w:tc>
        <w:tc>
          <w:tcPr>
            <w:tcW w:w="1361" w:type="dxa"/>
            <w:vAlign w:val="center"/>
          </w:tcPr>
          <w:p>
            <w:pPr>
              <w:pStyle w:val="单元格样式4"/>
            </w:pPr>
            <w:r>
              <w:t xml:space="preserve">2596.43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2110302</w:t>
            </w:r>
          </w:p>
        </w:tc>
        <w:tc>
          <w:tcPr>
            <w:tcW w:w="4535" w:type="dxa"/>
            <w:vAlign w:val="center"/>
          </w:tcPr>
          <w:p>
            <w:pPr>
              <w:pStyle w:val="单元格样式2"/>
            </w:pPr>
            <w:r>
              <w:t xml:space="preserve">水体</w:t>
            </w:r>
          </w:p>
        </w:tc>
        <w:tc>
          <w:tcPr>
            <w:tcW w:w="1361" w:type="dxa"/>
            <w:vAlign w:val="center"/>
          </w:tcPr>
          <w:p>
            <w:pPr>
              <w:pStyle w:val="单元格样式4"/>
            </w:pPr>
            <w:r>
              <w:t xml:space="preserve">2800.00</w:t>
            </w:r>
          </w:p>
        </w:tc>
        <w:tc>
          <w:tcPr>
            <w:tcW w:w="1361" w:type="dxa"/>
            <w:vAlign w:val="center"/>
          </w:tcPr>
          <w:p>
            <w:pPr>
              <w:pStyle w:val="单元格样式4"/>
            </w:pPr>
          </w:p>
        </w:tc>
        <w:tc>
          <w:tcPr>
            <w:tcW w:w="1361" w:type="dxa"/>
            <w:vAlign w:val="center"/>
          </w:tcPr>
          <w:p>
            <w:pPr>
              <w:pStyle w:val="单元格样式4"/>
            </w:pPr>
            <w:r>
              <w:t xml:space="preserve">2800.00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33897.50</w:t>
            </w:r>
          </w:p>
        </w:tc>
        <w:tc>
          <w:tcPr>
            <w:tcW w:w="1361" w:type="dxa"/>
            <w:vAlign w:val="center"/>
          </w:tcPr>
          <w:p>
            <w:pPr>
              <w:pStyle w:val="单元格样式4"/>
            </w:pPr>
            <w:r>
              <w:t xml:space="preserve">5177.94</w:t>
            </w:r>
          </w:p>
        </w:tc>
        <w:tc>
          <w:tcPr>
            <w:tcW w:w="1361" w:type="dxa"/>
            <w:vAlign w:val="center"/>
          </w:tcPr>
          <w:p>
            <w:pPr>
              <w:pStyle w:val="单元格样式4"/>
            </w:pPr>
            <w:r>
              <w:t xml:space="preserve">28719.56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24587.72</w:t>
            </w:r>
          </w:p>
        </w:tc>
        <w:tc>
          <w:tcPr>
            <w:tcW w:w="1361" w:type="dxa"/>
            <w:vAlign w:val="center"/>
          </w:tcPr>
          <w:p>
            <w:pPr>
              <w:pStyle w:val="单元格样式4"/>
            </w:pPr>
            <w:r>
              <w:t xml:space="preserve">5177.94</w:t>
            </w: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5177.94</w:t>
            </w:r>
          </w:p>
        </w:tc>
        <w:tc>
          <w:tcPr>
            <w:tcW w:w="1361" w:type="dxa"/>
            <w:vAlign w:val="center"/>
          </w:tcPr>
          <w:p>
            <w:pPr>
              <w:pStyle w:val="单元格样式4"/>
            </w:pPr>
            <w:r>
              <w:t xml:space="preserve">5177.94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r>
              <w:t xml:space="preserve">19409.78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r>
              <w:t xml:space="preserve">8309.79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80.28</w:t>
            </w:r>
          </w:p>
        </w:tc>
        <w:tc>
          <w:tcPr>
            <w:tcW w:w="1361" w:type="dxa"/>
            <w:vAlign w:val="center"/>
          </w:tcPr>
          <w:p>
            <w:pPr>
              <w:pStyle w:val="单元格样式4"/>
            </w:pPr>
            <w:r>
              <w:t xml:space="preserve">80.28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80.28</w:t>
            </w:r>
          </w:p>
        </w:tc>
        <w:tc>
          <w:tcPr>
            <w:tcW w:w="1361" w:type="dxa"/>
            <w:vAlign w:val="center"/>
          </w:tcPr>
          <w:p>
            <w:pPr>
              <w:pStyle w:val="单元格样式4"/>
            </w:pPr>
            <w:r>
              <w:t xml:space="preserve">80.28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80.28</w:t>
            </w:r>
          </w:p>
        </w:tc>
        <w:tc>
          <w:tcPr>
            <w:tcW w:w="1361" w:type="dxa"/>
            <w:vAlign w:val="center"/>
          </w:tcPr>
          <w:p>
            <w:pPr>
              <w:pStyle w:val="单元格样式4"/>
            </w:pPr>
            <w:r>
              <w:t xml:space="preserve">80.28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r>
              <w:t xml:space="preserve">750.00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r>
              <w:t xml:space="preserve">2792.96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37737.02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200.98</w:t>
            </w:r>
          </w:p>
        </w:tc>
        <w:tc>
          <w:tcPr>
            <w:tcW w:w="1474" w:type="dxa"/>
            <w:vAlign w:val="center"/>
          </w:tcPr>
          <w:p>
            <w:pPr>
              <w:pStyle w:val="单元格样式4"/>
            </w:pPr>
            <w:r>
              <w:t xml:space="preserve">200.98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45.70</w:t>
            </w:r>
          </w:p>
        </w:tc>
        <w:tc>
          <w:tcPr>
            <w:tcW w:w="1474" w:type="dxa"/>
            <w:vAlign w:val="center"/>
          </w:tcPr>
          <w:p>
            <w:pPr>
              <w:pStyle w:val="单元格样式4"/>
            </w:pPr>
            <w:r>
              <w:t xml:space="preserve">45.70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5396.43</w:t>
            </w:r>
          </w:p>
        </w:tc>
        <w:tc>
          <w:tcPr>
            <w:tcW w:w="1474" w:type="dxa"/>
            <w:vAlign w:val="center"/>
          </w:tcPr>
          <w:p>
            <w:pPr>
              <w:pStyle w:val="单元格样式4"/>
            </w:pPr>
            <w:r>
              <w:t xml:space="preserve">5396.43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33897.50</w:t>
            </w:r>
          </w:p>
        </w:tc>
        <w:tc>
          <w:tcPr>
            <w:tcW w:w="1474" w:type="dxa"/>
            <w:vAlign w:val="center"/>
          </w:tcPr>
          <w:p>
            <w:pPr>
              <w:pStyle w:val="单元格样式4"/>
            </w:pPr>
            <w:r>
              <w:t xml:space="preserve">32897.50</w:t>
            </w:r>
          </w:p>
        </w:tc>
        <w:tc>
          <w:tcPr>
            <w:tcW w:w="1474" w:type="dxa"/>
            <w:vAlign w:val="center"/>
          </w:tcPr>
          <w:p>
            <w:pPr>
              <w:pStyle w:val="单元格样式4"/>
            </w:pPr>
            <w:r>
              <w:t xml:space="preserve">1000.00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80.28</w:t>
            </w:r>
          </w:p>
        </w:tc>
        <w:tc>
          <w:tcPr>
            <w:tcW w:w="1474" w:type="dxa"/>
            <w:vAlign w:val="center"/>
          </w:tcPr>
          <w:p>
            <w:pPr>
              <w:pStyle w:val="单元格样式4"/>
            </w:pPr>
            <w:r>
              <w:t xml:space="preserve">80.28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750.00</w:t>
            </w:r>
          </w:p>
        </w:tc>
        <w:tc>
          <w:tcPr>
            <w:tcW w:w="1474" w:type="dxa"/>
            <w:vAlign w:val="center"/>
          </w:tcPr>
          <w:p>
            <w:pPr>
              <w:pStyle w:val="单元格样式4"/>
            </w:pPr>
            <w:r>
              <w:t xml:space="preserve">750.00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2792.96</w:t>
            </w:r>
          </w:p>
        </w:tc>
        <w:tc>
          <w:tcPr>
            <w:tcW w:w="1474" w:type="dxa"/>
            <w:vAlign w:val="center"/>
          </w:tcPr>
          <w:p>
            <w:pPr>
              <w:pStyle w:val="单元格样式4"/>
            </w:pPr>
          </w:p>
        </w:tc>
        <w:tc>
          <w:tcPr>
            <w:tcW w:w="1474" w:type="dxa"/>
            <w:vAlign w:val="center"/>
          </w:tcPr>
          <w:p>
            <w:pPr>
              <w:pStyle w:val="单元格样式4"/>
            </w:pPr>
            <w:r>
              <w:t xml:space="preserve">2792.96</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38737.02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43163.85</w:t>
            </w:r>
          </w:p>
        </w:tc>
        <w:tc>
          <w:tcPr>
            <w:tcW w:w="1474" w:type="dxa"/>
            <w:vAlign w:val="center"/>
          </w:tcPr>
          <w:p>
            <w:pPr>
              <w:pStyle w:val="单元格样式7"/>
            </w:pPr>
            <w:r>
              <w:t xml:space="preserve">39370.90</w:t>
            </w:r>
          </w:p>
        </w:tc>
        <w:tc>
          <w:tcPr>
            <w:tcW w:w="1474" w:type="dxa"/>
            <w:vAlign w:val="center"/>
          </w:tcPr>
          <w:p>
            <w:pPr>
              <w:pStyle w:val="单元格样式7"/>
            </w:pPr>
            <w:r>
              <w:t xml:space="preserve">3792.96</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4426.84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1633.88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2792.96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43163.85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43163.85</w:t>
            </w:r>
          </w:p>
        </w:tc>
        <w:tc>
          <w:tcPr>
            <w:tcW w:w="1474" w:type="dxa"/>
            <w:vAlign w:val="center"/>
          </w:tcPr>
          <w:p>
            <w:pPr>
              <w:pStyle w:val="单元格样式7"/>
            </w:pPr>
            <w:r>
              <w:t xml:space="preserve">39370.90</w:t>
            </w:r>
          </w:p>
        </w:tc>
        <w:tc>
          <w:tcPr>
            <w:tcW w:w="1474" w:type="dxa"/>
            <w:vAlign w:val="center"/>
          </w:tcPr>
          <w:p>
            <w:pPr>
              <w:pStyle w:val="单元格样式7"/>
            </w:pPr>
            <w:r>
              <w:t xml:space="preserve">3792.96</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39370.90</w:t>
            </w:r>
          </w:p>
        </w:tc>
        <w:tc>
          <w:tcPr>
            <w:tcW w:w="2551" w:type="dxa"/>
            <w:vAlign w:val="center"/>
          </w:tcPr>
          <w:p>
            <w:pPr>
              <w:pStyle w:val="单元格样式7"/>
            </w:pPr>
            <w:r>
              <w:t xml:space="preserve">5504.90</w:t>
            </w:r>
          </w:p>
        </w:tc>
        <w:tc>
          <w:tcPr>
            <w:tcW w:w="2551" w:type="dxa"/>
            <w:vAlign w:val="center"/>
          </w:tcPr>
          <w:p>
            <w:pPr>
              <w:pStyle w:val="单元格样式7"/>
            </w:pPr>
            <w:r>
              <w:t xml:space="preserve">33866.00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200.98</w:t>
            </w:r>
          </w:p>
        </w:tc>
        <w:tc>
          <w:tcPr>
            <w:tcW w:w="2551" w:type="dxa"/>
            <w:vAlign w:val="center"/>
          </w:tcPr>
          <w:p>
            <w:pPr>
              <w:pStyle w:val="单元格样式4"/>
            </w:pPr>
            <w:r>
              <w:t xml:space="preserve">200.98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195.20</w:t>
            </w:r>
          </w:p>
        </w:tc>
        <w:tc>
          <w:tcPr>
            <w:tcW w:w="2551" w:type="dxa"/>
            <w:vAlign w:val="center"/>
          </w:tcPr>
          <w:p>
            <w:pPr>
              <w:pStyle w:val="单元格样式4"/>
            </w:pPr>
            <w:r>
              <w:t xml:space="preserve">195.20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39.08</w:t>
            </w:r>
          </w:p>
        </w:tc>
        <w:tc>
          <w:tcPr>
            <w:tcW w:w="2551" w:type="dxa"/>
            <w:vAlign w:val="center"/>
          </w:tcPr>
          <w:p>
            <w:pPr>
              <w:pStyle w:val="单元格样式4"/>
            </w:pPr>
            <w:r>
              <w:t xml:space="preserve">39.08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103.60</w:t>
            </w:r>
          </w:p>
        </w:tc>
        <w:tc>
          <w:tcPr>
            <w:tcW w:w="2551" w:type="dxa"/>
            <w:vAlign w:val="center"/>
          </w:tcPr>
          <w:p>
            <w:pPr>
              <w:pStyle w:val="单元格样式4"/>
            </w:pPr>
            <w:r>
              <w:t xml:space="preserve">103.60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52.52</w:t>
            </w:r>
          </w:p>
        </w:tc>
        <w:tc>
          <w:tcPr>
            <w:tcW w:w="2551" w:type="dxa"/>
            <w:vAlign w:val="center"/>
          </w:tcPr>
          <w:p>
            <w:pPr>
              <w:pStyle w:val="单元格样式4"/>
            </w:pPr>
            <w:r>
              <w:t xml:space="preserve">52.52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5.78</w:t>
            </w:r>
          </w:p>
        </w:tc>
        <w:tc>
          <w:tcPr>
            <w:tcW w:w="2551" w:type="dxa"/>
            <w:vAlign w:val="center"/>
          </w:tcPr>
          <w:p>
            <w:pPr>
              <w:pStyle w:val="单元格样式4"/>
            </w:pPr>
            <w:r>
              <w:t xml:space="preserve">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5.78</w:t>
            </w:r>
          </w:p>
        </w:tc>
        <w:tc>
          <w:tcPr>
            <w:tcW w:w="2551" w:type="dxa"/>
            <w:vAlign w:val="center"/>
          </w:tcPr>
          <w:p>
            <w:pPr>
              <w:pStyle w:val="单元格样式4"/>
            </w:pPr>
            <w:r>
              <w:t xml:space="preserve">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5396.43</w:t>
            </w:r>
          </w:p>
        </w:tc>
        <w:tc>
          <w:tcPr>
            <w:tcW w:w="2551" w:type="dxa"/>
            <w:vAlign w:val="center"/>
          </w:tcPr>
          <w:p>
            <w:pPr>
              <w:pStyle w:val="单元格样式4"/>
            </w:pPr>
          </w:p>
        </w:tc>
        <w:tc>
          <w:tcPr>
            <w:tcW w:w="2551"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5396.43</w:t>
            </w:r>
          </w:p>
        </w:tc>
        <w:tc>
          <w:tcPr>
            <w:tcW w:w="2551" w:type="dxa"/>
            <w:vAlign w:val="center"/>
          </w:tcPr>
          <w:p>
            <w:pPr>
              <w:pStyle w:val="单元格样式4"/>
            </w:pPr>
          </w:p>
        </w:tc>
        <w:tc>
          <w:tcPr>
            <w:tcW w:w="2551" w:type="dxa"/>
            <w:vAlign w:val="center"/>
          </w:tcPr>
          <w:p>
            <w:pPr>
              <w:pStyle w:val="单元格样式4"/>
            </w:pPr>
            <w:r>
              <w:t xml:space="preserve">5396.43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2596.43</w:t>
            </w:r>
          </w:p>
        </w:tc>
        <w:tc>
          <w:tcPr>
            <w:tcW w:w="2551" w:type="dxa"/>
            <w:vAlign w:val="center"/>
          </w:tcPr>
          <w:p>
            <w:pPr>
              <w:pStyle w:val="单元格样式4"/>
            </w:pPr>
          </w:p>
        </w:tc>
        <w:tc>
          <w:tcPr>
            <w:tcW w:w="2551" w:type="dxa"/>
            <w:vAlign w:val="center"/>
          </w:tcPr>
          <w:p>
            <w:pPr>
              <w:pStyle w:val="单元格样式4"/>
            </w:pPr>
            <w:r>
              <w:t xml:space="preserve">2596.43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2110302</w:t>
            </w:r>
          </w:p>
        </w:tc>
        <w:tc>
          <w:tcPr>
            <w:tcW w:w="4535" w:type="dxa"/>
            <w:vAlign w:val="center"/>
          </w:tcPr>
          <w:p>
            <w:pPr>
              <w:pStyle w:val="单元格样式2"/>
            </w:pPr>
            <w:r>
              <w:t xml:space="preserve">水体</w:t>
            </w:r>
          </w:p>
        </w:tc>
        <w:tc>
          <w:tcPr>
            <w:tcW w:w="2551" w:type="dxa"/>
            <w:vAlign w:val="center"/>
          </w:tcPr>
          <w:p>
            <w:pPr>
              <w:pStyle w:val="单元格样式4"/>
            </w:pPr>
            <w:r>
              <w:t xml:space="preserve">2800.00</w:t>
            </w:r>
          </w:p>
        </w:tc>
        <w:tc>
          <w:tcPr>
            <w:tcW w:w="2551" w:type="dxa"/>
            <w:vAlign w:val="center"/>
          </w:tcPr>
          <w:p>
            <w:pPr>
              <w:pStyle w:val="单元格样式4"/>
            </w:pPr>
          </w:p>
        </w:tc>
        <w:tc>
          <w:tcPr>
            <w:tcW w:w="2551" w:type="dxa"/>
            <w:vAlign w:val="center"/>
          </w:tcPr>
          <w:p>
            <w:pPr>
              <w:pStyle w:val="单元格样式4"/>
            </w:pPr>
            <w:r>
              <w:t xml:space="preserve">2800.00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32897.50</w:t>
            </w:r>
          </w:p>
        </w:tc>
        <w:tc>
          <w:tcPr>
            <w:tcW w:w="2551" w:type="dxa"/>
            <w:vAlign w:val="center"/>
          </w:tcPr>
          <w:p>
            <w:pPr>
              <w:pStyle w:val="单元格样式4"/>
            </w:pPr>
            <w:r>
              <w:t xml:space="preserve">5177.94</w:t>
            </w:r>
          </w:p>
        </w:tc>
        <w:tc>
          <w:tcPr>
            <w:tcW w:w="2551" w:type="dxa"/>
            <w:vAlign w:val="center"/>
          </w:tcPr>
          <w:p>
            <w:pPr>
              <w:pStyle w:val="单元格样式4"/>
            </w:pPr>
            <w:r>
              <w:t xml:space="preserve">27719.56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24587.72</w:t>
            </w:r>
          </w:p>
        </w:tc>
        <w:tc>
          <w:tcPr>
            <w:tcW w:w="2551" w:type="dxa"/>
            <w:vAlign w:val="center"/>
          </w:tcPr>
          <w:p>
            <w:pPr>
              <w:pStyle w:val="单元格样式4"/>
            </w:pPr>
            <w:r>
              <w:t xml:space="preserve">5177.94</w:t>
            </w:r>
          </w:p>
        </w:tc>
        <w:tc>
          <w:tcPr>
            <w:tcW w:w="2551" w:type="dxa"/>
            <w:vAlign w:val="center"/>
          </w:tcPr>
          <w:p>
            <w:pPr>
              <w:pStyle w:val="单元格样式4"/>
            </w:pPr>
            <w:r>
              <w:t xml:space="preserve">19409.78</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5177.94</w:t>
            </w:r>
          </w:p>
        </w:tc>
        <w:tc>
          <w:tcPr>
            <w:tcW w:w="2551" w:type="dxa"/>
            <w:vAlign w:val="center"/>
          </w:tcPr>
          <w:p>
            <w:pPr>
              <w:pStyle w:val="单元格样式4"/>
            </w:pPr>
            <w:r>
              <w:t xml:space="preserve">5177.94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2551" w:type="dxa"/>
            <w:vAlign w:val="center"/>
          </w:tcPr>
          <w:p>
            <w:pPr>
              <w:pStyle w:val="单元格样式4"/>
            </w:pPr>
            <w:r>
              <w:t xml:space="preserve">19409.78</w:t>
            </w:r>
          </w:p>
        </w:tc>
        <w:tc>
          <w:tcPr>
            <w:tcW w:w="2551" w:type="dxa"/>
            <w:vAlign w:val="center"/>
          </w:tcPr>
          <w:p>
            <w:pPr>
              <w:pStyle w:val="单元格样式4"/>
            </w:pPr>
          </w:p>
        </w:tc>
        <w:tc>
          <w:tcPr>
            <w:tcW w:w="2551" w:type="dxa"/>
            <w:vAlign w:val="center"/>
          </w:tcPr>
          <w:p>
            <w:pPr>
              <w:pStyle w:val="单元格样式4"/>
            </w:pPr>
            <w:r>
              <w:t xml:space="preserve">19409.78</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8309.79</w:t>
            </w:r>
          </w:p>
        </w:tc>
        <w:tc>
          <w:tcPr>
            <w:tcW w:w="2551" w:type="dxa"/>
            <w:vAlign w:val="center"/>
          </w:tcPr>
          <w:p>
            <w:pPr>
              <w:pStyle w:val="单元格样式4"/>
            </w:pPr>
          </w:p>
        </w:tc>
        <w:tc>
          <w:tcPr>
            <w:tcW w:w="2551" w:type="dxa"/>
            <w:vAlign w:val="center"/>
          </w:tcPr>
          <w:p>
            <w:pPr>
              <w:pStyle w:val="单元格样式4"/>
            </w:pPr>
            <w:r>
              <w:t xml:space="preserve">8309.79</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8309.79</w:t>
            </w:r>
          </w:p>
        </w:tc>
        <w:tc>
          <w:tcPr>
            <w:tcW w:w="2551" w:type="dxa"/>
            <w:vAlign w:val="center"/>
          </w:tcPr>
          <w:p>
            <w:pPr>
              <w:pStyle w:val="单元格样式4"/>
            </w:pPr>
          </w:p>
        </w:tc>
        <w:tc>
          <w:tcPr>
            <w:tcW w:w="2551" w:type="dxa"/>
            <w:vAlign w:val="center"/>
          </w:tcPr>
          <w:p>
            <w:pPr>
              <w:pStyle w:val="单元格样式4"/>
            </w:pPr>
            <w:r>
              <w:t xml:space="preserve">8309.79</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80.28</w:t>
            </w:r>
          </w:p>
        </w:tc>
        <w:tc>
          <w:tcPr>
            <w:tcW w:w="2551" w:type="dxa"/>
            <w:vAlign w:val="center"/>
          </w:tcPr>
          <w:p>
            <w:pPr>
              <w:pStyle w:val="单元格样式4"/>
            </w:pPr>
            <w:r>
              <w:t xml:space="preserve">80.28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80.28</w:t>
            </w:r>
          </w:p>
        </w:tc>
        <w:tc>
          <w:tcPr>
            <w:tcW w:w="2551" w:type="dxa"/>
            <w:vAlign w:val="center"/>
          </w:tcPr>
          <w:p>
            <w:pPr>
              <w:pStyle w:val="单元格样式4"/>
            </w:pPr>
            <w:r>
              <w:t xml:space="preserve">80.28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80.28</w:t>
            </w:r>
          </w:p>
        </w:tc>
        <w:tc>
          <w:tcPr>
            <w:tcW w:w="2551" w:type="dxa"/>
            <w:vAlign w:val="center"/>
          </w:tcPr>
          <w:p>
            <w:pPr>
              <w:pStyle w:val="单元格样式4"/>
            </w:pPr>
            <w:r>
              <w:t xml:space="preserve">80.28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2551" w:type="dxa"/>
            <w:vAlign w:val="center"/>
          </w:tcPr>
          <w:p>
            <w:pPr>
              <w:pStyle w:val="单元格样式4"/>
            </w:pPr>
            <w:r>
              <w:t xml:space="preserve">750.00</w:t>
            </w:r>
          </w:p>
        </w:tc>
        <w:tc>
          <w:tcPr>
            <w:tcW w:w="2551" w:type="dxa"/>
            <w:vAlign w:val="center"/>
          </w:tcPr>
          <w:p>
            <w:pPr>
              <w:pStyle w:val="单元格样式4"/>
            </w:pPr>
          </w:p>
        </w:tc>
        <w:tc>
          <w:tcPr>
            <w:tcW w:w="2551" w:type="dxa"/>
            <w:vAlign w:val="center"/>
          </w:tcPr>
          <w:p>
            <w:pPr>
              <w:pStyle w:val="单元格样式4"/>
            </w:pPr>
            <w:r>
              <w:t xml:space="preserve">750.00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5504.90</w:t>
            </w:r>
          </w:p>
        </w:tc>
        <w:tc>
          <w:tcPr>
            <w:tcW w:w="2551" w:type="dxa"/>
            <w:vAlign w:val="center"/>
          </w:tcPr>
          <w:p>
            <w:pPr>
              <w:pStyle w:val="单元格样式7"/>
            </w:pPr>
            <w:r>
              <w:t xml:space="preserve">5455.62</w:t>
            </w:r>
          </w:p>
        </w:tc>
        <w:tc>
          <w:tcPr>
            <w:tcW w:w="2551" w:type="dxa"/>
            <w:vAlign w:val="center"/>
          </w:tcPr>
          <w:p>
            <w:pPr>
              <w:pStyle w:val="单元格样式7"/>
            </w:pPr>
            <w:r>
              <w:t xml:space="preserve">49.28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5416.54</w:t>
            </w:r>
          </w:p>
        </w:tc>
        <w:tc>
          <w:tcPr>
            <w:tcW w:w="2551" w:type="dxa"/>
            <w:vAlign w:val="center"/>
          </w:tcPr>
          <w:p>
            <w:pPr>
              <w:pStyle w:val="单元格样式4"/>
            </w:pPr>
            <w:r>
              <w:t xml:space="preserve">5416.54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330.59</w:t>
            </w:r>
          </w:p>
        </w:tc>
        <w:tc>
          <w:tcPr>
            <w:tcW w:w="2551" w:type="dxa"/>
            <w:vAlign w:val="center"/>
          </w:tcPr>
          <w:p>
            <w:pPr>
              <w:pStyle w:val="单元格样式4"/>
            </w:pPr>
            <w:r>
              <w:t xml:space="preserve">330.59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70.80</w:t>
            </w:r>
          </w:p>
        </w:tc>
        <w:tc>
          <w:tcPr>
            <w:tcW w:w="2551" w:type="dxa"/>
            <w:vAlign w:val="center"/>
          </w:tcPr>
          <w:p>
            <w:pPr>
              <w:pStyle w:val="单元格样式4"/>
            </w:pPr>
            <w:r>
              <w:t xml:space="preserve">70.80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32.99</w:t>
            </w:r>
          </w:p>
        </w:tc>
        <w:tc>
          <w:tcPr>
            <w:tcW w:w="2551" w:type="dxa"/>
            <w:vAlign w:val="center"/>
          </w:tcPr>
          <w:p>
            <w:pPr>
              <w:pStyle w:val="单元格样式4"/>
            </w:pPr>
            <w:r>
              <w:t xml:space="preserve">32.99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209.76</w:t>
            </w:r>
          </w:p>
        </w:tc>
        <w:tc>
          <w:tcPr>
            <w:tcW w:w="2551" w:type="dxa"/>
            <w:vAlign w:val="center"/>
          </w:tcPr>
          <w:p>
            <w:pPr>
              <w:pStyle w:val="单元格样式4"/>
            </w:pPr>
            <w:r>
              <w:t xml:space="preserve">209.76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103.60</w:t>
            </w:r>
          </w:p>
        </w:tc>
        <w:tc>
          <w:tcPr>
            <w:tcW w:w="2551" w:type="dxa"/>
            <w:vAlign w:val="center"/>
          </w:tcPr>
          <w:p>
            <w:pPr>
              <w:pStyle w:val="单元格样式4"/>
            </w:pPr>
            <w:r>
              <w:t xml:space="preserve">103.60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52.52</w:t>
            </w:r>
          </w:p>
        </w:tc>
        <w:tc>
          <w:tcPr>
            <w:tcW w:w="2551" w:type="dxa"/>
            <w:vAlign w:val="center"/>
          </w:tcPr>
          <w:p>
            <w:pPr>
              <w:pStyle w:val="单元格样式4"/>
            </w:pPr>
            <w:r>
              <w:t xml:space="preserve">52.52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5.78</w:t>
            </w:r>
          </w:p>
        </w:tc>
        <w:tc>
          <w:tcPr>
            <w:tcW w:w="2551" w:type="dxa"/>
            <w:vAlign w:val="center"/>
          </w:tcPr>
          <w:p>
            <w:pPr>
              <w:pStyle w:val="单元格样式4"/>
            </w:pPr>
            <w:r>
              <w:t xml:space="preserve">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80.28</w:t>
            </w:r>
          </w:p>
        </w:tc>
        <w:tc>
          <w:tcPr>
            <w:tcW w:w="2551" w:type="dxa"/>
            <w:vAlign w:val="center"/>
          </w:tcPr>
          <w:p>
            <w:pPr>
              <w:pStyle w:val="单元格样式4"/>
            </w:pPr>
            <w:r>
              <w:t xml:space="preserve">80.28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4484.52</w:t>
            </w:r>
          </w:p>
        </w:tc>
        <w:tc>
          <w:tcPr>
            <w:tcW w:w="2551" w:type="dxa"/>
            <w:vAlign w:val="center"/>
          </w:tcPr>
          <w:p>
            <w:pPr>
              <w:pStyle w:val="单元格样式4"/>
            </w:pPr>
            <w:r>
              <w:t xml:space="preserve">4484.52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49.28</w:t>
            </w:r>
          </w:p>
        </w:tc>
        <w:tc>
          <w:tcPr>
            <w:tcW w:w="2551" w:type="dxa"/>
            <w:vAlign w:val="center"/>
          </w:tcPr>
          <w:p>
            <w:pPr>
              <w:pStyle w:val="单元格样式4"/>
            </w:pPr>
          </w:p>
        </w:tc>
        <w:tc>
          <w:tcPr>
            <w:tcW w:w="2551" w:type="dxa"/>
            <w:vAlign w:val="center"/>
          </w:tcPr>
          <w:p>
            <w:pPr>
              <w:pStyle w:val="单元格样式4"/>
            </w:pPr>
            <w:r>
              <w:t xml:space="preserve">49.28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5.98</w:t>
            </w:r>
          </w:p>
        </w:tc>
        <w:tc>
          <w:tcPr>
            <w:tcW w:w="2551" w:type="dxa"/>
            <w:vAlign w:val="center"/>
          </w:tcPr>
          <w:p>
            <w:pPr>
              <w:pStyle w:val="单元格样式4"/>
            </w:pPr>
          </w:p>
        </w:tc>
        <w:tc>
          <w:tcPr>
            <w:tcW w:w="2551" w:type="dxa"/>
            <w:vAlign w:val="center"/>
          </w:tcPr>
          <w:p>
            <w:pPr>
              <w:pStyle w:val="单元格样式4"/>
            </w:pPr>
            <w:r>
              <w:t xml:space="preserve">5.98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6.78</w:t>
            </w:r>
          </w:p>
        </w:tc>
        <w:tc>
          <w:tcPr>
            <w:tcW w:w="2551" w:type="dxa"/>
            <w:vAlign w:val="center"/>
          </w:tcPr>
          <w:p>
            <w:pPr>
              <w:pStyle w:val="单元格样式4"/>
            </w:pPr>
          </w:p>
        </w:tc>
        <w:tc>
          <w:tcPr>
            <w:tcW w:w="2551" w:type="dxa"/>
            <w:vAlign w:val="center"/>
          </w:tcPr>
          <w:p>
            <w:pPr>
              <w:pStyle w:val="单元格样式4"/>
            </w:pPr>
            <w:r>
              <w:t xml:space="preserve">6.78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4.44</w:t>
            </w:r>
          </w:p>
        </w:tc>
        <w:tc>
          <w:tcPr>
            <w:tcW w:w="2551" w:type="dxa"/>
            <w:vAlign w:val="center"/>
          </w:tcPr>
          <w:p>
            <w:pPr>
              <w:pStyle w:val="单元格样式4"/>
            </w:pPr>
          </w:p>
        </w:tc>
        <w:tc>
          <w:tcPr>
            <w:tcW w:w="2551" w:type="dxa"/>
            <w:vAlign w:val="center"/>
          </w:tcPr>
          <w:p>
            <w:pPr>
              <w:pStyle w:val="单元格样式4"/>
            </w:pPr>
            <w:r>
              <w:t xml:space="preserve">4.44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4.33</w:t>
            </w:r>
          </w:p>
        </w:tc>
        <w:tc>
          <w:tcPr>
            <w:tcW w:w="2551" w:type="dxa"/>
            <w:vAlign w:val="center"/>
          </w:tcPr>
          <w:p>
            <w:pPr>
              <w:pStyle w:val="单元格样式4"/>
            </w:pPr>
          </w:p>
        </w:tc>
        <w:tc>
          <w:tcPr>
            <w:tcW w:w="2551" w:type="dxa"/>
            <w:vAlign w:val="center"/>
          </w:tcPr>
          <w:p>
            <w:pPr>
              <w:pStyle w:val="单元格样式4"/>
            </w:pPr>
            <w:r>
              <w:t xml:space="preserve">4.33</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6.98</w:t>
            </w:r>
          </w:p>
        </w:tc>
        <w:tc>
          <w:tcPr>
            <w:tcW w:w="2551" w:type="dxa"/>
            <w:vAlign w:val="center"/>
          </w:tcPr>
          <w:p>
            <w:pPr>
              <w:pStyle w:val="单元格样式4"/>
            </w:pPr>
          </w:p>
        </w:tc>
        <w:tc>
          <w:tcPr>
            <w:tcW w:w="2551" w:type="dxa"/>
            <w:vAlign w:val="center"/>
          </w:tcPr>
          <w:p>
            <w:pPr>
              <w:pStyle w:val="单元格样式4"/>
            </w:pPr>
            <w:r>
              <w:t xml:space="preserve">6.98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8.70</w:t>
            </w:r>
          </w:p>
        </w:tc>
        <w:tc>
          <w:tcPr>
            <w:tcW w:w="2551" w:type="dxa"/>
            <w:vAlign w:val="center"/>
          </w:tcPr>
          <w:p>
            <w:pPr>
              <w:pStyle w:val="单元格样式4"/>
            </w:pPr>
          </w:p>
        </w:tc>
        <w:tc>
          <w:tcPr>
            <w:tcW w:w="2551" w:type="dxa"/>
            <w:vAlign w:val="center"/>
          </w:tcPr>
          <w:p>
            <w:pPr>
              <w:pStyle w:val="单元格样式4"/>
            </w:pPr>
            <w:r>
              <w:t xml:space="preserve">8.70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12.07</w:t>
            </w:r>
          </w:p>
        </w:tc>
        <w:tc>
          <w:tcPr>
            <w:tcW w:w="2551" w:type="dxa"/>
            <w:vAlign w:val="center"/>
          </w:tcPr>
          <w:p>
            <w:pPr>
              <w:pStyle w:val="单元格样式4"/>
            </w:pPr>
          </w:p>
        </w:tc>
        <w:tc>
          <w:tcPr>
            <w:tcW w:w="2551" w:type="dxa"/>
            <w:vAlign w:val="center"/>
          </w:tcPr>
          <w:p>
            <w:pPr>
              <w:pStyle w:val="单元格样式4"/>
            </w:pPr>
            <w:r>
              <w:t xml:space="preserve">12.07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39.08</w:t>
            </w:r>
          </w:p>
        </w:tc>
        <w:tc>
          <w:tcPr>
            <w:tcW w:w="2551" w:type="dxa"/>
            <w:vAlign w:val="center"/>
          </w:tcPr>
          <w:p>
            <w:pPr>
              <w:pStyle w:val="单元格样式4"/>
            </w:pPr>
            <w:r>
              <w:t xml:space="preserve">39.08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39.08</w:t>
            </w:r>
          </w:p>
        </w:tc>
        <w:tc>
          <w:tcPr>
            <w:tcW w:w="2551" w:type="dxa"/>
            <w:vAlign w:val="center"/>
          </w:tcPr>
          <w:p>
            <w:pPr>
              <w:pStyle w:val="单元格样式4"/>
            </w:pPr>
            <w:r>
              <w:t xml:space="preserve">39.08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3792.96</w:t>
            </w:r>
          </w:p>
        </w:tc>
        <w:tc>
          <w:tcPr>
            <w:tcW w:w="2551" w:type="dxa"/>
            <w:vAlign w:val="center"/>
          </w:tcPr>
          <w:p>
            <w:pPr>
              <w:pStyle w:val="单元格样式7"/>
            </w:pPr>
          </w:p>
        </w:tc>
        <w:tc>
          <w:tcPr>
            <w:tcW w:w="2551" w:type="dxa"/>
            <w:vAlign w:val="center"/>
          </w:tcPr>
          <w:p>
            <w:pPr>
              <w:pStyle w:val="单元格样式7"/>
            </w:pPr>
            <w:r>
              <w:t xml:space="preserve">3792.96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2792.96</w:t>
            </w:r>
          </w:p>
        </w:tc>
        <w:tc>
          <w:tcPr>
            <w:tcW w:w="2551" w:type="dxa"/>
            <w:vAlign w:val="center"/>
          </w:tcPr>
          <w:p>
            <w:pPr>
              <w:pStyle w:val="单元格样式4"/>
            </w:pPr>
          </w:p>
        </w:tc>
        <w:tc>
          <w:tcPr>
            <w:tcW w:w="2551" w:type="dxa"/>
            <w:vAlign w:val="center"/>
          </w:tcPr>
          <w:p>
            <w:pPr>
              <w:pStyle w:val="单元格样式4"/>
            </w:pPr>
            <w:r>
              <w:t xml:space="preserve">2792.96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6.98</w:t>
            </w:r>
          </w:p>
        </w:tc>
        <w:tc>
          <w:tcPr>
            <w:tcW w:w="2381" w:type="dxa"/>
            <w:vAlign w:val="center"/>
          </w:tcPr>
          <w:p>
            <w:pPr>
              <w:pStyle w:val="单元格样式7"/>
            </w:pPr>
            <w:r>
              <w:t xml:space="preserve">6.98</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6.98</w:t>
            </w:r>
          </w:p>
        </w:tc>
        <w:tc>
          <w:tcPr>
            <w:tcW w:w="2381" w:type="dxa"/>
            <w:vAlign w:val="center"/>
          </w:tcPr>
          <w:p>
            <w:pPr>
              <w:pStyle w:val="单元格样式4"/>
            </w:pPr>
            <w:r>
              <w:t xml:space="preserve">6.98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6.98</w:t>
            </w:r>
          </w:p>
        </w:tc>
        <w:tc>
          <w:tcPr>
            <w:tcW w:w="2381" w:type="dxa"/>
            <w:vAlign w:val="center"/>
          </w:tcPr>
          <w:p>
            <w:pPr>
              <w:pStyle w:val="单元格样式4"/>
            </w:pPr>
            <w:r>
              <w:t xml:space="preserve">6.98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新乐市城市管理综合行政执法局本级2026年单位预算信息公开情况说明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按照《中华人民共和国预算法》、《地方预决算公开操作规程》和《关于进一步推进预算公开工作的实施意见》规定，现将新乐市城市管理综合行政执法局本级2026年单位预算公开如下：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新乐市城市管理综合行政执法局部门职责：  （一）贯彻落实国家、省、石家庄市关于城市管理、园林绿化相关工作的方针政策和法律法规；执行有关地方性法规、政府规章草案和行业标准，拟定城市管理、园林绿化中长期发展规划和年度计划并组织实施。</w:t>
      </w:r>
    </w:p>
    <w:p>
      <w:pPr>
        <w:pStyle w:val="插入文本样式-插入单位职责文件"/>
      </w:pPr>
      <w:r>
        <w:t xml:space="preserve">（二）负责编制道路、桥梁、排水、照明设施的改造、整修计划并组织实施；负责城市排水管理工作及城市排水、中水的水质检测及监督管理；负责城市道路、桥梁维护管理；负责城市夜景照明维护管理工作；负责组织、协调、管理城区市政设施改造工作。</w:t>
      </w:r>
    </w:p>
    <w:p>
      <w:pPr>
        <w:pStyle w:val="插入文本样式-插入单位职责文件"/>
      </w:pPr>
      <w:r>
        <w:t xml:space="preserve">（三）负责制订城市市政基础设施日常管护作业标准和市容环境卫生质量标准并组织实施；负责对城市市政基础设施日常管理、市容环境卫生、行政执法等工作进行监督检查和考核评比；制订城市市政基础设施日常管护资金使用计划，并监督管理和组织实施。</w:t>
      </w:r>
    </w:p>
    <w:p>
      <w:pPr>
        <w:pStyle w:val="插入文本样式-插入单位职责文件"/>
      </w:pPr>
      <w:r>
        <w:t xml:space="preserve">（四）负责指导、协调、考核城市市政设施管理、市容环境卫生管理和城市管理综合执法工作；负责组织城市管理专项活动和重大执法活动。</w:t>
      </w:r>
    </w:p>
    <w:p>
      <w:pPr>
        <w:pStyle w:val="插入文本样式-插入单位职责文件"/>
      </w:pPr>
      <w:r>
        <w:t xml:space="preserve">（五）负责城市供水、节水、污水处理工作。</w:t>
      </w:r>
    </w:p>
    <w:p>
      <w:pPr>
        <w:pStyle w:val="插入文本样式-插入单位职责文件"/>
      </w:pPr>
      <w:r>
        <w:t xml:space="preserve">（六）负责建成区主要街道、公园、广场和有关防护林区的规划、设计、建设和管理；负责执行城市绿化“绿线”管制制度；负责伐移树木的初审、上报、监管工作；参与圃地、花木市场的规划、建设和管理。</w:t>
      </w:r>
    </w:p>
    <w:p>
      <w:pPr>
        <w:pStyle w:val="插入文本样式-插入单位职责文件"/>
      </w:pPr>
      <w:r>
        <w:t xml:space="preserve">（七）负责城区防汛工作。研究部署城区防汛工作，开展城区防汛宣传，提高全社会的防洪减灾意识，会同有关部门做好城区自然灾害应急处置工作。承担城区防汛指挥部日常工作。</w:t>
      </w:r>
    </w:p>
    <w:p>
      <w:pPr>
        <w:pStyle w:val="插入文本样式-插入单位职责文件"/>
      </w:pPr>
      <w:r>
        <w:t xml:space="preserve">（八）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插入文本样式-插入单位职责文件"/>
      </w:pPr>
      <w:r>
        <w:t xml:space="preserve">（九）负责协调、监督城区生活垃圾、建筑垃圾、餐厨垃圾、粪便垃圾垃圾无害化处理工作；参与城市开发和城市改造中有关环卫设施配套项目建设竣工验收。</w:t>
      </w:r>
    </w:p>
    <w:p>
      <w:pPr>
        <w:pStyle w:val="插入文本样式-插入单位职责文件"/>
      </w:pPr>
      <w:r>
        <w:t xml:space="preserve">（十）负责全市供热、燃气行业管理工作。指导各乡镇（街道）供热、燃气管理工作。</w:t>
      </w:r>
    </w:p>
    <w:p>
      <w:pPr>
        <w:pStyle w:val="插入文本样式-插入单位职责文件"/>
      </w:pPr>
      <w:r>
        <w:t xml:space="preserve">（十一）负责城区城市便道非机动车停放工作。</w:t>
      </w:r>
    </w:p>
    <w:p>
      <w:pPr>
        <w:pStyle w:val="插入文本样式-插入单位职责文件"/>
      </w:pPr>
      <w:r>
        <w:t xml:space="preserve">（十二）负责城区洗车行业的监督管理工作。</w:t>
      </w:r>
    </w:p>
    <w:p>
      <w:pPr>
        <w:pStyle w:val="插入文本样式-插入单位职责文件"/>
      </w:pPr>
      <w:r>
        <w:t xml:space="preserve">（十三）负责机关和所属单位的安全生产综合监督管理工作。</w:t>
      </w:r>
    </w:p>
    <w:p>
      <w:pPr>
        <w:pStyle w:val="插入文本样式-插入单位职责文件"/>
      </w:pPr>
      <w:r>
        <w:t xml:space="preserve">（十四）负责指导各乡镇（街道）容貌整治、环境卫生、市政基础设施日常管护、综合执法、垃圾处理、污水处理等工作。</w:t>
      </w:r>
    </w:p>
    <w:p>
      <w:pPr>
        <w:pStyle w:val="插入文本样式-插入单位职责文件"/>
      </w:pPr>
      <w:r>
        <w:t xml:space="preserve">（十五）会同有关部门，做好城市建设行业涉及本部门的相关专业规划的编制和实施工作。</w:t>
      </w:r>
    </w:p>
    <w:p>
      <w:pPr>
        <w:pStyle w:val="插入文本样式-插入单位职责文件"/>
      </w:pPr>
      <w:r>
        <w:t xml:space="preserve">（十六）实施与以下范围内法律法规规章规定的行政处罚权有关的行政强制措施：</w:t>
      </w:r>
    </w:p>
    <w:p>
      <w:pPr>
        <w:pStyle w:val="插入文本样式-插入单位职责文件"/>
      </w:pPr>
      <w:r>
        <w:t xml:space="preserve">1、市容环境卫生、市政公用设施、园林绿化等方面法律法规规章规定的全部行政处罚权；</w:t>
      </w:r>
    </w:p>
    <w:p>
      <w:pPr>
        <w:pStyle w:val="插入文本样式-插入单位职责文件"/>
      </w:pPr>
      <w:r>
        <w:t xml:space="preserve">2、住房和城乡建设、城乡规划方面法律法规规章规定全部行政处罚权；</w:t>
      </w:r>
    </w:p>
    <w:p>
      <w:pPr>
        <w:pStyle w:val="插入文本样式-插入单位职责文件"/>
      </w:pPr>
      <w:r>
        <w:t xml:space="preserve">3、城市建成区内社会生活噪声污染、露天烧烤污染、焚烧沥青塑料垃圾等烟尘和恶臭污染、露天焚烧秸秆落叶等烟尘污染等的行政处罚权。企业厂区外公共场地存放煤炭、煤矸石、煤渣、沙石、灰土等物料未采取环境保护措施行为的行政处罚权；</w:t>
      </w:r>
    </w:p>
    <w:p>
      <w:pPr>
        <w:pStyle w:val="插入文本样式-插入单位职责文件"/>
      </w:pPr>
      <w:r>
        <w:t xml:space="preserve">4、城市建成区内城市道路、绿地、公园、广场、街头空地等公共场所无照商贩经营、违规设置户外广告等行为的行政处罚权；</w:t>
      </w:r>
    </w:p>
    <w:p>
      <w:pPr>
        <w:pStyle w:val="插入文本样式-插入单位职责文件"/>
      </w:pPr>
      <w:r>
        <w:t xml:space="preserve">5、城市建成区内非机动车辆乱停乱放影响交通行为的行政处罚权；</w:t>
      </w:r>
    </w:p>
    <w:p>
      <w:pPr>
        <w:pStyle w:val="插入文本样式-插入单位职责文件"/>
      </w:pPr>
      <w:r>
        <w:t xml:space="preserve">6、城市供水、节水、污水处理的行政处罚权，向城市河道倾倒废弃物、垃圾及违规取土、城市河道违法建筑物拆除等的行政处罚权；</w:t>
      </w:r>
    </w:p>
    <w:p>
      <w:pPr>
        <w:pStyle w:val="插入文本样式-插入单位职责文件"/>
      </w:pPr>
      <w:r>
        <w:t xml:space="preserve">7、城市建成区内户外公共场所食品销售和餐饮摊点无证经营的行政处罚权。</w:t>
      </w:r>
    </w:p>
    <w:p>
      <w:pPr>
        <w:pStyle w:val="插入文本样式-插入单位职责文件"/>
      </w:pPr>
      <w:r>
        <w:t xml:space="preserve">（十七）负责城市管理综合行政执法监督工作，指导城市管理综合执法队伍规范执法、文明执法。研究拟定城市管理和综合执法资金计划；指导各乡镇（街道）城管综合行政执法队伍正规化建设。</w:t>
      </w:r>
    </w:p>
    <w:p>
      <w:pPr>
        <w:pStyle w:val="插入文本样式-插入单位职责文件"/>
      </w:pPr>
      <w:r>
        <w:t xml:space="preserve">（十八）完成市委、市政府交办的其他任务。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新乐市城市管理综合行政执法局本级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43163.85万元，其中：一般公共预算收入37737.02万元，基金预算收入1000.00万元，国有资本经营预算收入0.00万元，财政专户核拨收入0.00万元，单位资金收入0.00万元，上年结转结余4426.84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城市管理综合行政执法局本级年度单位预算中支出预算的总体情况。2026年支出预算43163.85万元，其中基本支出5504.90万元，包括人员经费5455.62万元和日常公用经费49.28万元；项目支出37658.95万元，主要为重点民生项目、专项任务保障以及委托业务费。；预计下年使用的单位资金结余0.00万元。委托业务费共计安排7005.77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43163.85万元，较2025年预算增加5319.88万元，其中：基本支出增加67.17万元，主要为人员增加、工资调整、保险增加。项目支出增加5252.71万元，主要为重点民生项目投入、专项任务保障以及委托业务增长，主要用于城市管理执法、市政设施维护、智慧城管建设运维及委托业务等方面。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2026年，我单位机关运行经费共计安排49.28万元，主要用于日常维修、办公用房水电费、办公用房取暖费、办公用房物业管理费等日常运行支出。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6.98万元，其中因公出国（境）费0.00万元；公务用车购置及运维费6.98万元（其中：公务用车购置费为0.00万元，公务用车运维费6.98万元)；公务接待费0.00万元。与2025年相比减少0.22万元，增减变化的主要原因是按照厉行节约、反对浪费的原则，从严从紧编制“三公”经费预算</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1、2024年第七批新增一般债券新乐市邮电街、建新街道路提升改造工程绩效目标表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13018424P00493610001T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2024年第七批新增一般债券新乐市邮电街、建新街道路提升改造工程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用于新乐市邮电街、建新街道路提升改造工程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85.45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1.为完成新乐市邮电街、建新街道路提升改造。</w:t>
            </w:r>
          </w:p>
          <w:p>
            <w:pPr>
              <w:pStyle w:val="单元格样式2"/>
            </w:pPr>
            <w:r>
              <w:t xml:space="preserve">2.为保障道路畅通，保证新乐市市民安全出行。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工程建设覆盖率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工程建设完工及时率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需拨付工程款</w:t>
            </w:r>
          </w:p>
        </w:tc>
        <w:tc>
          <w:tcPr>
            <w:tcW w:w="2268" w:type="dxa"/>
            <w:vAlign w:val="center"/>
          </w:tcPr>
          <w:p>
            <w:pPr>
              <w:pStyle w:val="单元格样式2"/>
            </w:pPr>
            <w:r>
              <w:t xml:space="preserve">85.45万元</w:t>
            </w:r>
          </w:p>
        </w:tc>
        <w:tc>
          <w:tcPr>
            <w:tcW w:w="1276" w:type="dxa"/>
            <w:vAlign w:val="center"/>
          </w:tcPr>
          <w:p>
            <w:pPr>
              <w:pStyle w:val="单元格样式2"/>
            </w:pPr>
            <w:r>
              <w:t xml:space="preserve">工程款及时拨付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2、2026年本级支出-城乡环卫绩效目标表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2026年本级支出-城乡环卫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城乡垃圾托管费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1.为保证城乡环卫工作的正常运行。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城乡环卫工作覆盖率</w:t>
            </w:r>
          </w:p>
        </w:tc>
        <w:tc>
          <w:tcPr>
            <w:tcW w:w="5386" w:type="dxa"/>
            <w:vAlign w:val="center"/>
          </w:tcPr>
          <w:p>
            <w:pPr>
              <w:pStyle w:val="单元格样式2"/>
            </w:pPr>
            <w:r>
              <w:t xml:space="preserve">城乡环卫覆盖情况</w:t>
            </w:r>
          </w:p>
        </w:tc>
        <w:tc>
          <w:tcPr>
            <w:tcW w:w="2268" w:type="dxa"/>
            <w:vAlign w:val="center"/>
          </w:tcPr>
          <w:p>
            <w:pPr>
              <w:pStyle w:val="单元格样式2"/>
            </w:pPr>
            <w:r>
              <w:t xml:space="preserve">≥95%</w:t>
            </w:r>
          </w:p>
        </w:tc>
        <w:tc>
          <w:tcPr>
            <w:tcW w:w="1276" w:type="dxa"/>
            <w:vAlign w:val="center"/>
          </w:tcPr>
          <w:p>
            <w:pPr>
              <w:pStyle w:val="单元格样式2"/>
            </w:pPr>
            <w:r>
              <w:t xml:space="preserve">城乡环卫工作覆盖率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生活垃圾处理率</w:t>
            </w:r>
          </w:p>
        </w:tc>
        <w:tc>
          <w:tcPr>
            <w:tcW w:w="5386" w:type="dxa"/>
            <w:vAlign w:val="center"/>
          </w:tcPr>
          <w:p>
            <w:pPr>
              <w:pStyle w:val="单元格样式2"/>
            </w:pPr>
            <w:r>
              <w:t xml:space="preserve">生活垃圾日处理量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生活垃圾处理及时率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3600万元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3、2026年本级支出-城镇集中供热提升工程运维—水电费绩效目标表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13018426P00011210022M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2026年本级支出-城镇集中供热提升工程运维—水电费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用于城镇集中供热工程运维-水电费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1.为保证新乐市城镇集中供热工作稳定运行。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供热小区供暖覆盖率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供热小区供暖覆盖率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资金使用合规性</w:t>
            </w:r>
          </w:p>
        </w:tc>
        <w:tc>
          <w:tcPr>
            <w:tcW w:w="5386" w:type="dxa"/>
            <w:vAlign w:val="center"/>
          </w:tcPr>
          <w:p>
            <w:pPr>
              <w:pStyle w:val="单元格样式2"/>
            </w:pPr>
            <w:r>
              <w:t xml:space="preserve">水电费支出符合财政资金管理规定及工程运维相关制度要求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水电费支出是否符合财政资金管理规定及工程运维相关制度要求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水电供应保障率</w:t>
            </w:r>
          </w:p>
        </w:tc>
        <w:tc>
          <w:tcPr>
            <w:tcW w:w="5386" w:type="dxa"/>
            <w:vAlign w:val="center"/>
          </w:tcPr>
          <w:p>
            <w:pPr>
              <w:pStyle w:val="单元格样式2"/>
            </w:pPr>
            <w:r>
              <w:t xml:space="preserve">供暖期内满足运营需求的水电供应时长与总供暖时长的比值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供暖期内满足运营需求的水电供应时长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水电费预算控制数</w:t>
            </w:r>
          </w:p>
        </w:tc>
        <w:tc>
          <w:tcPr>
            <w:tcW w:w="2268" w:type="dxa"/>
            <w:vAlign w:val="center"/>
          </w:tcPr>
          <w:p>
            <w:pPr>
              <w:pStyle w:val="单元格样式2"/>
            </w:pPr>
            <w:r>
              <w:t xml:space="preserve">17.01万元</w:t>
            </w:r>
          </w:p>
        </w:tc>
        <w:tc>
          <w:tcPr>
            <w:tcW w:w="1276" w:type="dxa"/>
            <w:vAlign w:val="center"/>
          </w:tcPr>
          <w:p>
            <w:pPr>
              <w:pStyle w:val="单元格样式2"/>
            </w:pPr>
            <w:r>
              <w:t xml:space="preserve">资金是否按时拨付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影响力</w:t>
            </w:r>
          </w:p>
        </w:tc>
        <w:tc>
          <w:tcPr>
            <w:tcW w:w="5386" w:type="dxa"/>
            <w:vAlign w:val="center"/>
          </w:tcPr>
          <w:p>
            <w:pPr>
              <w:pStyle w:val="单元格样式2"/>
            </w:pPr>
            <w:r>
              <w:t xml:space="preserve">室内温度达到规定标准的用户户数占总供热户数的比例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室内温度达到是否规定标准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供暖范围内用户对供暖效果的满意程度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4、2026年本级支出-供热绩效目标表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13018426P00010610002D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2026年本级支出-供热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刚性支出-供热</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1.为切实做好我市供暖工作，保证市民供暖。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新乐市供热覆盖率</w:t>
            </w:r>
          </w:p>
        </w:tc>
        <w:tc>
          <w:tcPr>
            <w:tcW w:w="5386" w:type="dxa"/>
            <w:vAlign w:val="center"/>
          </w:tcPr>
          <w:p>
            <w:pPr>
              <w:pStyle w:val="单元格样式2"/>
            </w:pPr>
            <w:r>
              <w:t xml:space="preserve">新乐市供热覆盖情况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新乐市供热覆盖率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室温达标率</w:t>
            </w:r>
          </w:p>
        </w:tc>
        <w:tc>
          <w:tcPr>
            <w:tcW w:w="5386" w:type="dxa"/>
            <w:vAlign w:val="center"/>
          </w:tcPr>
          <w:p>
            <w:pPr>
              <w:pStyle w:val="单元格样式2"/>
            </w:pPr>
            <w:r>
              <w:t xml:space="preserve">室温达标情况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室内温度是否达标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供暖及时率</w:t>
            </w:r>
          </w:p>
        </w:tc>
        <w:tc>
          <w:tcPr>
            <w:tcW w:w="5386" w:type="dxa"/>
            <w:vAlign w:val="center"/>
          </w:tcPr>
          <w:p>
            <w:pPr>
              <w:pStyle w:val="单元格样式2"/>
            </w:pPr>
            <w:r>
              <w:t xml:space="preserve">供暖及时情况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供暖是否及时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反映供热成本费用</w:t>
            </w:r>
          </w:p>
        </w:tc>
        <w:tc>
          <w:tcPr>
            <w:tcW w:w="2268" w:type="dxa"/>
            <w:vAlign w:val="center"/>
          </w:tcPr>
          <w:p>
            <w:pPr>
              <w:pStyle w:val="单元格样式2"/>
            </w:pPr>
            <w:r>
              <w:t xml:space="preserve">3800万元</w:t>
            </w:r>
          </w:p>
        </w:tc>
        <w:tc>
          <w:tcPr>
            <w:tcW w:w="1276" w:type="dxa"/>
            <w:vAlign w:val="center"/>
          </w:tcPr>
          <w:p>
            <w:pPr>
              <w:pStyle w:val="单元格样式2"/>
            </w:pPr>
            <w:r>
              <w:t xml:space="preserve">成本控制情况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市民对供暖情况的满意程度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5、2026年本级支出-环卫电费绩效目标表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2026年本级支出-环卫电费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用于拨付环卫电费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1.为进一步做好城区环卫保洁，助力大气污染防治工作。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反映充电桩使用情况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反映充电桩合格使用情况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反映电费及时拨付情况</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10万元</w:t>
            </w:r>
          </w:p>
        </w:tc>
        <w:tc>
          <w:tcPr>
            <w:tcW w:w="1276" w:type="dxa"/>
            <w:vAlign w:val="center"/>
          </w:tcPr>
          <w:p>
            <w:pPr>
              <w:pStyle w:val="单元格样式2"/>
            </w:pPr>
            <w:r>
              <w:t xml:space="preserve">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6、2026年本级支出-垃圾处理绩效目标表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13018426P00011310011U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2026年本级支出-垃圾处理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垃圾处理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1.为保证我市垃圾处理工作正常运行。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渗滤液处理站</w:t>
            </w:r>
          </w:p>
        </w:tc>
        <w:tc>
          <w:tcPr>
            <w:tcW w:w="5386" w:type="dxa"/>
            <w:vAlign w:val="center"/>
          </w:tcPr>
          <w:p>
            <w:pPr>
              <w:pStyle w:val="单元格样式2"/>
            </w:pPr>
            <w:r>
              <w:t xml:space="preserve">渗滤液处理站1座</w:t>
            </w:r>
          </w:p>
        </w:tc>
        <w:tc>
          <w:tcPr>
            <w:tcW w:w="2268" w:type="dxa"/>
            <w:vAlign w:val="center"/>
          </w:tcPr>
          <w:p>
            <w:pPr>
              <w:pStyle w:val="单元格样式2"/>
            </w:pPr>
            <w:r>
              <w:t xml:space="preserve">1座</w:t>
            </w:r>
          </w:p>
        </w:tc>
        <w:tc>
          <w:tcPr>
            <w:tcW w:w="1276" w:type="dxa"/>
            <w:vAlign w:val="center"/>
          </w:tcPr>
          <w:p>
            <w:pPr>
              <w:pStyle w:val="单元格样式2"/>
            </w:pPr>
            <w:r>
              <w:t xml:space="preserve">渗滤液处理站1座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根据设计要求验收</w:t>
            </w:r>
          </w:p>
        </w:tc>
        <w:tc>
          <w:tcPr>
            <w:tcW w:w="2268" w:type="dxa"/>
            <w:vAlign w:val="center"/>
          </w:tcPr>
          <w:p>
            <w:pPr>
              <w:pStyle w:val="单元格样式2"/>
            </w:pPr>
            <w:r>
              <w:t xml:space="preserve">100%</w:t>
            </w:r>
          </w:p>
        </w:tc>
        <w:tc>
          <w:tcPr>
            <w:tcW w:w="1276" w:type="dxa"/>
            <w:vAlign w:val="center"/>
          </w:tcPr>
          <w:p>
            <w:pPr>
              <w:pStyle w:val="单元格样式2"/>
            </w:pPr>
            <w:r>
              <w:t xml:space="preserve">根据设计要求验收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及时处理率</w:t>
            </w:r>
          </w:p>
        </w:tc>
        <w:tc>
          <w:tcPr>
            <w:tcW w:w="5386" w:type="dxa"/>
            <w:vAlign w:val="center"/>
          </w:tcPr>
          <w:p>
            <w:pPr>
              <w:pStyle w:val="单元格样式2"/>
            </w:pPr>
            <w:r>
              <w:t xml:space="preserve">渗滤液的及时处置</w:t>
            </w:r>
          </w:p>
        </w:tc>
        <w:tc>
          <w:tcPr>
            <w:tcW w:w="2268" w:type="dxa"/>
            <w:vAlign w:val="center"/>
          </w:tcPr>
          <w:p>
            <w:pPr>
              <w:pStyle w:val="单元格样式2"/>
            </w:pPr>
            <w:r>
              <w:t xml:space="preserve">≥95%</w:t>
            </w:r>
          </w:p>
        </w:tc>
        <w:tc>
          <w:tcPr>
            <w:tcW w:w="1276" w:type="dxa"/>
            <w:vAlign w:val="center"/>
          </w:tcPr>
          <w:p>
            <w:pPr>
              <w:pStyle w:val="单元格样式2"/>
            </w:pPr>
            <w:r>
              <w:t xml:space="preserve">渗滤液的及时处置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按招标文件要求</w:t>
            </w:r>
          </w:p>
        </w:tc>
        <w:tc>
          <w:tcPr>
            <w:tcW w:w="5386" w:type="dxa"/>
            <w:vAlign w:val="center"/>
          </w:tcPr>
          <w:p>
            <w:pPr>
              <w:pStyle w:val="单元格样式2"/>
            </w:pPr>
            <w:r>
              <w:t xml:space="preserve">按招标文件要求</w:t>
            </w:r>
          </w:p>
        </w:tc>
        <w:tc>
          <w:tcPr>
            <w:tcW w:w="2268" w:type="dxa"/>
            <w:vAlign w:val="center"/>
          </w:tcPr>
          <w:p>
            <w:pPr>
              <w:pStyle w:val="单元格样式2"/>
            </w:pPr>
            <w:r>
              <w:t xml:space="preserve">≥95%</w:t>
            </w:r>
          </w:p>
        </w:tc>
        <w:tc>
          <w:tcPr>
            <w:tcW w:w="1276" w:type="dxa"/>
            <w:vAlign w:val="center"/>
          </w:tcPr>
          <w:p>
            <w:pPr>
              <w:pStyle w:val="单元格样式2"/>
            </w:pPr>
            <w:r>
              <w:t xml:space="preserve">按招标文件要求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全年服务天数</w:t>
            </w:r>
          </w:p>
        </w:tc>
        <w:tc>
          <w:tcPr>
            <w:tcW w:w="5386" w:type="dxa"/>
            <w:vAlign w:val="center"/>
          </w:tcPr>
          <w:p>
            <w:pPr>
              <w:pStyle w:val="单元格样式2"/>
            </w:pPr>
            <w:r>
              <w:t xml:space="preserve">全年服务渗滤液处理天数365天</w:t>
            </w:r>
          </w:p>
        </w:tc>
        <w:tc>
          <w:tcPr>
            <w:tcW w:w="2268" w:type="dxa"/>
            <w:vAlign w:val="center"/>
          </w:tcPr>
          <w:p>
            <w:pPr>
              <w:pStyle w:val="单元格样式2"/>
            </w:pPr>
            <w:r>
              <w:t xml:space="preserve">365天</w:t>
            </w:r>
          </w:p>
        </w:tc>
        <w:tc>
          <w:tcPr>
            <w:tcW w:w="1276" w:type="dxa"/>
            <w:vAlign w:val="center"/>
          </w:tcPr>
          <w:p>
            <w:pPr>
              <w:pStyle w:val="单元格样式2"/>
            </w:pPr>
            <w:r>
              <w:t xml:space="preserve">全年服务渗滤液处理天数365天</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渗滤液及时处理率</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7、2026年本级支出-垃圾填埋场电费绩效目标表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2026年本级支出-垃圾填埋场电费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用于垃圾填埋场电费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1.为保证垃圾填埋场工作顺利开展。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渗滤液处理站</w:t>
            </w:r>
          </w:p>
        </w:tc>
        <w:tc>
          <w:tcPr>
            <w:tcW w:w="5386" w:type="dxa"/>
            <w:vAlign w:val="center"/>
          </w:tcPr>
          <w:p>
            <w:pPr>
              <w:pStyle w:val="单元格样式2"/>
            </w:pPr>
            <w:r>
              <w:t xml:space="preserve">渗滤液处理站1座</w:t>
            </w:r>
          </w:p>
        </w:tc>
        <w:tc>
          <w:tcPr>
            <w:tcW w:w="2268" w:type="dxa"/>
            <w:vAlign w:val="center"/>
          </w:tcPr>
          <w:p>
            <w:pPr>
              <w:pStyle w:val="单元格样式2"/>
            </w:pPr>
            <w:r>
              <w:t xml:space="preserve">1座</w:t>
            </w:r>
          </w:p>
        </w:tc>
        <w:tc>
          <w:tcPr>
            <w:tcW w:w="1276" w:type="dxa"/>
            <w:vAlign w:val="center"/>
          </w:tcPr>
          <w:p>
            <w:pPr>
              <w:pStyle w:val="单元格样式2"/>
            </w:pPr>
            <w:r>
              <w:t xml:space="preserve">渗滤液处理站</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根据设计要求验收</w:t>
            </w:r>
          </w:p>
        </w:tc>
        <w:tc>
          <w:tcPr>
            <w:tcW w:w="2268" w:type="dxa"/>
            <w:vAlign w:val="center"/>
          </w:tcPr>
          <w:p>
            <w:pPr>
              <w:pStyle w:val="单元格样式2"/>
            </w:pPr>
            <w:r>
              <w:t xml:space="preserve">100%</w:t>
            </w:r>
          </w:p>
        </w:tc>
        <w:tc>
          <w:tcPr>
            <w:tcW w:w="1276" w:type="dxa"/>
            <w:vAlign w:val="center"/>
          </w:tcPr>
          <w:p>
            <w:pPr>
              <w:pStyle w:val="单元格样式2"/>
            </w:pPr>
            <w:r>
              <w:t xml:space="preserve">工程验收合格率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及时处理率</w:t>
            </w:r>
          </w:p>
        </w:tc>
        <w:tc>
          <w:tcPr>
            <w:tcW w:w="5386" w:type="dxa"/>
            <w:vAlign w:val="center"/>
          </w:tcPr>
          <w:p>
            <w:pPr>
              <w:pStyle w:val="单元格样式2"/>
            </w:pPr>
            <w:r>
              <w:t xml:space="preserve">渗滤液的及时处置</w:t>
            </w:r>
          </w:p>
        </w:tc>
        <w:tc>
          <w:tcPr>
            <w:tcW w:w="2268" w:type="dxa"/>
            <w:vAlign w:val="center"/>
          </w:tcPr>
          <w:p>
            <w:pPr>
              <w:pStyle w:val="单元格样式2"/>
            </w:pPr>
            <w:r>
              <w:t xml:space="preserve">≥95%</w:t>
            </w:r>
          </w:p>
        </w:tc>
        <w:tc>
          <w:tcPr>
            <w:tcW w:w="1276" w:type="dxa"/>
            <w:vAlign w:val="center"/>
          </w:tcPr>
          <w:p>
            <w:pPr>
              <w:pStyle w:val="单元格样式2"/>
            </w:pPr>
            <w:r>
              <w:t xml:space="preserve">及时处理率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按招标文件要求</w:t>
            </w:r>
          </w:p>
        </w:tc>
        <w:tc>
          <w:tcPr>
            <w:tcW w:w="5386" w:type="dxa"/>
            <w:vAlign w:val="center"/>
          </w:tcPr>
          <w:p>
            <w:pPr>
              <w:pStyle w:val="单元格样式2"/>
            </w:pPr>
            <w:r>
              <w:t xml:space="preserve">按招标文件要求</w:t>
            </w:r>
          </w:p>
        </w:tc>
        <w:tc>
          <w:tcPr>
            <w:tcW w:w="2268" w:type="dxa"/>
            <w:vAlign w:val="center"/>
          </w:tcPr>
          <w:p>
            <w:pPr>
              <w:pStyle w:val="单元格样式2"/>
            </w:pPr>
            <w:r>
              <w:t xml:space="preserve">≥95%</w:t>
            </w:r>
          </w:p>
        </w:tc>
        <w:tc>
          <w:tcPr>
            <w:tcW w:w="1276" w:type="dxa"/>
            <w:vAlign w:val="center"/>
          </w:tcPr>
          <w:p>
            <w:pPr>
              <w:pStyle w:val="单元格样式2"/>
            </w:pPr>
            <w:r>
              <w:t xml:space="preserve">按招标文件要求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全年服务天数</w:t>
            </w:r>
          </w:p>
        </w:tc>
        <w:tc>
          <w:tcPr>
            <w:tcW w:w="5386" w:type="dxa"/>
            <w:vAlign w:val="center"/>
          </w:tcPr>
          <w:p>
            <w:pPr>
              <w:pStyle w:val="单元格样式2"/>
            </w:pPr>
            <w:r>
              <w:t xml:space="preserve">全年服务渗滤液处理天数365天</w:t>
            </w:r>
          </w:p>
        </w:tc>
        <w:tc>
          <w:tcPr>
            <w:tcW w:w="2268" w:type="dxa"/>
            <w:vAlign w:val="center"/>
          </w:tcPr>
          <w:p>
            <w:pPr>
              <w:pStyle w:val="单元格样式2"/>
            </w:pPr>
            <w:r>
              <w:t xml:space="preserve">≥365天</w:t>
            </w:r>
          </w:p>
        </w:tc>
        <w:tc>
          <w:tcPr>
            <w:tcW w:w="1276" w:type="dxa"/>
            <w:vAlign w:val="center"/>
          </w:tcPr>
          <w:p>
            <w:pPr>
              <w:pStyle w:val="单元格样式2"/>
            </w:pPr>
            <w:r>
              <w:t xml:space="preserve">全年服务天数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渗滤液及时处理率</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8、2026年本级支出-石家庄嘉盛生活垃圾焚烧厂垃圾处置费绩效目标表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13018426P00011310009W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2026年本级支出-石家庄嘉盛生活垃圾焚烧厂垃圾处置费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用于支付石家庄嘉盛生活垃圾焚烧厂垃圾处置费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1.为确保我局账户正常使用，防治拖欠工资问题发生。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需偿还生活垃圾焚烧厂数量</w:t>
            </w:r>
          </w:p>
        </w:tc>
        <w:tc>
          <w:tcPr>
            <w:tcW w:w="5386" w:type="dxa"/>
            <w:vAlign w:val="center"/>
          </w:tcPr>
          <w:p>
            <w:pPr>
              <w:pStyle w:val="单元格样式2"/>
            </w:pPr>
            <w:r>
              <w:t xml:space="preserve">石家庄嘉盛生活垃圾焚烧厂</w:t>
            </w:r>
          </w:p>
        </w:tc>
        <w:tc>
          <w:tcPr>
            <w:tcW w:w="2268" w:type="dxa"/>
            <w:vAlign w:val="center"/>
          </w:tcPr>
          <w:p>
            <w:pPr>
              <w:pStyle w:val="单元格样式2"/>
            </w:pPr>
            <w:r>
              <w:t xml:space="preserve">1座</w:t>
            </w:r>
          </w:p>
        </w:tc>
        <w:tc>
          <w:tcPr>
            <w:tcW w:w="1276" w:type="dxa"/>
            <w:vAlign w:val="center"/>
          </w:tcPr>
          <w:p>
            <w:pPr>
              <w:pStyle w:val="单元格样式2"/>
            </w:pPr>
            <w:r>
              <w:t xml:space="preserve">生活垃圾焚烧厂数量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生活垃圾焚烧处理率</w:t>
            </w:r>
          </w:p>
        </w:tc>
        <w:tc>
          <w:tcPr>
            <w:tcW w:w="5386" w:type="dxa"/>
            <w:vAlign w:val="center"/>
          </w:tcPr>
          <w:p>
            <w:pPr>
              <w:pStyle w:val="单元格样式2"/>
            </w:pPr>
            <w:r>
              <w:t xml:space="preserve">生活垃圾日焚烧处理量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生活垃圾焚烧处理率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及时偿还嘉盛垃圾焚烧厂处置费情况</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是否及时偿还嘉盛垃圾焚烧厂处置费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还款金额</w:t>
            </w:r>
          </w:p>
        </w:tc>
        <w:tc>
          <w:tcPr>
            <w:tcW w:w="2268" w:type="dxa"/>
            <w:vAlign w:val="center"/>
          </w:tcPr>
          <w:p>
            <w:pPr>
              <w:pStyle w:val="单元格样式2"/>
            </w:pPr>
            <w:r>
              <w:t xml:space="preserve">50万元</w:t>
            </w:r>
          </w:p>
        </w:tc>
        <w:tc>
          <w:tcPr>
            <w:tcW w:w="1276" w:type="dxa"/>
            <w:vAlign w:val="center"/>
          </w:tcPr>
          <w:p>
            <w:pPr>
              <w:pStyle w:val="单元格样式2"/>
            </w:pPr>
            <w:r>
              <w:t xml:space="preserve">偿还金额及时偿还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9、2026年本级支出-污水处理绩效目标表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13018426P005322100106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2026年本级支出-污水处理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用于污水处理费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1.为保证污水处理厂工作正常运行。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当年污水处理完成情况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当年污水处理完成情况</w:t>
            </w:r>
          </w:p>
          <w:p>
            <w:pPr>
              <w:pStyle w:val="单元格样式2"/>
            </w:pPr>
            <w:r>
              <w:t xml:space="preserve">处理污水量占总污水总量的比例</w:t>
            </w:r>
          </w:p>
          <w:p>
            <w:pPr>
              <w:pStyle w:val="单元格样式2"/>
            </w:pPr>
            <w:r>
              <w:t xml:space="preserve">污水处理及时率</w:t>
            </w:r>
          </w:p>
          <w:p>
            <w:pPr>
              <w:pStyle w:val="单元格样式2"/>
            </w:pPr>
            <w:r>
              <w:t xml:space="preserve">预算控制数</w:t>
            </w:r>
          </w:p>
          <w:p>
            <w:pPr>
              <w:pStyle w:val="单元格样式2"/>
            </w:pPr>
            <w:r>
              <w:t xml:space="preserve">通过实施污水处理促进社会稳定水平逐步提高</w:t>
            </w:r>
          </w:p>
          <w:p>
            <w:pPr>
              <w:pStyle w:val="单元格样式2"/>
            </w:pPr>
          </w:p>
          <w:p>
            <w:pPr>
              <w:pStyle w:val="单元格样式2"/>
            </w:pPr>
          </w:p>
          <w:p>
            <w:pPr>
              <w:pStyle w:val="单元格样式2"/>
            </w:pPr>
          </w:p>
          <w:p>
            <w:pPr>
              <w:pStyle w:val="单元格样式2"/>
            </w:pPr>
            <w:r>
              <w:t xml:space="preserve">服务对象满意度</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处理污水量占污水总量的比例</w:t>
            </w:r>
          </w:p>
        </w:tc>
        <w:tc>
          <w:tcPr>
            <w:tcW w:w="2268" w:type="dxa"/>
            <w:vAlign w:val="center"/>
          </w:tcPr>
          <w:p>
            <w:pPr>
              <w:pStyle w:val="单元格样式2"/>
            </w:pPr>
            <w:r>
              <w:t xml:space="preserve">≥95百分比</w:t>
            </w:r>
          </w:p>
        </w:tc>
        <w:tc>
          <w:tcPr>
            <w:tcW w:w="1276" w:type="dxa"/>
            <w:vAlign w:val="center"/>
          </w:tcPr>
          <w:p>
            <w:pPr>
              <w:pStyle w:val="单元格样式2"/>
            </w:pPr>
            <w:r>
              <w:t xml:space="preserve">处理污水量占总污水总量的比例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污水处理及时率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污水处理及时率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2500万元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通过实施污水处理促进社会稳定水平逐步提高</w:t>
            </w:r>
          </w:p>
        </w:tc>
        <w:tc>
          <w:tcPr>
            <w:tcW w:w="2268" w:type="dxa"/>
            <w:vAlign w:val="center"/>
          </w:tcPr>
          <w:p>
            <w:pPr>
              <w:pStyle w:val="单元格样式2"/>
            </w:pPr>
            <w:r>
              <w:t xml:space="preserve">≥95百分比</w:t>
            </w:r>
          </w:p>
        </w:tc>
        <w:tc>
          <w:tcPr>
            <w:tcW w:w="1276" w:type="dxa"/>
            <w:vAlign w:val="center"/>
          </w:tcPr>
          <w:p>
            <w:pPr>
              <w:pStyle w:val="单元格样式2"/>
            </w:pPr>
            <w:r>
              <w:t xml:space="preserve">通过实施污水处理促进社会稳定水平逐步提高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10、2026年本级支出-污水处理费绩效目标表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13018426P00532210009T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2026年本级支出-污水处理费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用于拨支付污水处理费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1.为保证污水处理厂工作正常运行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当年污水处理完成情况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当年污水处理完成情况</w:t>
            </w:r>
          </w:p>
          <w:p>
            <w:pPr>
              <w:pStyle w:val="单元格样式2"/>
            </w:pPr>
            <w:r>
              <w:t xml:space="preserve">处理污水量占总污水总量的比例</w:t>
            </w:r>
          </w:p>
          <w:p>
            <w:pPr>
              <w:pStyle w:val="单元格样式2"/>
            </w:pPr>
            <w:r>
              <w:t xml:space="preserve">污水处理及时率</w:t>
            </w:r>
          </w:p>
          <w:p>
            <w:pPr>
              <w:pStyle w:val="单元格样式2"/>
            </w:pPr>
            <w:r>
              <w:t xml:space="preserve">预算控制数</w:t>
            </w:r>
          </w:p>
          <w:p>
            <w:pPr>
              <w:pStyle w:val="单元格样式2"/>
            </w:pPr>
            <w:r>
              <w:t xml:space="preserve">通过实施污水处理促进社会稳定水平逐步提高</w:t>
            </w:r>
          </w:p>
          <w:p>
            <w:pPr>
              <w:pStyle w:val="单元格样式2"/>
            </w:pPr>
          </w:p>
          <w:p>
            <w:pPr>
              <w:pStyle w:val="单元格样式2"/>
            </w:pPr>
          </w:p>
          <w:p>
            <w:pPr>
              <w:pStyle w:val="单元格样式2"/>
            </w:pPr>
          </w:p>
          <w:p>
            <w:pPr>
              <w:pStyle w:val="单元格样式2"/>
            </w:pPr>
            <w:r>
              <w:t xml:space="preserve">服务对象满意度</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处理污水量占总污水总量的比例</w:t>
            </w:r>
          </w:p>
        </w:tc>
        <w:tc>
          <w:tcPr>
            <w:tcW w:w="2268" w:type="dxa"/>
            <w:vAlign w:val="center"/>
          </w:tcPr>
          <w:p>
            <w:pPr>
              <w:pStyle w:val="单元格样式2"/>
            </w:pPr>
            <w:r>
              <w:t xml:space="preserve">≥95%</w:t>
            </w:r>
          </w:p>
        </w:tc>
        <w:tc>
          <w:tcPr>
            <w:tcW w:w="1276" w:type="dxa"/>
            <w:vAlign w:val="center"/>
          </w:tcPr>
          <w:p>
            <w:pPr>
              <w:pStyle w:val="单元格样式2"/>
            </w:pPr>
            <w:r>
              <w:t xml:space="preserve">处理污水量占总污水总量的比例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污水处理及时率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污水处理及时率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通过实施污水处理促进社会稳定水平逐步提高</w:t>
            </w:r>
          </w:p>
        </w:tc>
        <w:tc>
          <w:tcPr>
            <w:tcW w:w="2268" w:type="dxa"/>
            <w:vAlign w:val="center"/>
          </w:tcPr>
          <w:p>
            <w:pPr>
              <w:pStyle w:val="单元格样式2"/>
            </w:pPr>
            <w:r>
              <w:t xml:space="preserve">≥95%</w:t>
            </w:r>
          </w:p>
        </w:tc>
        <w:tc>
          <w:tcPr>
            <w:tcW w:w="1276" w:type="dxa"/>
            <w:vAlign w:val="center"/>
          </w:tcPr>
          <w:p>
            <w:pPr>
              <w:pStyle w:val="单元格样式2"/>
            </w:pPr>
            <w:r>
              <w:t xml:space="preserve">通过实施污水处理促进社会稳定水平逐步提高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11、2026年本级支出-新乐市城区亮化电费绩效目标表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13018426P00011210017U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2026年本级支出-新乐市城区亮化电费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用于新乐市城区照明亮化电费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1.为进一步做好城区照明工作，保证城区市民夜行安全。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50万元</w:t>
            </w:r>
          </w:p>
        </w:tc>
        <w:tc>
          <w:tcPr>
            <w:tcW w:w="1276" w:type="dxa"/>
            <w:vAlign w:val="center"/>
          </w:tcPr>
          <w:p>
            <w:pPr>
              <w:pStyle w:val="单元格样式2"/>
            </w:pPr>
            <w:r>
              <w:t xml:space="preserve">及时拨付情况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12、2026年本级支出-新乐市城区照明亮化电费绩效目标表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13018426P00011210018F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2026年本级支出-新乐市城区照明亮化电费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用于支付城区照明电费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1.为进一步做好城区照明亮化工作，保证居民夜间出行安全。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40万元</w:t>
            </w:r>
          </w:p>
        </w:tc>
        <w:tc>
          <w:tcPr>
            <w:tcW w:w="1276" w:type="dxa"/>
            <w:vAlign w:val="center"/>
          </w:tcPr>
          <w:p>
            <w:pPr>
              <w:pStyle w:val="单元格样式2"/>
            </w:pPr>
            <w:r>
              <w:t xml:space="preserve">及时拨付情况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13、2026年本级支出-园林绿化绩效目标表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13018426P00530010007R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2026年本级支出-园林绿化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刚性支出-园林绿化费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1.为保证园林绿化工作正常运行。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反映园林绿化养护工程量情况</w:t>
            </w:r>
          </w:p>
        </w:tc>
        <w:tc>
          <w:tcPr>
            <w:tcW w:w="5386" w:type="dxa"/>
            <w:vAlign w:val="center"/>
          </w:tcPr>
          <w:p>
            <w:pPr>
              <w:pStyle w:val="单元格样式2"/>
            </w:pPr>
            <w:r>
              <w:t xml:space="preserve">养护面积共计239.3万平方米</w:t>
            </w:r>
          </w:p>
        </w:tc>
        <w:tc>
          <w:tcPr>
            <w:tcW w:w="2268" w:type="dxa"/>
            <w:vAlign w:val="center"/>
          </w:tcPr>
          <w:p>
            <w:pPr>
              <w:pStyle w:val="单元格样式2"/>
            </w:pPr>
            <w:r>
              <w:t xml:space="preserve">239.3万平方米</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养护维修</w:t>
            </w:r>
          </w:p>
        </w:tc>
        <w:tc>
          <w:tcPr>
            <w:tcW w:w="5386" w:type="dxa"/>
            <w:vAlign w:val="center"/>
          </w:tcPr>
          <w:p>
            <w:pPr>
              <w:pStyle w:val="单元格样式2"/>
            </w:pPr>
            <w:r>
              <w:t xml:space="preserve">加强绿化养护力度</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时间节点</w:t>
            </w:r>
          </w:p>
        </w:tc>
        <w:tc>
          <w:tcPr>
            <w:tcW w:w="5386" w:type="dxa"/>
            <w:vAlign w:val="center"/>
          </w:tcPr>
          <w:p>
            <w:pPr>
              <w:pStyle w:val="单元格样式2"/>
            </w:pPr>
            <w:r>
              <w:t xml:space="preserve">养护情况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园林绿化费用</w:t>
            </w:r>
          </w:p>
        </w:tc>
        <w:tc>
          <w:tcPr>
            <w:tcW w:w="2268" w:type="dxa"/>
            <w:vAlign w:val="center"/>
          </w:tcPr>
          <w:p>
            <w:pPr>
              <w:pStyle w:val="单元格样式2"/>
            </w:pPr>
            <w:r>
              <w:t xml:space="preserve">1600万元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保证市民生活需求</w:t>
            </w:r>
          </w:p>
        </w:tc>
        <w:tc>
          <w:tcPr>
            <w:tcW w:w="5386" w:type="dxa"/>
            <w:vAlign w:val="center"/>
          </w:tcPr>
          <w:p>
            <w:pPr>
              <w:pStyle w:val="单元格样式2"/>
            </w:pPr>
            <w:r>
              <w:t xml:space="preserve">改善人居生活条件</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14、2026年本级支出-占地补偿款绩效目标表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13018426P00522210092L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2845.00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占地补偿数量</w:t>
            </w:r>
          </w:p>
        </w:tc>
        <w:tc>
          <w:tcPr>
            <w:tcW w:w="5386" w:type="dxa"/>
            <w:vAlign w:val="center"/>
          </w:tcPr>
          <w:p>
            <w:pPr>
              <w:pStyle w:val="单元格样式2"/>
            </w:pPr>
            <w:r>
              <w:t xml:space="preserve">占地补偿数</w:t>
            </w:r>
          </w:p>
        </w:tc>
        <w:tc>
          <w:tcPr>
            <w:tcW w:w="2268" w:type="dxa"/>
            <w:vAlign w:val="center"/>
          </w:tcPr>
          <w:p>
            <w:pPr>
              <w:pStyle w:val="单元格样式2"/>
            </w:pPr>
            <w:r>
              <w:t xml:space="preserve">5个</w:t>
            </w:r>
          </w:p>
        </w:tc>
        <w:tc>
          <w:tcPr>
            <w:tcW w:w="1276" w:type="dxa"/>
            <w:vAlign w:val="center"/>
          </w:tcPr>
          <w:p>
            <w:pPr>
              <w:pStyle w:val="单元格样式2"/>
            </w:pPr>
            <w:r>
              <w:t xml:space="preserve">占地补偿数量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发放合格率</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占地补偿款发放及时率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占地款</w:t>
            </w:r>
          </w:p>
        </w:tc>
        <w:tc>
          <w:tcPr>
            <w:tcW w:w="5386" w:type="dxa"/>
            <w:vAlign w:val="center"/>
          </w:tcPr>
          <w:p>
            <w:pPr>
              <w:pStyle w:val="单元格样式2"/>
            </w:pPr>
            <w:r>
              <w:t xml:space="preserve">占地款</w:t>
            </w:r>
          </w:p>
        </w:tc>
        <w:tc>
          <w:tcPr>
            <w:tcW w:w="2268" w:type="dxa"/>
            <w:vAlign w:val="center"/>
          </w:tcPr>
          <w:p>
            <w:pPr>
              <w:pStyle w:val="单元格样式2"/>
            </w:pPr>
            <w:r>
              <w:t xml:space="preserve">2845万元</w:t>
            </w:r>
          </w:p>
        </w:tc>
        <w:tc>
          <w:tcPr>
            <w:tcW w:w="1276" w:type="dxa"/>
            <w:vAlign w:val="center"/>
          </w:tcPr>
          <w:p>
            <w:pPr>
              <w:pStyle w:val="单元格样式2"/>
            </w:pPr>
            <w:r>
              <w:t xml:space="preserve">占地款</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w:t>
            </w:r>
          </w:p>
        </w:tc>
        <w:tc>
          <w:tcPr>
            <w:tcW w:w="5386" w:type="dxa"/>
            <w:vAlign w:val="center"/>
          </w:tcPr>
          <w:p>
            <w:pPr>
              <w:pStyle w:val="单元格样式2"/>
            </w:pPr>
            <w:r>
              <w:t xml:space="preserve">被征地对象满意度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被征地对象满意度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15、2026年本级支出-执法局城市管理工程款绩效目标表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13018426P00522710045G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2026年本级支出-执法局城市管理工程款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5152.10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5152.10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用于支付执法局城市管理工程款。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5152.10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1.为保证执法局各项工作正常运行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工程验收合格率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5152.1万元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16、2026年本级支出-专用设备购置绩效目标表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13018426P005223101866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2026年本级支出-专用设备购置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用于专用设备购置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1.为保证执法局工作正常运行。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反映专用设备的使用情况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专用设备覆盖率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反映专用设备的正常运行率</w:t>
            </w:r>
          </w:p>
        </w:tc>
        <w:tc>
          <w:tcPr>
            <w:tcW w:w="2268" w:type="dxa"/>
            <w:vAlign w:val="center"/>
          </w:tcPr>
          <w:p>
            <w:pPr>
              <w:pStyle w:val="单元格样式2"/>
            </w:pPr>
            <w:r>
              <w:t xml:space="preserve">≥98%</w:t>
            </w:r>
          </w:p>
        </w:tc>
        <w:tc>
          <w:tcPr>
            <w:tcW w:w="1276" w:type="dxa"/>
            <w:vAlign w:val="center"/>
          </w:tcPr>
          <w:p>
            <w:pPr>
              <w:pStyle w:val="单元格样式2"/>
            </w:pPr>
            <w:r>
              <w:t xml:space="preserve">专用设备正常运行率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保障专用设备每天正常运行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保障专用设备正常运行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实际支出经费占预算安排经费的比率</w:t>
            </w:r>
          </w:p>
        </w:tc>
        <w:tc>
          <w:tcPr>
            <w:tcW w:w="2268" w:type="dxa"/>
            <w:vAlign w:val="center"/>
          </w:tcPr>
          <w:p>
            <w:pPr>
              <w:pStyle w:val="单元格样式2"/>
            </w:pPr>
            <w:r>
              <w:t xml:space="preserve">≥95%</w:t>
            </w:r>
          </w:p>
        </w:tc>
        <w:tc>
          <w:tcPr>
            <w:tcW w:w="1276" w:type="dxa"/>
            <w:vAlign w:val="center"/>
          </w:tcPr>
          <w:p>
            <w:pPr>
              <w:pStyle w:val="单元格样式2"/>
            </w:pPr>
            <w:r>
              <w:t xml:space="preserve">经费控制率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17、2026年本级支出德银物流项目问题处置工作专班经费-差旅费绩效目标表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13018426P00528810050B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2026年本级支出德银物流项目问题处置工作专班经费-差旅费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用于德银物流项目问题处置工作专班经费-差旅费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1.为高效妥善处理新乐市德银物流项目处置工作问题，切实保障群众合法权益，维护社会稳定。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工作完成情况是否良好</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工作完成质量</w:t>
            </w:r>
          </w:p>
        </w:tc>
        <w:tc>
          <w:tcPr>
            <w:tcW w:w="5386" w:type="dxa"/>
            <w:vAlign w:val="center"/>
          </w:tcPr>
          <w:p>
            <w:pPr>
              <w:pStyle w:val="单元格样式2"/>
            </w:pPr>
            <w:r>
              <w:t xml:space="preserve">工作任务质量达标率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工作任务质量完成是否达标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工作完成及时性</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工作任务是否按时完成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工作专班经费</w:t>
            </w:r>
          </w:p>
        </w:tc>
        <w:tc>
          <w:tcPr>
            <w:tcW w:w="2268" w:type="dxa"/>
            <w:vAlign w:val="center"/>
          </w:tcPr>
          <w:p>
            <w:pPr>
              <w:pStyle w:val="单元格样式2"/>
            </w:pPr>
            <w:r>
              <w:t xml:space="preserve">5万元</w:t>
            </w:r>
          </w:p>
        </w:tc>
        <w:tc>
          <w:tcPr>
            <w:tcW w:w="1276" w:type="dxa"/>
            <w:vAlign w:val="center"/>
          </w:tcPr>
          <w:p>
            <w:pPr>
              <w:pStyle w:val="单元格样式2"/>
            </w:pPr>
            <w:r>
              <w:t xml:space="preserve">专班经费使用合规性</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对新乐市产生一定的影响，得到广大市民的认可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18、冀财资环【2024】90号文关于提前下达2025年中央大气污染防治资金绩效目标表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冀财资环【2024】90号文关于提前下达2025年中央大气污染防治资金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用于大气污染防治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220.43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1.用于农村地区清洁取暖，保障新乐市民顺利过冬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976万元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19、冀财资环【2025】70号文关于提前下达2026年中央大气污染防治资金绩效目标表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13018426P000075100088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冀财资环【2025】70号文关于提前下达2026年中央大气污染防治资金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1248.00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1248.00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用于大气污染防治资金农村地区清洁取暖运营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1.为确保农村地区清洁取暖长效运营。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1248万元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20、冀财资环【2025】71号关于下达中央大气污染防治资金绩效目标表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冀财资环【2025】71号关于下达中央大气污染防治资金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中央大气防治资金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1.为确保农村地区清洁取暖长效运营。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328万元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21、农村冬季清洁取暖运行补助（采暖季“双代”）（县级配套）绩效目标表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13018426P00007510033R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农村冬季清洁取暖运行补助（采暖季“双代”）（县级配套）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用于农村冬季清洁取暖运行补贴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800万元</w:t>
            </w:r>
          </w:p>
        </w:tc>
        <w:tc>
          <w:tcPr>
            <w:tcW w:w="1276" w:type="dxa"/>
            <w:vAlign w:val="center"/>
          </w:tcPr>
          <w:p>
            <w:pPr>
              <w:pStyle w:val="单元格样式2"/>
            </w:pPr>
            <w:r>
              <w:t xml:space="preserve">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22、新乐市白洋淀流域第二污水处理厂设施提升工程绩效目标表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13018423NA6VFGM1W02LQ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新乐市白洋淀流域第二污水处理厂设施提升工程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1115.28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1115.28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用于新乐市白洋淀流域第二污水处理厂设施提升工程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1115.28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1.提高新乐市第二污水处理厂出水水质标准。</w:t>
            </w:r>
          </w:p>
          <w:p>
            <w:pPr>
              <w:pStyle w:val="单元格样式2"/>
            </w:pPr>
            <w:r>
              <w:t xml:space="preserve">2.减轻城市工业污水对白洋淀等重点水域的水体污染。</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达标率</w:t>
            </w:r>
          </w:p>
        </w:tc>
        <w:tc>
          <w:tcPr>
            <w:tcW w:w="5386" w:type="dxa"/>
            <w:vAlign w:val="center"/>
          </w:tcPr>
          <w:p>
            <w:pPr>
              <w:pStyle w:val="单元格样式2"/>
            </w:pPr>
            <w:r>
              <w:t xml:space="preserve">工程达标率</w:t>
            </w:r>
          </w:p>
        </w:tc>
        <w:tc>
          <w:tcPr>
            <w:tcW w:w="2268" w:type="dxa"/>
            <w:vAlign w:val="center"/>
          </w:tcPr>
          <w:p>
            <w:pPr>
              <w:pStyle w:val="单元格样式2"/>
            </w:pPr>
            <w:r>
              <w:t xml:space="preserve">≥95%</w:t>
            </w:r>
          </w:p>
        </w:tc>
        <w:tc>
          <w:tcPr>
            <w:tcW w:w="1276" w:type="dxa"/>
            <w:vAlign w:val="center"/>
          </w:tcPr>
          <w:p>
            <w:pPr>
              <w:pStyle w:val="单元格样式2"/>
            </w:pPr>
            <w:r>
              <w:t xml:space="preserve">工程是否达标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是否能及时完工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1200万元</w:t>
            </w:r>
          </w:p>
        </w:tc>
        <w:tc>
          <w:tcPr>
            <w:tcW w:w="1276" w:type="dxa"/>
            <w:vAlign w:val="center"/>
          </w:tcPr>
          <w:p>
            <w:pPr>
              <w:pStyle w:val="单元格样式2"/>
            </w:pPr>
            <w:r>
              <w:t xml:space="preserve">本级财政拨款</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保护水生态环境，造福后代</w:t>
            </w:r>
          </w:p>
        </w:tc>
        <w:tc>
          <w:tcPr>
            <w:tcW w:w="5386" w:type="dxa"/>
            <w:vAlign w:val="center"/>
          </w:tcPr>
          <w:p>
            <w:pPr>
              <w:pStyle w:val="单元格样式2"/>
            </w:pPr>
            <w:r>
              <w:t xml:space="preserve">我市水生态环境进一步改善</w:t>
            </w:r>
          </w:p>
        </w:tc>
        <w:tc>
          <w:tcPr>
            <w:tcW w:w="2268" w:type="dxa"/>
            <w:vAlign w:val="center"/>
          </w:tcPr>
          <w:p>
            <w:pPr>
              <w:pStyle w:val="单元格样式2"/>
            </w:pPr>
            <w:r>
              <w:t xml:space="preserve">≥95水生态100%得到改善</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社会居民满意度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23、新乐市城区排水管网提升改造工程国债项目省级配套（冀财建【2023】279号）绩效目标表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13018424P00394010001D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新乐市城区排水管网提升改造工程国债项目省级配套（冀财建【2023】279号）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1.保障新乐市排水管道、排涝泵站、调蓄设施、排涝通道建设顺利进行。保证新乐市城市排水防涝工作。</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下达国债数</w:t>
            </w:r>
          </w:p>
        </w:tc>
        <w:tc>
          <w:tcPr>
            <w:tcW w:w="5386" w:type="dxa"/>
            <w:vAlign w:val="center"/>
          </w:tcPr>
          <w:p>
            <w:pPr>
              <w:pStyle w:val="单元格样式2"/>
            </w:pPr>
            <w:r>
              <w:t xml:space="preserve">下达国债资金</w:t>
            </w:r>
          </w:p>
        </w:tc>
        <w:tc>
          <w:tcPr>
            <w:tcW w:w="2268" w:type="dxa"/>
            <w:vAlign w:val="center"/>
          </w:tcPr>
          <w:p>
            <w:pPr>
              <w:pStyle w:val="单元格样式2"/>
            </w:pPr>
            <w:r>
              <w:t xml:space="preserve">375万元</w:t>
            </w:r>
          </w:p>
        </w:tc>
        <w:tc>
          <w:tcPr>
            <w:tcW w:w="1276" w:type="dxa"/>
            <w:vAlign w:val="center"/>
          </w:tcPr>
          <w:p>
            <w:pPr>
              <w:pStyle w:val="单元格样式2"/>
            </w:pPr>
            <w:r>
              <w:t xml:space="preserve">实际拨付</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24、新乐市城区排水管网提升改造工程国债项目省级配套（冀财建【2024】125号）绩效目标表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13018424P00490510001F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新乐市城区排水管网提升改造工程国债项目省级配套（冀财建【2024】125号）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1.通过新建污水管网16000米、雨水管网10000米等设施，提升防灾减灾能力。</w:t>
            </w:r>
            <w:r>
              <w:tab/>
            </w:r>
            <w:r>
              <w:tab/>
            </w:r>
            <w:r>
              <w:tab/>
            </w:r>
            <w:r>
              <w:tab/>
            </w:r>
            <w:r>
              <w:tab/>
            </w:r>
          </w:p>
          <w:p>
            <w:pPr>
              <w:pStyle w:val="单元格样式2"/>
            </w:pPr>
          </w:p>
          <w:p>
            <w:pPr>
              <w:pStyle w:val="单元格样式2"/>
            </w:pPr>
            <w:r>
              <w:t xml:space="preserve">2.保障城区内人民生命财产安全。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25、新乐市城区排水管网提升改造工程国债项目县级配套绩效目标表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13018426P00011410003W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用于新乐市城区排水管网提升改造工程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13049.00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1.通过新建管网160000米、新建雨水管网10000米等设施，提升防灾减灾能力，保证城区人民生命财产安全。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26、新乐市城区排水管网提升改造工程国债项目县级配套（2023年专项债券）绩效目标表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13018423P00358310001X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新乐市城区排水管网提升改造工程国债项目县级配套（2023年专项债券）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729.14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729.14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用于新乐市城区排水管网建设工程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729.14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：为保证城区排水工程的顺利进行。</w:t>
            </w:r>
          </w:p>
          <w:p>
            <w:pPr>
              <w:pStyle w:val="单元格样式2"/>
            </w:pPr>
            <w:r>
              <w:t xml:space="preserve">2.目标内容2  ： 为保证雨季汛期的排水工作顺利开展。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889.06万元</w:t>
            </w:r>
          </w:p>
        </w:tc>
        <w:tc>
          <w:tcPr>
            <w:tcW w:w="1276" w:type="dxa"/>
            <w:vAlign w:val="center"/>
          </w:tcPr>
          <w:p>
            <w:pPr>
              <w:pStyle w:val="单元格样式2"/>
            </w:pPr>
            <w:r>
              <w:t xml:space="preserve">实际拨付</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27、新乐市城镇集中供热提升工程项目绩效目标表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13018424LZ3M8XYY8GZNI</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新乐市城镇集中供热提升工程项目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用于新乐市城镇集中供热提升工程项目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1.为切实做好我市城镇集中供热工作，缓解供热企业压力。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城镇集中供热提升工程建设</w:t>
            </w:r>
          </w:p>
        </w:tc>
        <w:tc>
          <w:tcPr>
            <w:tcW w:w="5386" w:type="dxa"/>
            <w:vAlign w:val="center"/>
          </w:tcPr>
          <w:p>
            <w:pPr>
              <w:pStyle w:val="单元格样式2"/>
            </w:pPr>
            <w:r>
              <w:t xml:space="preserve">反映城镇集中供热提升工程实际完成情况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反映城镇集中供热提升工程实际完成情况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反映城镇集中供热提升工程单位成本控制情况</w:t>
            </w:r>
          </w:p>
        </w:tc>
        <w:tc>
          <w:tcPr>
            <w:tcW w:w="2268" w:type="dxa"/>
            <w:vAlign w:val="center"/>
          </w:tcPr>
          <w:p>
            <w:pPr>
              <w:pStyle w:val="单元格样式2"/>
            </w:pPr>
            <w:r>
              <w:t xml:space="preserve">900万元</w:t>
            </w:r>
          </w:p>
        </w:tc>
        <w:tc>
          <w:tcPr>
            <w:tcW w:w="1276" w:type="dxa"/>
            <w:vAlign w:val="center"/>
          </w:tcPr>
          <w:p>
            <w:pPr>
              <w:pStyle w:val="单元格样式2"/>
            </w:pPr>
            <w:r>
              <w:t xml:space="preserve">工程单位成本控制情况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28、新乐市伏羲上古文旅小镇（一期）配套设施建设工程绩效目标表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130184208P68Y3Y7DR5EQ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新乐市伏羲上古文旅小镇（一期）配套设施建设工程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用于伏羲上古文旅小镇（一期）配套设施建设工程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1.为保证伏羲上古文旅小镇工程顺利进行。美化城市环境，提高市民生活水平。</w:t>
            </w:r>
          </w:p>
          <w:p>
            <w:pPr>
              <w:pStyle w:val="单元格样式2"/>
            </w:pPr>
            <w:r>
              <w:t xml:space="preserve">2.为美化城市环境，提高市民生活水平。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250万元</w:t>
            </w:r>
          </w:p>
        </w:tc>
        <w:tc>
          <w:tcPr>
            <w:tcW w:w="1276" w:type="dxa"/>
            <w:vAlign w:val="center"/>
          </w:tcPr>
          <w:p>
            <w:pPr>
              <w:pStyle w:val="单元格样式2"/>
            </w:pPr>
            <w:r>
              <w:t xml:space="preserve">预算控制数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29、新乐市燃气行业智慧监管平台建设项目绩效目标表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130184234TR5MRZZ1TXVY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新乐市燃气行业智慧监管平台建设项目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专项债券资金用于新乐市燃气行业智慧监管平台建设项目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48.53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1.专项债券资金用于新乐市燃气行业智慧监管平台建设项目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燃气行业平台建设</w:t>
            </w:r>
          </w:p>
        </w:tc>
        <w:tc>
          <w:tcPr>
            <w:tcW w:w="5386" w:type="dxa"/>
            <w:vAlign w:val="center"/>
          </w:tcPr>
          <w:p>
            <w:pPr>
              <w:pStyle w:val="单元格样式2"/>
            </w:pPr>
            <w:r>
              <w:t xml:space="preserve">燃气行业平台建设</w:t>
            </w:r>
          </w:p>
        </w:tc>
        <w:tc>
          <w:tcPr>
            <w:tcW w:w="2268" w:type="dxa"/>
            <w:vAlign w:val="center"/>
          </w:tcPr>
          <w:p>
            <w:pPr>
              <w:pStyle w:val="单元格样式2"/>
            </w:pPr>
            <w:r>
              <w:t xml:space="preserve">≥1燃气行业平台建设</w:t>
            </w:r>
          </w:p>
        </w:tc>
        <w:tc>
          <w:tcPr>
            <w:tcW w:w="1276" w:type="dxa"/>
            <w:vAlign w:val="center"/>
          </w:tcPr>
          <w:p>
            <w:pPr>
              <w:pStyle w:val="单元格样式2"/>
            </w:pPr>
            <w:r>
              <w:t xml:space="preserve">燃气行业平台建设</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21410.24</w:t>
            </w:r>
          </w:p>
        </w:tc>
        <w:tc>
          <w:tcPr>
            <w:tcW w:w="964" w:type="dxa"/>
            <w:vAlign w:val="center"/>
          </w:tcPr>
          <w:p>
            <w:pPr>
              <w:pStyle w:val="单元格样式7"/>
            </w:pPr>
            <w:r>
              <w:t xml:space="preserve">21410.24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5131.24</w:t>
            </w:r>
          </w:p>
        </w:tc>
      </w:tr>
      <w:tr>
        <w:tblPrEx>
          <w:jc w:val="center"/>
          <w:tblLayout w:type="fixed"/>
        </w:tblPrEx>
        <w:trPr>
          <w:jc w:val="center"/>
        </w:trPr>
        <w:tc>
          <w:tcPr>
            <w:tcW w:w="1701" w:type="dxa"/>
            <w:vAlign w:val="center"/>
          </w:tcPr>
          <w:p>
            <w:pPr>
              <w:pStyle w:val="单元格样式6"/>
            </w:pPr>
            <w:r>
              <w:t xml:space="preserve">新乐市城市管理综合行政执法局本级小计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21410.24</w:t>
            </w:r>
          </w:p>
        </w:tc>
        <w:tc>
          <w:tcPr>
            <w:tcW w:w="964" w:type="dxa"/>
            <w:vAlign w:val="center"/>
          </w:tcPr>
          <w:p>
            <w:pPr>
              <w:pStyle w:val="单元格样式7"/>
            </w:pPr>
            <w:r>
              <w:t xml:space="preserve">21410.24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5131.24</w:t>
            </w:r>
          </w:p>
        </w:tc>
      </w:tr>
      <w:tr>
        <w:tblPrEx>
          <w:jc w:val="center"/>
          <w:tblLayout w:type="fixed"/>
        </w:tblPrEx>
        <w:trPr>
          <w:jc w:val="center"/>
        </w:trPr>
        <w:tc>
          <w:tcPr>
            <w:tcW w:w="1701" w:type="dxa"/>
            <w:vAlign w:val="center"/>
          </w:tcPr>
          <w:p>
            <w:pPr>
              <w:pStyle w:val="单元格样式2"/>
            </w:pPr>
            <w:r>
              <w:t xml:space="preserve">2026年本级支出-城乡环卫</w:t>
            </w:r>
          </w:p>
        </w:tc>
        <w:tc>
          <w:tcPr>
            <w:tcW w:w="964" w:type="dxa"/>
            <w:vAlign w:val="center"/>
          </w:tcPr>
          <w:p>
            <w:pPr>
              <w:pStyle w:val="单元格样式4"/>
            </w:pPr>
            <w:r>
              <w:t xml:space="preserve">2900.00</w:t>
            </w:r>
          </w:p>
        </w:tc>
        <w:tc>
          <w:tcPr>
            <w:tcW w:w="1134" w:type="dxa"/>
            <w:vAlign w:val="center"/>
          </w:tcPr>
          <w:p>
            <w:pPr>
              <w:pStyle w:val="单元格样式2"/>
            </w:pPr>
            <w:r>
              <w:t xml:space="preserve">市容管理服务</w:t>
            </w:r>
          </w:p>
        </w:tc>
        <w:tc>
          <w:tcPr>
            <w:tcW w:w="1134" w:type="dxa"/>
            <w:vAlign w:val="center"/>
          </w:tcPr>
          <w:p>
            <w:pPr>
              <w:pStyle w:val="单元格样式2"/>
            </w:pPr>
            <w:r>
              <w:t xml:space="preserve">C13040000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290.00</w:t>
            </w:r>
          </w:p>
        </w:tc>
        <w:tc>
          <w:tcPr>
            <w:tcW w:w="964" w:type="dxa"/>
            <w:vAlign w:val="center"/>
          </w:tcPr>
          <w:p>
            <w:pPr>
              <w:pStyle w:val="单元格样式4"/>
            </w:pPr>
            <w:r>
              <w:t xml:space="preserve">290.00</w:t>
            </w:r>
          </w:p>
        </w:tc>
        <w:tc>
          <w:tcPr>
            <w:tcW w:w="964" w:type="dxa"/>
            <w:vAlign w:val="center"/>
          </w:tcPr>
          <w:p>
            <w:pPr>
              <w:pStyle w:val="单元格样式4"/>
            </w:pPr>
            <w:r>
              <w:t xml:space="preserve">290.00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2026年本级支出-城乡环卫</w:t>
            </w:r>
          </w:p>
        </w:tc>
        <w:tc>
          <w:tcPr>
            <w:tcW w:w="964" w:type="dxa"/>
            <w:vAlign w:val="center"/>
          </w:tcPr>
          <w:p>
            <w:pPr>
              <w:pStyle w:val="单元格样式4"/>
            </w:pPr>
            <w:r>
              <w:t xml:space="preserve">2900.00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1840.00</w:t>
            </w:r>
          </w:p>
        </w:tc>
        <w:tc>
          <w:tcPr>
            <w:tcW w:w="964" w:type="dxa"/>
            <w:vAlign w:val="center"/>
          </w:tcPr>
          <w:p>
            <w:pPr>
              <w:pStyle w:val="单元格样式4"/>
            </w:pPr>
            <w:r>
              <w:t xml:space="preserve">1840.00</w:t>
            </w:r>
          </w:p>
        </w:tc>
        <w:tc>
          <w:tcPr>
            <w:tcW w:w="964" w:type="dxa"/>
            <w:vAlign w:val="center"/>
          </w:tcPr>
          <w:p>
            <w:pPr>
              <w:pStyle w:val="单元格样式4"/>
            </w:pPr>
            <w:r>
              <w:t xml:space="preserve">1840.00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2026年本级支出-垃圾处理</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r>
              <w:t xml:space="preserve">100.00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2026年本级支出-石家庄嘉盛生活垃圾焚烧厂垃圾处置费</w:t>
            </w:r>
          </w:p>
        </w:tc>
        <w:tc>
          <w:tcPr>
            <w:tcW w:w="964" w:type="dxa"/>
            <w:vAlign w:val="center"/>
          </w:tcPr>
          <w:p>
            <w:pPr>
              <w:pStyle w:val="单元格样式4"/>
            </w:pPr>
            <w:r>
              <w:t xml:space="preserve">50.00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500.00</w:t>
            </w:r>
          </w:p>
        </w:tc>
        <w:tc>
          <w:tcPr>
            <w:tcW w:w="964" w:type="dxa"/>
            <w:vAlign w:val="center"/>
          </w:tcPr>
          <w:p>
            <w:pPr>
              <w:pStyle w:val="单元格样式4"/>
            </w:pPr>
            <w:r>
              <w:t xml:space="preserve">500.00</w:t>
            </w:r>
          </w:p>
        </w:tc>
        <w:tc>
          <w:tcPr>
            <w:tcW w:w="964" w:type="dxa"/>
            <w:vAlign w:val="center"/>
          </w:tcPr>
          <w:p>
            <w:pPr>
              <w:pStyle w:val="单元格样式4"/>
            </w:pPr>
            <w:r>
              <w:t xml:space="preserve">500.00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市容管理服务</w:t>
            </w:r>
          </w:p>
        </w:tc>
        <w:tc>
          <w:tcPr>
            <w:tcW w:w="1134" w:type="dxa"/>
            <w:vAlign w:val="center"/>
          </w:tcPr>
          <w:p>
            <w:pPr>
              <w:pStyle w:val="单元格样式2"/>
            </w:pPr>
            <w:r>
              <w:t xml:space="preserve">C13040000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2026年本级支出-园林绿化</w:t>
            </w:r>
          </w:p>
        </w:tc>
        <w:tc>
          <w:tcPr>
            <w:tcW w:w="964" w:type="dxa"/>
            <w:vAlign w:val="center"/>
          </w:tcPr>
          <w:p>
            <w:pPr>
              <w:pStyle w:val="单元格样式4"/>
            </w:pPr>
            <w:r>
              <w:t xml:space="preserve">1000.00</w:t>
            </w:r>
          </w:p>
        </w:tc>
        <w:tc>
          <w:tcPr>
            <w:tcW w:w="1134" w:type="dxa"/>
            <w:vAlign w:val="center"/>
          </w:tcPr>
          <w:p>
            <w:pPr>
              <w:pStyle w:val="单元格样式2"/>
            </w:pPr>
            <w:r>
              <w:t xml:space="preserve">清扫服务</w:t>
            </w:r>
          </w:p>
        </w:tc>
        <w:tc>
          <w:tcPr>
            <w:tcW w:w="1134" w:type="dxa"/>
            <w:vAlign w:val="center"/>
          </w:tcPr>
          <w:p>
            <w:pPr>
              <w:pStyle w:val="单元格样式2"/>
            </w:pPr>
            <w:r>
              <w:t xml:space="preserve">C13050100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r>
              <w:t xml:space="preserve">250.00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315.47</w:t>
            </w:r>
          </w:p>
        </w:tc>
        <w:tc>
          <w:tcPr>
            <w:tcW w:w="964" w:type="dxa"/>
            <w:vAlign w:val="center"/>
          </w:tcPr>
          <w:p>
            <w:pPr>
              <w:pStyle w:val="单元格样式4"/>
            </w:pPr>
            <w:r>
              <w:t xml:space="preserve">315.47</w:t>
            </w:r>
          </w:p>
        </w:tc>
        <w:tc>
          <w:tcPr>
            <w:tcW w:w="964" w:type="dxa"/>
            <w:vAlign w:val="center"/>
          </w:tcPr>
          <w:p>
            <w:pPr>
              <w:pStyle w:val="单元格样式4"/>
            </w:pPr>
            <w:r>
              <w:t xml:space="preserve">315.47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315.47</w:t>
            </w: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其他城镇公共卫生服务</w:t>
            </w:r>
          </w:p>
        </w:tc>
        <w:tc>
          <w:tcPr>
            <w:tcW w:w="1134" w:type="dxa"/>
            <w:vAlign w:val="center"/>
          </w:tcPr>
          <w:p>
            <w:pPr>
              <w:pStyle w:val="单元格样式2"/>
            </w:pPr>
            <w:r>
              <w:t xml:space="preserve">C13059900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4038.79</w:t>
            </w:r>
          </w:p>
        </w:tc>
        <w:tc>
          <w:tcPr>
            <w:tcW w:w="964" w:type="dxa"/>
            <w:vAlign w:val="center"/>
          </w:tcPr>
          <w:p>
            <w:pPr>
              <w:pStyle w:val="单元格样式4"/>
            </w:pPr>
            <w:r>
              <w:t xml:space="preserve">4038.79</w:t>
            </w:r>
          </w:p>
        </w:tc>
        <w:tc>
          <w:tcPr>
            <w:tcW w:w="964" w:type="dxa"/>
            <w:vAlign w:val="center"/>
          </w:tcPr>
          <w:p>
            <w:pPr>
              <w:pStyle w:val="单元格样式4"/>
            </w:pPr>
            <w:r>
              <w:t xml:space="preserve">4038.79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4038.79</w:t>
            </w:r>
          </w:p>
        </w:tc>
      </w:tr>
      <w:tr>
        <w:tblPrEx>
          <w:jc w:val="center"/>
          <w:tblLayout w:type="fixed"/>
        </w:tblPrEx>
        <w:trPr>
          <w:jc w:val="center"/>
        </w:trPr>
        <w:tc>
          <w:tcPr>
            <w:tcW w:w="1701" w:type="dxa"/>
            <w:vAlign w:val="center"/>
          </w:tcPr>
          <w:p>
            <w:pPr>
              <w:pStyle w:val="单元格样式2"/>
            </w:pPr>
            <w:r>
              <w:t xml:space="preserve">2026年本级支出-执法局城市管理工程款</w:t>
            </w:r>
          </w:p>
        </w:tc>
        <w:tc>
          <w:tcPr>
            <w:tcW w:w="964" w:type="dxa"/>
            <w:vAlign w:val="center"/>
          </w:tcPr>
          <w:p>
            <w:pPr>
              <w:pStyle w:val="单元格样式4"/>
            </w:pPr>
            <w:r>
              <w:t xml:space="preserve">5152.10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726.98</w:t>
            </w:r>
          </w:p>
        </w:tc>
        <w:tc>
          <w:tcPr>
            <w:tcW w:w="964" w:type="dxa"/>
            <w:vAlign w:val="center"/>
          </w:tcPr>
          <w:p>
            <w:pPr>
              <w:pStyle w:val="单元格样式4"/>
            </w:pPr>
            <w:r>
              <w:t xml:space="preserve">726.98</w:t>
            </w:r>
          </w:p>
        </w:tc>
        <w:tc>
          <w:tcPr>
            <w:tcW w:w="964" w:type="dxa"/>
            <w:vAlign w:val="center"/>
          </w:tcPr>
          <w:p>
            <w:pPr>
              <w:pStyle w:val="单元格样式4"/>
            </w:pPr>
            <w:r>
              <w:t xml:space="preserve">726.98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726.98</w:t>
            </w:r>
          </w:p>
        </w:tc>
      </w:tr>
      <w:tr>
        <w:tblPrEx>
          <w:jc w:val="center"/>
          <w:tblLayout w:type="fixed"/>
        </w:tblPrEx>
        <w:trPr>
          <w:jc w:val="center"/>
        </w:trPr>
        <w:tc>
          <w:tcPr>
            <w:tcW w:w="1701" w:type="dxa"/>
            <w:vAlign w:val="center"/>
          </w:tcPr>
          <w:p>
            <w:pPr>
              <w:pStyle w:val="单元格样式2"/>
            </w:pPr>
            <w:r>
              <w:t xml:space="preserve">新乐市城区排水管网提升改造工程国债项目县级配套</w:t>
            </w:r>
          </w:p>
        </w:tc>
        <w:tc>
          <w:tcPr>
            <w:tcW w:w="964" w:type="dxa"/>
            <w:vAlign w:val="center"/>
          </w:tcPr>
          <w:p>
            <w:pPr>
              <w:pStyle w:val="单元格样式4"/>
            </w:pPr>
            <w:r>
              <w:t xml:space="preserve">13049.00</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13049.00</w:t>
            </w:r>
          </w:p>
        </w:tc>
        <w:tc>
          <w:tcPr>
            <w:tcW w:w="964" w:type="dxa"/>
            <w:vAlign w:val="center"/>
          </w:tcPr>
          <w:p>
            <w:pPr>
              <w:pStyle w:val="单元格样式4"/>
            </w:pPr>
            <w:r>
              <w:t xml:space="preserve">13049.00</w:t>
            </w:r>
          </w:p>
        </w:tc>
        <w:tc>
          <w:tcPr>
            <w:tcW w:w="964" w:type="dxa"/>
            <w:vAlign w:val="center"/>
          </w:tcPr>
          <w:p>
            <w:pPr>
              <w:pStyle w:val="单元格样式4"/>
            </w:pPr>
            <w:r>
              <w:t xml:space="preserve">13049.00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新乐市城市管理综合行政执法局本级上年末固定资产金额为19010.51万元（详见下表）。本年度拟购置固定资产总额为0.00万元，已按要求列入政府采购预算，详见政府采购预算表。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19010.51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2742.52</w:t>
            </w:r>
          </w:p>
        </w:tc>
        <w:tc>
          <w:tcPr>
            <w:tcW w:w="2835" w:type="dxa"/>
            <w:vAlign w:val="center"/>
          </w:tcPr>
          <w:p>
            <w:pPr>
              <w:pStyle w:val="单元格样式4"/>
            </w:pPr>
            <w:r>
              <w:t xml:space="preserve">443.95</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472.52</w:t>
            </w:r>
          </w:p>
        </w:tc>
        <w:tc>
          <w:tcPr>
            <w:tcW w:w="2835" w:type="dxa"/>
            <w:vAlign w:val="center"/>
          </w:tcPr>
          <w:p>
            <w:pPr>
              <w:pStyle w:val="单元格样式4"/>
            </w:pPr>
            <w:r>
              <w:t xml:space="preserve">76.98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3</w:t>
            </w:r>
          </w:p>
        </w:tc>
        <w:tc>
          <w:tcPr>
            <w:tcW w:w="2835" w:type="dxa"/>
            <w:vAlign w:val="center"/>
          </w:tcPr>
          <w:p>
            <w:pPr>
              <w:pStyle w:val="单元格样式4"/>
            </w:pPr>
            <w:r>
              <w:t xml:space="preserve">13.13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58</w:t>
            </w:r>
          </w:p>
        </w:tc>
        <w:tc>
          <w:tcPr>
            <w:tcW w:w="2835" w:type="dxa"/>
            <w:vAlign w:val="center"/>
          </w:tcPr>
          <w:p>
            <w:pPr>
              <w:pStyle w:val="单元格样式4"/>
            </w:pPr>
            <w:r>
              <w:t xml:space="preserve">8976.00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6007</w:t>
            </w:r>
          </w:p>
        </w:tc>
        <w:tc>
          <w:tcPr>
            <w:tcW w:w="2835" w:type="dxa"/>
            <w:vAlign w:val="center"/>
          </w:tcPr>
          <w:p>
            <w:pPr>
              <w:pStyle w:val="单元格样式4"/>
            </w:pPr>
            <w:r>
              <w:t xml:space="preserve">9577.43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二、新乐市市场管理中心收支预算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194.03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135.96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7.46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15.49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204.03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204.03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204.03</w:t>
            </w:r>
          </w:p>
        </w:tc>
        <w:tc>
          <w:tcPr>
            <w:tcW w:w="4535" w:type="dxa"/>
            <w:vAlign w:val="center"/>
          </w:tcPr>
          <w:p>
            <w:pPr>
              <w:pStyle w:val="单元格样式6"/>
            </w:pPr>
            <w:r>
              <w:t xml:space="preserve">支出总计</w:t>
            </w:r>
          </w:p>
        </w:tc>
        <w:tc>
          <w:tcPr>
            <w:tcW w:w="2126" w:type="dxa"/>
            <w:vAlign w:val="center"/>
          </w:tcPr>
          <w:p>
            <w:pPr>
              <w:pStyle w:val="单元格样式7"/>
            </w:pPr>
            <w:r>
              <w:t xml:space="preserve">204.03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204.03</w:t>
            </w:r>
          </w:p>
        </w:tc>
        <w:tc>
          <w:tcPr>
            <w:tcW w:w="1134" w:type="dxa"/>
            <w:vAlign w:val="center"/>
          </w:tcPr>
          <w:p>
            <w:pPr>
              <w:pStyle w:val="单元格样式7"/>
            </w:pPr>
            <w:r>
              <w:t xml:space="preserve">204.03</w:t>
            </w:r>
          </w:p>
        </w:tc>
        <w:tc>
          <w:tcPr>
            <w:tcW w:w="1134" w:type="dxa"/>
            <w:vAlign w:val="center"/>
          </w:tcPr>
          <w:p>
            <w:pPr>
              <w:pStyle w:val="单元格样式7"/>
            </w:pPr>
            <w:r>
              <w:t xml:space="preserve">204.03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20113</w:t>
            </w:r>
          </w:p>
        </w:tc>
        <w:tc>
          <w:tcPr>
            <w:tcW w:w="1559" w:type="dxa"/>
            <w:vAlign w:val="center"/>
          </w:tcPr>
          <w:p>
            <w:pPr>
              <w:pStyle w:val="单元格样式2"/>
            </w:pPr>
            <w:r>
              <w:t xml:space="preserve">商贸事务</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2011350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r>
              <w:t xml:space="preserve">135.96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35.12</w:t>
            </w:r>
          </w:p>
        </w:tc>
        <w:tc>
          <w:tcPr>
            <w:tcW w:w="1134" w:type="dxa"/>
            <w:vAlign w:val="center"/>
          </w:tcPr>
          <w:p>
            <w:pPr>
              <w:pStyle w:val="单元格样式4"/>
            </w:pPr>
            <w:r>
              <w:t xml:space="preserve">35.12</w:t>
            </w:r>
          </w:p>
        </w:tc>
        <w:tc>
          <w:tcPr>
            <w:tcW w:w="1134" w:type="dxa"/>
            <w:vAlign w:val="center"/>
          </w:tcPr>
          <w:p>
            <w:pPr>
              <w:pStyle w:val="单元格样式4"/>
            </w:pPr>
            <w:r>
              <w:t xml:space="preserve">35.12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33.92</w:t>
            </w:r>
          </w:p>
        </w:tc>
        <w:tc>
          <w:tcPr>
            <w:tcW w:w="1134" w:type="dxa"/>
            <w:vAlign w:val="center"/>
          </w:tcPr>
          <w:p>
            <w:pPr>
              <w:pStyle w:val="单元格样式4"/>
            </w:pPr>
            <w:r>
              <w:t xml:space="preserve">33.92</w:t>
            </w:r>
          </w:p>
        </w:tc>
        <w:tc>
          <w:tcPr>
            <w:tcW w:w="1134" w:type="dxa"/>
            <w:vAlign w:val="center"/>
          </w:tcPr>
          <w:p>
            <w:pPr>
              <w:pStyle w:val="单元格样式4"/>
            </w:pPr>
            <w:r>
              <w:t xml:space="preserve">33.92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5.70</w:t>
            </w:r>
          </w:p>
        </w:tc>
        <w:tc>
          <w:tcPr>
            <w:tcW w:w="1134" w:type="dxa"/>
            <w:vAlign w:val="center"/>
          </w:tcPr>
          <w:p>
            <w:pPr>
              <w:pStyle w:val="单元格样式4"/>
            </w:pPr>
            <w:r>
              <w:t xml:space="preserve">5.70</w:t>
            </w:r>
          </w:p>
        </w:tc>
        <w:tc>
          <w:tcPr>
            <w:tcW w:w="1134" w:type="dxa"/>
            <w:vAlign w:val="center"/>
          </w:tcPr>
          <w:p>
            <w:pPr>
              <w:pStyle w:val="单元格样式4"/>
            </w:pPr>
            <w:r>
              <w:t xml:space="preserve">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18.81</w:t>
            </w:r>
          </w:p>
        </w:tc>
        <w:tc>
          <w:tcPr>
            <w:tcW w:w="1134" w:type="dxa"/>
            <w:vAlign w:val="center"/>
          </w:tcPr>
          <w:p>
            <w:pPr>
              <w:pStyle w:val="单元格样式4"/>
            </w:pPr>
            <w:r>
              <w:t xml:space="preserve">18.81</w:t>
            </w:r>
          </w:p>
        </w:tc>
        <w:tc>
          <w:tcPr>
            <w:tcW w:w="1134" w:type="dxa"/>
            <w:vAlign w:val="center"/>
          </w:tcPr>
          <w:p>
            <w:pPr>
              <w:pStyle w:val="单元格样式4"/>
            </w:pPr>
            <w:r>
              <w:t xml:space="preserve">18.81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9.41</w:t>
            </w:r>
          </w:p>
        </w:tc>
        <w:tc>
          <w:tcPr>
            <w:tcW w:w="1134" w:type="dxa"/>
            <w:vAlign w:val="center"/>
          </w:tcPr>
          <w:p>
            <w:pPr>
              <w:pStyle w:val="单元格样式4"/>
            </w:pPr>
            <w:r>
              <w:t xml:space="preserve">9.41</w:t>
            </w:r>
          </w:p>
        </w:tc>
        <w:tc>
          <w:tcPr>
            <w:tcW w:w="1134" w:type="dxa"/>
            <w:vAlign w:val="center"/>
          </w:tcPr>
          <w:p>
            <w:pPr>
              <w:pStyle w:val="单元格样式4"/>
            </w:pPr>
            <w:r>
              <w:t xml:space="preserve">9.41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r>
              <w:t xml:space="preserve">1.20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r>
              <w:t xml:space="preserve">7.46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2120810</w:t>
            </w:r>
          </w:p>
        </w:tc>
        <w:tc>
          <w:tcPr>
            <w:tcW w:w="1559" w:type="dxa"/>
            <w:vAlign w:val="center"/>
          </w:tcPr>
          <w:p>
            <w:pPr>
              <w:pStyle w:val="单元格样式2"/>
            </w:pPr>
            <w:r>
              <w:t xml:space="preserve">棚户区改造支出</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r>
              <w:t xml:space="preserve">10.00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r>
              <w:t xml:space="preserve">15.49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204.03</w:t>
            </w:r>
          </w:p>
        </w:tc>
        <w:tc>
          <w:tcPr>
            <w:tcW w:w="1361" w:type="dxa"/>
            <w:vAlign w:val="center"/>
          </w:tcPr>
          <w:p>
            <w:pPr>
              <w:pStyle w:val="单元格样式7"/>
            </w:pPr>
            <w:r>
              <w:t xml:space="preserve">194.03</w:t>
            </w:r>
          </w:p>
        </w:tc>
        <w:tc>
          <w:tcPr>
            <w:tcW w:w="1361" w:type="dxa"/>
            <w:vAlign w:val="center"/>
          </w:tcPr>
          <w:p>
            <w:pPr>
              <w:pStyle w:val="单元格样式7"/>
            </w:pPr>
            <w:r>
              <w:t xml:space="preserve">10.00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20113</w:t>
            </w:r>
          </w:p>
        </w:tc>
        <w:tc>
          <w:tcPr>
            <w:tcW w:w="4535" w:type="dxa"/>
            <w:vAlign w:val="center"/>
          </w:tcPr>
          <w:p>
            <w:pPr>
              <w:pStyle w:val="单元格样式2"/>
            </w:pPr>
            <w:r>
              <w:t xml:space="preserve">商贸事务</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135.96</w:t>
            </w:r>
          </w:p>
        </w:tc>
        <w:tc>
          <w:tcPr>
            <w:tcW w:w="1361" w:type="dxa"/>
            <w:vAlign w:val="center"/>
          </w:tcPr>
          <w:p>
            <w:pPr>
              <w:pStyle w:val="单元格样式4"/>
            </w:pPr>
            <w:r>
              <w:t xml:space="preserve">135.96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35.12</w:t>
            </w:r>
          </w:p>
        </w:tc>
        <w:tc>
          <w:tcPr>
            <w:tcW w:w="1361" w:type="dxa"/>
            <w:vAlign w:val="center"/>
          </w:tcPr>
          <w:p>
            <w:pPr>
              <w:pStyle w:val="单元格样式4"/>
            </w:pPr>
            <w:r>
              <w:t xml:space="preserve">35.12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33.92</w:t>
            </w:r>
          </w:p>
        </w:tc>
        <w:tc>
          <w:tcPr>
            <w:tcW w:w="1361" w:type="dxa"/>
            <w:vAlign w:val="center"/>
          </w:tcPr>
          <w:p>
            <w:pPr>
              <w:pStyle w:val="单元格样式4"/>
            </w:pPr>
            <w:r>
              <w:t xml:space="preserve">33.92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5.70</w:t>
            </w:r>
          </w:p>
        </w:tc>
        <w:tc>
          <w:tcPr>
            <w:tcW w:w="1361" w:type="dxa"/>
            <w:vAlign w:val="center"/>
          </w:tcPr>
          <w:p>
            <w:pPr>
              <w:pStyle w:val="单元格样式4"/>
            </w:pPr>
            <w:r>
              <w:t xml:space="preserve">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18.81</w:t>
            </w:r>
          </w:p>
        </w:tc>
        <w:tc>
          <w:tcPr>
            <w:tcW w:w="1361" w:type="dxa"/>
            <w:vAlign w:val="center"/>
          </w:tcPr>
          <w:p>
            <w:pPr>
              <w:pStyle w:val="单元格样式4"/>
            </w:pPr>
            <w:r>
              <w:t xml:space="preserve">18.81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9.41</w:t>
            </w:r>
          </w:p>
        </w:tc>
        <w:tc>
          <w:tcPr>
            <w:tcW w:w="1361" w:type="dxa"/>
            <w:vAlign w:val="center"/>
          </w:tcPr>
          <w:p>
            <w:pPr>
              <w:pStyle w:val="单元格样式4"/>
            </w:pPr>
            <w:r>
              <w:t xml:space="preserve">9.41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1.20</w:t>
            </w: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1.20</w:t>
            </w:r>
          </w:p>
        </w:tc>
        <w:tc>
          <w:tcPr>
            <w:tcW w:w="1361" w:type="dxa"/>
            <w:vAlign w:val="center"/>
          </w:tcPr>
          <w:p>
            <w:pPr>
              <w:pStyle w:val="单元格样式4"/>
            </w:pPr>
            <w:r>
              <w:t xml:space="preserve">1.20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7.46</w:t>
            </w:r>
          </w:p>
        </w:tc>
        <w:tc>
          <w:tcPr>
            <w:tcW w:w="1361" w:type="dxa"/>
            <w:vAlign w:val="center"/>
          </w:tcPr>
          <w:p>
            <w:pPr>
              <w:pStyle w:val="单元格样式4"/>
            </w:pPr>
            <w:r>
              <w:t xml:space="preserve">7.46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7.46</w:t>
            </w:r>
          </w:p>
        </w:tc>
        <w:tc>
          <w:tcPr>
            <w:tcW w:w="1361" w:type="dxa"/>
            <w:vAlign w:val="center"/>
          </w:tcPr>
          <w:p>
            <w:pPr>
              <w:pStyle w:val="单元格样式4"/>
            </w:pPr>
            <w:r>
              <w:t xml:space="preserve">7.46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7.46</w:t>
            </w:r>
          </w:p>
        </w:tc>
        <w:tc>
          <w:tcPr>
            <w:tcW w:w="1361" w:type="dxa"/>
            <w:vAlign w:val="center"/>
          </w:tcPr>
          <w:p>
            <w:pPr>
              <w:pStyle w:val="单元格样式4"/>
            </w:pPr>
            <w:r>
              <w:t xml:space="preserve">7.46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r>
              <w:t xml:space="preserve">10.00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15.49</w:t>
            </w:r>
          </w:p>
        </w:tc>
        <w:tc>
          <w:tcPr>
            <w:tcW w:w="1361" w:type="dxa"/>
            <w:vAlign w:val="center"/>
          </w:tcPr>
          <w:p>
            <w:pPr>
              <w:pStyle w:val="单元格样式4"/>
            </w:pPr>
            <w:r>
              <w:t xml:space="preserve">15.49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15.49</w:t>
            </w:r>
          </w:p>
        </w:tc>
        <w:tc>
          <w:tcPr>
            <w:tcW w:w="1361" w:type="dxa"/>
            <w:vAlign w:val="center"/>
          </w:tcPr>
          <w:p>
            <w:pPr>
              <w:pStyle w:val="单元格样式4"/>
            </w:pPr>
            <w:r>
              <w:t xml:space="preserve">15.49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15.49</w:t>
            </w:r>
          </w:p>
        </w:tc>
        <w:tc>
          <w:tcPr>
            <w:tcW w:w="1361" w:type="dxa"/>
            <w:vAlign w:val="center"/>
          </w:tcPr>
          <w:p>
            <w:pPr>
              <w:pStyle w:val="单元格样式4"/>
            </w:pPr>
            <w:r>
              <w:t xml:space="preserve">15.49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194.03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135.96</w:t>
            </w:r>
          </w:p>
        </w:tc>
        <w:tc>
          <w:tcPr>
            <w:tcW w:w="1474" w:type="dxa"/>
            <w:vAlign w:val="center"/>
          </w:tcPr>
          <w:p>
            <w:pPr>
              <w:pStyle w:val="单元格样式4"/>
            </w:pPr>
            <w:r>
              <w:t xml:space="preserve">135.96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35.12</w:t>
            </w:r>
          </w:p>
        </w:tc>
        <w:tc>
          <w:tcPr>
            <w:tcW w:w="1474" w:type="dxa"/>
            <w:vAlign w:val="center"/>
          </w:tcPr>
          <w:p>
            <w:pPr>
              <w:pStyle w:val="单元格样式4"/>
            </w:pPr>
            <w:r>
              <w:t xml:space="preserve">35.12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7.46</w:t>
            </w:r>
          </w:p>
        </w:tc>
        <w:tc>
          <w:tcPr>
            <w:tcW w:w="1474" w:type="dxa"/>
            <w:vAlign w:val="center"/>
          </w:tcPr>
          <w:p>
            <w:pPr>
              <w:pStyle w:val="单元格样式4"/>
            </w:pPr>
            <w:r>
              <w:t xml:space="preserve">7.46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10.00</w:t>
            </w:r>
          </w:p>
        </w:tc>
        <w:tc>
          <w:tcPr>
            <w:tcW w:w="1474" w:type="dxa"/>
            <w:vAlign w:val="center"/>
          </w:tcPr>
          <w:p>
            <w:pPr>
              <w:pStyle w:val="单元格样式4"/>
            </w:pPr>
          </w:p>
        </w:tc>
        <w:tc>
          <w:tcPr>
            <w:tcW w:w="1474" w:type="dxa"/>
            <w:vAlign w:val="center"/>
          </w:tcPr>
          <w:p>
            <w:pPr>
              <w:pStyle w:val="单元格样式4"/>
            </w:pPr>
            <w:r>
              <w:t xml:space="preserve">10.00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15.49</w:t>
            </w:r>
          </w:p>
        </w:tc>
        <w:tc>
          <w:tcPr>
            <w:tcW w:w="1474" w:type="dxa"/>
            <w:vAlign w:val="center"/>
          </w:tcPr>
          <w:p>
            <w:pPr>
              <w:pStyle w:val="单元格样式4"/>
            </w:pPr>
            <w:r>
              <w:t xml:space="preserve">15.49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204.03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204.03</w:t>
            </w:r>
          </w:p>
        </w:tc>
        <w:tc>
          <w:tcPr>
            <w:tcW w:w="1474" w:type="dxa"/>
            <w:vAlign w:val="center"/>
          </w:tcPr>
          <w:p>
            <w:pPr>
              <w:pStyle w:val="单元格样式7"/>
            </w:pPr>
            <w:r>
              <w:t xml:space="preserve">194.03</w:t>
            </w:r>
          </w:p>
        </w:tc>
        <w:tc>
          <w:tcPr>
            <w:tcW w:w="1474" w:type="dxa"/>
            <w:vAlign w:val="center"/>
          </w:tcPr>
          <w:p>
            <w:pPr>
              <w:pStyle w:val="单元格样式7"/>
            </w:pPr>
            <w:r>
              <w:t xml:space="preserve">10.00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204.03</w:t>
            </w:r>
          </w:p>
        </w:tc>
        <w:tc>
          <w:tcPr>
            <w:tcW w:w="3402" w:type="dxa"/>
            <w:vAlign w:val="center"/>
          </w:tcPr>
          <w:p>
            <w:pPr>
              <w:pStyle w:val="单元格样式6"/>
            </w:pPr>
            <w:r>
              <w:t xml:space="preserve">支出总计</w:t>
            </w:r>
          </w:p>
        </w:tc>
        <w:tc>
          <w:tcPr>
            <w:tcW w:w="1474" w:type="dxa"/>
            <w:vAlign w:val="center"/>
          </w:tcPr>
          <w:p>
            <w:pPr>
              <w:pStyle w:val="单元格样式7"/>
            </w:pPr>
            <w:r>
              <w:t xml:space="preserve">204.03</w:t>
            </w:r>
          </w:p>
        </w:tc>
        <w:tc>
          <w:tcPr>
            <w:tcW w:w="1474" w:type="dxa"/>
            <w:vAlign w:val="center"/>
          </w:tcPr>
          <w:p>
            <w:pPr>
              <w:pStyle w:val="单元格样式7"/>
            </w:pPr>
            <w:r>
              <w:t xml:space="preserve">194.03</w:t>
            </w:r>
          </w:p>
        </w:tc>
        <w:tc>
          <w:tcPr>
            <w:tcW w:w="1474" w:type="dxa"/>
            <w:vAlign w:val="center"/>
          </w:tcPr>
          <w:p>
            <w:pPr>
              <w:pStyle w:val="单元格样式7"/>
            </w:pPr>
            <w:r>
              <w:t xml:space="preserve">10.00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194.03</w:t>
            </w:r>
          </w:p>
        </w:tc>
        <w:tc>
          <w:tcPr>
            <w:tcW w:w="2551" w:type="dxa"/>
            <w:vAlign w:val="center"/>
          </w:tcPr>
          <w:p>
            <w:pPr>
              <w:pStyle w:val="单元格样式7"/>
            </w:pPr>
            <w:r>
              <w:t xml:space="preserve">194.03</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20113</w:t>
            </w:r>
          </w:p>
        </w:tc>
        <w:tc>
          <w:tcPr>
            <w:tcW w:w="4535" w:type="dxa"/>
            <w:vAlign w:val="center"/>
          </w:tcPr>
          <w:p>
            <w:pPr>
              <w:pStyle w:val="单元格样式2"/>
            </w:pPr>
            <w:r>
              <w:t xml:space="preserve">商贸事务</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135.96</w:t>
            </w:r>
          </w:p>
        </w:tc>
        <w:tc>
          <w:tcPr>
            <w:tcW w:w="2551" w:type="dxa"/>
            <w:vAlign w:val="center"/>
          </w:tcPr>
          <w:p>
            <w:pPr>
              <w:pStyle w:val="单元格样式4"/>
            </w:pPr>
            <w:r>
              <w:t xml:space="preserve">135.96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35.12</w:t>
            </w:r>
          </w:p>
        </w:tc>
        <w:tc>
          <w:tcPr>
            <w:tcW w:w="2551" w:type="dxa"/>
            <w:vAlign w:val="center"/>
          </w:tcPr>
          <w:p>
            <w:pPr>
              <w:pStyle w:val="单元格样式4"/>
            </w:pPr>
            <w:r>
              <w:t xml:space="preserve">35.12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33.92</w:t>
            </w:r>
          </w:p>
        </w:tc>
        <w:tc>
          <w:tcPr>
            <w:tcW w:w="2551" w:type="dxa"/>
            <w:vAlign w:val="center"/>
          </w:tcPr>
          <w:p>
            <w:pPr>
              <w:pStyle w:val="单元格样式4"/>
            </w:pPr>
            <w:r>
              <w:t xml:space="preserve">33.92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5.70</w:t>
            </w:r>
          </w:p>
        </w:tc>
        <w:tc>
          <w:tcPr>
            <w:tcW w:w="2551" w:type="dxa"/>
            <w:vAlign w:val="center"/>
          </w:tcPr>
          <w:p>
            <w:pPr>
              <w:pStyle w:val="单元格样式4"/>
            </w:pPr>
            <w:r>
              <w:t xml:space="preserve">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18.81</w:t>
            </w:r>
          </w:p>
        </w:tc>
        <w:tc>
          <w:tcPr>
            <w:tcW w:w="2551" w:type="dxa"/>
            <w:vAlign w:val="center"/>
          </w:tcPr>
          <w:p>
            <w:pPr>
              <w:pStyle w:val="单元格样式4"/>
            </w:pPr>
            <w:r>
              <w:t xml:space="preserve">18.81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9.41</w:t>
            </w:r>
          </w:p>
        </w:tc>
        <w:tc>
          <w:tcPr>
            <w:tcW w:w="2551" w:type="dxa"/>
            <w:vAlign w:val="center"/>
          </w:tcPr>
          <w:p>
            <w:pPr>
              <w:pStyle w:val="单元格样式4"/>
            </w:pPr>
            <w:r>
              <w:t xml:space="preserve">9.41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7.46</w:t>
            </w:r>
          </w:p>
        </w:tc>
        <w:tc>
          <w:tcPr>
            <w:tcW w:w="2551" w:type="dxa"/>
            <w:vAlign w:val="center"/>
          </w:tcPr>
          <w:p>
            <w:pPr>
              <w:pStyle w:val="单元格样式4"/>
            </w:pPr>
            <w:r>
              <w:t xml:space="preserve">7.46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7.46</w:t>
            </w:r>
          </w:p>
        </w:tc>
        <w:tc>
          <w:tcPr>
            <w:tcW w:w="2551" w:type="dxa"/>
            <w:vAlign w:val="center"/>
          </w:tcPr>
          <w:p>
            <w:pPr>
              <w:pStyle w:val="单元格样式4"/>
            </w:pPr>
            <w:r>
              <w:t xml:space="preserve">7.46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7.46</w:t>
            </w:r>
          </w:p>
        </w:tc>
        <w:tc>
          <w:tcPr>
            <w:tcW w:w="2551" w:type="dxa"/>
            <w:vAlign w:val="center"/>
          </w:tcPr>
          <w:p>
            <w:pPr>
              <w:pStyle w:val="单元格样式4"/>
            </w:pPr>
            <w:r>
              <w:t xml:space="preserve">7.46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15.49</w:t>
            </w:r>
          </w:p>
        </w:tc>
        <w:tc>
          <w:tcPr>
            <w:tcW w:w="2551" w:type="dxa"/>
            <w:vAlign w:val="center"/>
          </w:tcPr>
          <w:p>
            <w:pPr>
              <w:pStyle w:val="单元格样式4"/>
            </w:pPr>
            <w:r>
              <w:t xml:space="preserve">15.49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15.49</w:t>
            </w:r>
          </w:p>
        </w:tc>
        <w:tc>
          <w:tcPr>
            <w:tcW w:w="2551" w:type="dxa"/>
            <w:vAlign w:val="center"/>
          </w:tcPr>
          <w:p>
            <w:pPr>
              <w:pStyle w:val="单元格样式4"/>
            </w:pPr>
            <w:r>
              <w:t xml:space="preserve">15.49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15.49</w:t>
            </w:r>
          </w:p>
        </w:tc>
        <w:tc>
          <w:tcPr>
            <w:tcW w:w="2551" w:type="dxa"/>
            <w:vAlign w:val="center"/>
          </w:tcPr>
          <w:p>
            <w:pPr>
              <w:pStyle w:val="单元格样式4"/>
            </w:pPr>
            <w:r>
              <w:t xml:space="preserve">15.49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194.03</w:t>
            </w:r>
          </w:p>
        </w:tc>
        <w:tc>
          <w:tcPr>
            <w:tcW w:w="2551" w:type="dxa"/>
            <w:vAlign w:val="center"/>
          </w:tcPr>
          <w:p>
            <w:pPr>
              <w:pStyle w:val="单元格样式7"/>
            </w:pPr>
            <w:r>
              <w:t xml:space="preserve">190.95</w:t>
            </w:r>
          </w:p>
        </w:tc>
        <w:tc>
          <w:tcPr>
            <w:tcW w:w="2551" w:type="dxa"/>
            <w:vAlign w:val="center"/>
          </w:tcPr>
          <w:p>
            <w:pPr>
              <w:pStyle w:val="单元格样式7"/>
            </w:pPr>
            <w:r>
              <w:t xml:space="preserve">3.08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185.25</w:t>
            </w:r>
          </w:p>
        </w:tc>
        <w:tc>
          <w:tcPr>
            <w:tcW w:w="2551" w:type="dxa"/>
            <w:vAlign w:val="center"/>
          </w:tcPr>
          <w:p>
            <w:pPr>
              <w:pStyle w:val="单元格样式4"/>
            </w:pPr>
            <w:r>
              <w:t xml:space="preserve">185.25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67.45</w:t>
            </w:r>
          </w:p>
        </w:tc>
        <w:tc>
          <w:tcPr>
            <w:tcW w:w="2551" w:type="dxa"/>
            <w:vAlign w:val="center"/>
          </w:tcPr>
          <w:p>
            <w:pPr>
              <w:pStyle w:val="单元格样式4"/>
            </w:pPr>
            <w:r>
              <w:t xml:space="preserve">67.45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9.67</w:t>
            </w:r>
          </w:p>
        </w:tc>
        <w:tc>
          <w:tcPr>
            <w:tcW w:w="2551" w:type="dxa"/>
            <w:vAlign w:val="center"/>
          </w:tcPr>
          <w:p>
            <w:pPr>
              <w:pStyle w:val="单元格样式4"/>
            </w:pPr>
            <w:r>
              <w:t xml:space="preserve">9.67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53.30</w:t>
            </w:r>
          </w:p>
        </w:tc>
        <w:tc>
          <w:tcPr>
            <w:tcW w:w="2551" w:type="dxa"/>
            <w:vAlign w:val="center"/>
          </w:tcPr>
          <w:p>
            <w:pPr>
              <w:pStyle w:val="单元格样式4"/>
            </w:pPr>
            <w:r>
              <w:t xml:space="preserve">53.30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18.81</w:t>
            </w:r>
          </w:p>
        </w:tc>
        <w:tc>
          <w:tcPr>
            <w:tcW w:w="2551" w:type="dxa"/>
            <w:vAlign w:val="center"/>
          </w:tcPr>
          <w:p>
            <w:pPr>
              <w:pStyle w:val="单元格样式4"/>
            </w:pPr>
            <w:r>
              <w:t xml:space="preserve">18.81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9.41</w:t>
            </w:r>
          </w:p>
        </w:tc>
        <w:tc>
          <w:tcPr>
            <w:tcW w:w="2551" w:type="dxa"/>
            <w:vAlign w:val="center"/>
          </w:tcPr>
          <w:p>
            <w:pPr>
              <w:pStyle w:val="单元格样式4"/>
            </w:pPr>
            <w:r>
              <w:t xml:space="preserve">9.41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7.46</w:t>
            </w:r>
          </w:p>
        </w:tc>
        <w:tc>
          <w:tcPr>
            <w:tcW w:w="2551" w:type="dxa"/>
            <w:vAlign w:val="center"/>
          </w:tcPr>
          <w:p>
            <w:pPr>
              <w:pStyle w:val="单元格样式4"/>
            </w:pPr>
            <w:r>
              <w:t xml:space="preserve">7.46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15.49</w:t>
            </w:r>
          </w:p>
        </w:tc>
        <w:tc>
          <w:tcPr>
            <w:tcW w:w="2551" w:type="dxa"/>
            <w:vAlign w:val="center"/>
          </w:tcPr>
          <w:p>
            <w:pPr>
              <w:pStyle w:val="单元格样式4"/>
            </w:pPr>
            <w:r>
              <w:t xml:space="preserve">15.49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2.46</w:t>
            </w:r>
          </w:p>
        </w:tc>
        <w:tc>
          <w:tcPr>
            <w:tcW w:w="2551" w:type="dxa"/>
            <w:vAlign w:val="center"/>
          </w:tcPr>
          <w:p>
            <w:pPr>
              <w:pStyle w:val="单元格样式4"/>
            </w:pPr>
            <w:r>
              <w:t xml:space="preserve">2.46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3.08</w:t>
            </w:r>
          </w:p>
        </w:tc>
        <w:tc>
          <w:tcPr>
            <w:tcW w:w="2551" w:type="dxa"/>
            <w:vAlign w:val="center"/>
          </w:tcPr>
          <w:p>
            <w:pPr>
              <w:pStyle w:val="单元格样式4"/>
            </w:pPr>
          </w:p>
        </w:tc>
        <w:tc>
          <w:tcPr>
            <w:tcW w:w="2551" w:type="dxa"/>
            <w:vAlign w:val="center"/>
          </w:tcPr>
          <w:p>
            <w:pPr>
              <w:pStyle w:val="单元格样式4"/>
            </w:pPr>
            <w:r>
              <w:t xml:space="preserve">3.08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0.47</w:t>
            </w:r>
          </w:p>
        </w:tc>
        <w:tc>
          <w:tcPr>
            <w:tcW w:w="2551" w:type="dxa"/>
            <w:vAlign w:val="center"/>
          </w:tcPr>
          <w:p>
            <w:pPr>
              <w:pStyle w:val="单元格样式4"/>
            </w:pPr>
          </w:p>
        </w:tc>
        <w:tc>
          <w:tcPr>
            <w:tcW w:w="2551" w:type="dxa"/>
            <w:vAlign w:val="center"/>
          </w:tcPr>
          <w:p>
            <w:pPr>
              <w:pStyle w:val="单元格样式4"/>
            </w:pPr>
            <w:r>
              <w:t xml:space="preserve">0.47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0.42</w:t>
            </w:r>
          </w:p>
        </w:tc>
        <w:tc>
          <w:tcPr>
            <w:tcW w:w="2551" w:type="dxa"/>
            <w:vAlign w:val="center"/>
          </w:tcPr>
          <w:p>
            <w:pPr>
              <w:pStyle w:val="单元格样式4"/>
            </w:pPr>
          </w:p>
        </w:tc>
        <w:tc>
          <w:tcPr>
            <w:tcW w:w="2551" w:type="dxa"/>
            <w:vAlign w:val="center"/>
          </w:tcPr>
          <w:p>
            <w:pPr>
              <w:pStyle w:val="单元格样式4"/>
            </w:pPr>
            <w:r>
              <w:t xml:space="preserve">0.42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0.81</w:t>
            </w:r>
          </w:p>
        </w:tc>
        <w:tc>
          <w:tcPr>
            <w:tcW w:w="2551" w:type="dxa"/>
            <w:vAlign w:val="center"/>
          </w:tcPr>
          <w:p>
            <w:pPr>
              <w:pStyle w:val="单元格样式4"/>
            </w:pPr>
          </w:p>
        </w:tc>
        <w:tc>
          <w:tcPr>
            <w:tcW w:w="2551" w:type="dxa"/>
            <w:vAlign w:val="center"/>
          </w:tcPr>
          <w:p>
            <w:pPr>
              <w:pStyle w:val="单元格样式4"/>
            </w:pPr>
            <w:r>
              <w:t xml:space="preserve">0.81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1.28</w:t>
            </w:r>
          </w:p>
        </w:tc>
        <w:tc>
          <w:tcPr>
            <w:tcW w:w="2551" w:type="dxa"/>
            <w:vAlign w:val="center"/>
          </w:tcPr>
          <w:p>
            <w:pPr>
              <w:pStyle w:val="单元格样式4"/>
            </w:pPr>
          </w:p>
        </w:tc>
        <w:tc>
          <w:tcPr>
            <w:tcW w:w="2551" w:type="dxa"/>
            <w:vAlign w:val="center"/>
          </w:tcPr>
          <w:p>
            <w:pPr>
              <w:pStyle w:val="单元格样式4"/>
            </w:pPr>
            <w:r>
              <w:t xml:space="preserve">1.28</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5.70</w:t>
            </w:r>
          </w:p>
        </w:tc>
        <w:tc>
          <w:tcPr>
            <w:tcW w:w="2551" w:type="dxa"/>
            <w:vAlign w:val="center"/>
          </w:tcPr>
          <w:p>
            <w:pPr>
              <w:pStyle w:val="单元格样式4"/>
            </w:pPr>
            <w:r>
              <w:t xml:space="preserve">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5.70</w:t>
            </w:r>
          </w:p>
        </w:tc>
        <w:tc>
          <w:tcPr>
            <w:tcW w:w="2551" w:type="dxa"/>
            <w:vAlign w:val="center"/>
          </w:tcPr>
          <w:p>
            <w:pPr>
              <w:pStyle w:val="单元格样式4"/>
            </w:pPr>
            <w:r>
              <w:t xml:space="preserve">5.70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10.00</w:t>
            </w:r>
          </w:p>
        </w:tc>
        <w:tc>
          <w:tcPr>
            <w:tcW w:w="2551" w:type="dxa"/>
            <w:vAlign w:val="center"/>
          </w:tcPr>
          <w:p>
            <w:pPr>
              <w:pStyle w:val="单元格样式7"/>
            </w:pPr>
          </w:p>
        </w:tc>
        <w:tc>
          <w:tcPr>
            <w:tcW w:w="2551" w:type="dxa"/>
            <w:vAlign w:val="center"/>
          </w:tcPr>
          <w:p>
            <w:pPr>
              <w:pStyle w:val="单元格样式7"/>
            </w:pPr>
            <w:r>
              <w:t xml:space="preserve">10.00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新乐市市场管理中心2026年单位预算信息公开情况说明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按照《中华人民共和国预算法》、《地方预决算公开操作规程》和《关于进一步推进预算公开工作的实施意见》规定，现将新乐市市场管理中心2026年单位预算公开如下：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搞好市场服务管理，促进市场繁荣发展。负责所辖市场的服务、管理和新建市场的建设、开发工作。履行市场物业管理、市场资产经营、市场建设开发、提供市场服务，按有关政策、规定收取市场设施租赁费、交易费及相关费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新乐市市场管理中心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204.03万元，其中：一般公共预算收入194.03万元，基金预算收入10.00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市场管理中心年度单位预算中支出预算的总体情况。2026年支出预算204.03万元，其中基本支出194.03万元，包括人员经费190.95万元和日常公用经费3.08万元；项目支出10.00万元，主要为新乐集贸市场占地补偿款；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204.03万元，较2025年预算增加18.90万元，其中：基本支出增加10.63万元，主要为人员经费支出增加项目支出增加8.27万元，主要为新乐集贸市场占地补偿款。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2026年，我单位机关运行经费共计安排3.08万元，主要用于日常维修、办公用房水电费、办公用房取暖费、办公用房物业管理费等日常运行支出。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未安排财政拨款“三公”经费预算。</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1、2026年本级支出-新乐市集贸市场占地补偿款绩效目标表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13018426P00522210106H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2026年本级支出-新乐市集贸市场占地补偿款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新乐集贸市场占地补偿款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1.支付新乐集贸市场占地补偿款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≥0.95</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≥0.95</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需求满足率</w:t>
            </w:r>
          </w:p>
        </w:tc>
        <w:tc>
          <w:tcPr>
            <w:tcW w:w="5386" w:type="dxa"/>
            <w:vAlign w:val="center"/>
          </w:tcPr>
          <w:p>
            <w:pPr>
              <w:pStyle w:val="单元格样式2"/>
            </w:pPr>
            <w:r>
              <w:t xml:space="preserve">需求满足率</w:t>
            </w:r>
          </w:p>
        </w:tc>
        <w:tc>
          <w:tcPr>
            <w:tcW w:w="2268" w:type="dxa"/>
            <w:vAlign w:val="center"/>
          </w:tcPr>
          <w:p>
            <w:pPr>
              <w:pStyle w:val="单元格样式2"/>
            </w:pPr>
            <w:r>
              <w:t xml:space="preserve">≥0.98</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反映社会公众的满意情况情况。</w:t>
            </w:r>
          </w:p>
        </w:tc>
        <w:tc>
          <w:tcPr>
            <w:tcW w:w="2268" w:type="dxa"/>
            <w:vAlign w:val="center"/>
          </w:tcPr>
          <w:p>
            <w:pPr>
              <w:pStyle w:val="单元格样式2"/>
            </w:pPr>
            <w:r>
              <w:t xml:space="preserve">≥0.98</w:t>
            </w:r>
          </w:p>
        </w:tc>
        <w:tc>
          <w:tcPr>
            <w:tcW w:w="1276" w:type="dxa"/>
            <w:vAlign w:val="center"/>
          </w:tcPr>
          <w:p>
            <w:pPr>
              <w:pStyle w:val="单元格样式2"/>
            </w:pPr>
            <w:r>
              <w:t xml:space="preserve">满意度调查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新乐市市场管理中心上年末固定资产金额为901.17万元（详见下表）。本年度拟购置固定资产总额为0.00万元，已按要求列入政府采购预算，详见政府采购预算表。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901.17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2070</w:t>
            </w:r>
          </w:p>
        </w:tc>
        <w:tc>
          <w:tcPr>
            <w:tcW w:w="2835" w:type="dxa"/>
            <w:vAlign w:val="center"/>
          </w:tcPr>
          <w:p>
            <w:pPr>
              <w:pStyle w:val="单元格样式4"/>
            </w:pPr>
            <w:r>
              <w:t xml:space="preserve">128.21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118.00</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144</w:t>
            </w:r>
          </w:p>
        </w:tc>
        <w:tc>
          <w:tcPr>
            <w:tcW w:w="2835" w:type="dxa"/>
            <w:vAlign w:val="center"/>
          </w:tcPr>
          <w:p>
            <w:pPr>
              <w:pStyle w:val="单元格样式4"/>
            </w:pPr>
            <w:r>
              <w:t xml:space="preserve">654.96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80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79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82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2026-04-17T09:12:04Z</dcterms:created>
  <dcterms:modified xsi:type="dcterms:W3CDTF">2026-04-17T09:12:04Z</dcterms:modified>
</cp:coreProperties>
</file>