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115.65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84.21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9.06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115.65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115.65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115.65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115.65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115.65</w:t>
            </w:r>
          </w:p>
        </w:tc>
        <w:tc>
          <w:tcPr>
            <w:tcW w:w="1134" w:type="dxa"/>
            <w:vAlign w:val="center"/>
          </w:tcPr>
          <w:p>
            <w:pPr>
              <w:pStyle w:val="单元格样式7"/>
            </w:pPr>
            <w:r>
              <w:t xml:space="preserve">115.65</w:t>
            </w:r>
          </w:p>
        </w:tc>
        <w:tc>
          <w:tcPr>
            <w:tcW w:w="1134" w:type="dxa"/>
            <w:vAlign w:val="center"/>
          </w:tcPr>
          <w:p>
            <w:pPr>
              <w:pStyle w:val="单元格样式7"/>
            </w:pPr>
            <w:r>
              <w:t xml:space="preserve">115.65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r>
              <w:t xml:space="preserve">84.21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17.30</w:t>
            </w:r>
          </w:p>
        </w:tc>
        <w:tc>
          <w:tcPr>
            <w:tcW w:w="1134" w:type="dxa"/>
            <w:vAlign w:val="center"/>
          </w:tcPr>
          <w:p>
            <w:pPr>
              <w:pStyle w:val="单元格样式4"/>
            </w:pPr>
            <w:r>
              <w:t xml:space="preserve">17.30</w:t>
            </w:r>
          </w:p>
        </w:tc>
        <w:tc>
          <w:tcPr>
            <w:tcW w:w="1134" w:type="dxa"/>
            <w:vAlign w:val="center"/>
          </w:tcPr>
          <w:p>
            <w:pPr>
              <w:pStyle w:val="单元格样式4"/>
            </w:pPr>
            <w:r>
              <w:t xml:space="preserve">17.30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16.99</w:t>
            </w:r>
          </w:p>
        </w:tc>
        <w:tc>
          <w:tcPr>
            <w:tcW w:w="1134" w:type="dxa"/>
            <w:vAlign w:val="center"/>
          </w:tcPr>
          <w:p>
            <w:pPr>
              <w:pStyle w:val="单元格样式4"/>
            </w:pPr>
            <w:r>
              <w:t xml:space="preserve">16.99</w:t>
            </w:r>
          </w:p>
        </w:tc>
        <w:tc>
          <w:tcPr>
            <w:tcW w:w="1134" w:type="dxa"/>
            <w:vAlign w:val="center"/>
          </w:tcPr>
          <w:p>
            <w:pPr>
              <w:pStyle w:val="单元格样式4"/>
            </w:pPr>
            <w:r>
              <w:t xml:space="preserve">16.99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7.37</w:t>
            </w:r>
          </w:p>
        </w:tc>
        <w:tc>
          <w:tcPr>
            <w:tcW w:w="1134" w:type="dxa"/>
            <w:vAlign w:val="center"/>
          </w:tcPr>
          <w:p>
            <w:pPr>
              <w:pStyle w:val="单元格样式4"/>
            </w:pPr>
            <w:r>
              <w:t xml:space="preserve">7.37</w:t>
            </w:r>
          </w:p>
        </w:tc>
        <w:tc>
          <w:tcPr>
            <w:tcW w:w="1134" w:type="dxa"/>
            <w:vAlign w:val="center"/>
          </w:tcPr>
          <w:p>
            <w:pPr>
              <w:pStyle w:val="单元格样式4"/>
            </w:pPr>
            <w:r>
              <w:t xml:space="preserve">7.37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9.62</w:t>
            </w:r>
          </w:p>
        </w:tc>
        <w:tc>
          <w:tcPr>
            <w:tcW w:w="1134" w:type="dxa"/>
            <w:vAlign w:val="center"/>
          </w:tcPr>
          <w:p>
            <w:pPr>
              <w:pStyle w:val="单元格样式4"/>
            </w:pPr>
            <w:r>
              <w:t xml:space="preserve">9.62</w:t>
            </w:r>
          </w:p>
        </w:tc>
        <w:tc>
          <w:tcPr>
            <w:tcW w:w="1134" w:type="dxa"/>
            <w:vAlign w:val="center"/>
          </w:tcPr>
          <w:p>
            <w:pPr>
              <w:pStyle w:val="单元格样式4"/>
            </w:pPr>
            <w:r>
              <w:t xml:space="preserve">9.62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r>
              <w:t xml:space="preserve">0.31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r>
              <w:t xml:space="preserve">5.08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r>
              <w:t xml:space="preserve">9.06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115.65</w:t>
            </w:r>
          </w:p>
        </w:tc>
        <w:tc>
          <w:tcPr>
            <w:tcW w:w="1361" w:type="dxa"/>
            <w:vAlign w:val="center"/>
          </w:tcPr>
          <w:p>
            <w:pPr>
              <w:pStyle w:val="单元格样式7"/>
            </w:pPr>
            <w:r>
              <w:t xml:space="preserve">115.65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84.21</w:t>
            </w:r>
          </w:p>
        </w:tc>
        <w:tc>
          <w:tcPr>
            <w:tcW w:w="1361" w:type="dxa"/>
            <w:vAlign w:val="center"/>
          </w:tcPr>
          <w:p>
            <w:pPr>
              <w:pStyle w:val="单元格样式4"/>
            </w:pPr>
            <w:r>
              <w:t xml:space="preserve">84.21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17.30</w:t>
            </w:r>
          </w:p>
        </w:tc>
        <w:tc>
          <w:tcPr>
            <w:tcW w:w="1361" w:type="dxa"/>
            <w:vAlign w:val="center"/>
          </w:tcPr>
          <w:p>
            <w:pPr>
              <w:pStyle w:val="单元格样式4"/>
            </w:pPr>
            <w:r>
              <w:t xml:space="preserve">17.30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16.99</w:t>
            </w:r>
          </w:p>
        </w:tc>
        <w:tc>
          <w:tcPr>
            <w:tcW w:w="1361" w:type="dxa"/>
            <w:vAlign w:val="center"/>
          </w:tcPr>
          <w:p>
            <w:pPr>
              <w:pStyle w:val="单元格样式4"/>
            </w:pPr>
            <w:r>
              <w:t xml:space="preserve">16.99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7.37</w:t>
            </w:r>
          </w:p>
        </w:tc>
        <w:tc>
          <w:tcPr>
            <w:tcW w:w="1361" w:type="dxa"/>
            <w:vAlign w:val="center"/>
          </w:tcPr>
          <w:p>
            <w:pPr>
              <w:pStyle w:val="单元格样式4"/>
            </w:pPr>
            <w:r>
              <w:t xml:space="preserve">7.37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9.62</w:t>
            </w:r>
          </w:p>
        </w:tc>
        <w:tc>
          <w:tcPr>
            <w:tcW w:w="1361" w:type="dxa"/>
            <w:vAlign w:val="center"/>
          </w:tcPr>
          <w:p>
            <w:pPr>
              <w:pStyle w:val="单元格样式4"/>
            </w:pPr>
            <w:r>
              <w:t xml:space="preserve">9.62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0.31</w:t>
            </w:r>
          </w:p>
        </w:tc>
        <w:tc>
          <w:tcPr>
            <w:tcW w:w="1361" w:type="dxa"/>
            <w:vAlign w:val="center"/>
          </w:tcPr>
          <w:p>
            <w:pPr>
              <w:pStyle w:val="单元格样式4"/>
            </w:pPr>
            <w:r>
              <w:t xml:space="preserve">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0.31</w:t>
            </w:r>
          </w:p>
        </w:tc>
        <w:tc>
          <w:tcPr>
            <w:tcW w:w="1361" w:type="dxa"/>
            <w:vAlign w:val="center"/>
          </w:tcPr>
          <w:p>
            <w:pPr>
              <w:pStyle w:val="单元格样式4"/>
            </w:pPr>
            <w:r>
              <w:t xml:space="preserve">0.31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5.08</w:t>
            </w:r>
          </w:p>
        </w:tc>
        <w:tc>
          <w:tcPr>
            <w:tcW w:w="1361" w:type="dxa"/>
            <w:vAlign w:val="center"/>
          </w:tcPr>
          <w:p>
            <w:pPr>
              <w:pStyle w:val="单元格样式4"/>
            </w:pPr>
            <w:r>
              <w:t xml:space="preserve">5.08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9.06</w:t>
            </w:r>
          </w:p>
        </w:tc>
        <w:tc>
          <w:tcPr>
            <w:tcW w:w="1361" w:type="dxa"/>
            <w:vAlign w:val="center"/>
          </w:tcPr>
          <w:p>
            <w:pPr>
              <w:pStyle w:val="单元格样式4"/>
            </w:pPr>
            <w:r>
              <w:t xml:space="preserve">9.06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115.65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84.21</w:t>
            </w:r>
          </w:p>
        </w:tc>
        <w:tc>
          <w:tcPr>
            <w:tcW w:w="1474" w:type="dxa"/>
            <w:vAlign w:val="center"/>
          </w:tcPr>
          <w:p>
            <w:pPr>
              <w:pStyle w:val="单元格样式4"/>
            </w:pPr>
            <w:r>
              <w:t xml:space="preserve">84.21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17.30</w:t>
            </w:r>
          </w:p>
        </w:tc>
        <w:tc>
          <w:tcPr>
            <w:tcW w:w="1474" w:type="dxa"/>
            <w:vAlign w:val="center"/>
          </w:tcPr>
          <w:p>
            <w:pPr>
              <w:pStyle w:val="单元格样式4"/>
            </w:pPr>
            <w:r>
              <w:t xml:space="preserve">17.30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5.08</w:t>
            </w:r>
          </w:p>
        </w:tc>
        <w:tc>
          <w:tcPr>
            <w:tcW w:w="1474" w:type="dxa"/>
            <w:vAlign w:val="center"/>
          </w:tcPr>
          <w:p>
            <w:pPr>
              <w:pStyle w:val="单元格样式4"/>
            </w:pPr>
            <w:r>
              <w:t xml:space="preserve">5.08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9.06</w:t>
            </w:r>
          </w:p>
        </w:tc>
        <w:tc>
          <w:tcPr>
            <w:tcW w:w="1474" w:type="dxa"/>
            <w:vAlign w:val="center"/>
          </w:tcPr>
          <w:p>
            <w:pPr>
              <w:pStyle w:val="单元格样式4"/>
            </w:pPr>
            <w:r>
              <w:t xml:space="preserve">9.06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115.65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115.65</w:t>
            </w:r>
          </w:p>
        </w:tc>
        <w:tc>
          <w:tcPr>
            <w:tcW w:w="1474" w:type="dxa"/>
            <w:vAlign w:val="center"/>
          </w:tcPr>
          <w:p>
            <w:pPr>
              <w:pStyle w:val="单元格样式7"/>
            </w:pPr>
            <w:r>
              <w:t xml:space="preserve">115.65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115.65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115.65</w:t>
            </w:r>
          </w:p>
        </w:tc>
        <w:tc>
          <w:tcPr>
            <w:tcW w:w="1474" w:type="dxa"/>
            <w:vAlign w:val="center"/>
          </w:tcPr>
          <w:p>
            <w:pPr>
              <w:pStyle w:val="单元格样式7"/>
            </w:pPr>
            <w:r>
              <w:t xml:space="preserve">115.65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115.65</w:t>
            </w:r>
          </w:p>
        </w:tc>
        <w:tc>
          <w:tcPr>
            <w:tcW w:w="2551" w:type="dxa"/>
            <w:vAlign w:val="center"/>
          </w:tcPr>
          <w:p>
            <w:pPr>
              <w:pStyle w:val="单元格样式7"/>
            </w:pPr>
            <w:r>
              <w:t xml:space="preserve">115.65</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84.21</w:t>
            </w:r>
          </w:p>
        </w:tc>
        <w:tc>
          <w:tcPr>
            <w:tcW w:w="2551" w:type="dxa"/>
            <w:vAlign w:val="center"/>
          </w:tcPr>
          <w:p>
            <w:pPr>
              <w:pStyle w:val="单元格样式4"/>
            </w:pPr>
            <w:r>
              <w:t xml:space="preserve">84.21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17.30</w:t>
            </w:r>
          </w:p>
        </w:tc>
        <w:tc>
          <w:tcPr>
            <w:tcW w:w="2551" w:type="dxa"/>
            <w:vAlign w:val="center"/>
          </w:tcPr>
          <w:p>
            <w:pPr>
              <w:pStyle w:val="单元格样式4"/>
            </w:pPr>
            <w:r>
              <w:t xml:space="preserve">17.30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16.99</w:t>
            </w:r>
          </w:p>
        </w:tc>
        <w:tc>
          <w:tcPr>
            <w:tcW w:w="2551" w:type="dxa"/>
            <w:vAlign w:val="center"/>
          </w:tcPr>
          <w:p>
            <w:pPr>
              <w:pStyle w:val="单元格样式4"/>
            </w:pPr>
            <w:r>
              <w:t xml:space="preserve">16.99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9.62</w:t>
            </w:r>
          </w:p>
        </w:tc>
        <w:tc>
          <w:tcPr>
            <w:tcW w:w="2551" w:type="dxa"/>
            <w:vAlign w:val="center"/>
          </w:tcPr>
          <w:p>
            <w:pPr>
              <w:pStyle w:val="单元格样式4"/>
            </w:pPr>
            <w:r>
              <w:t xml:space="preserve">9.62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115.65</w:t>
            </w:r>
          </w:p>
        </w:tc>
        <w:tc>
          <w:tcPr>
            <w:tcW w:w="2551" w:type="dxa"/>
            <w:vAlign w:val="center"/>
          </w:tcPr>
          <w:p>
            <w:pPr>
              <w:pStyle w:val="单元格样式7"/>
            </w:pPr>
            <w:r>
              <w:t xml:space="preserve">101.96</w:t>
            </w:r>
          </w:p>
        </w:tc>
        <w:tc>
          <w:tcPr>
            <w:tcW w:w="2551" w:type="dxa"/>
            <w:vAlign w:val="center"/>
          </w:tcPr>
          <w:p>
            <w:pPr>
              <w:pStyle w:val="单元格样式7"/>
            </w:pPr>
            <w:r>
              <w:t xml:space="preserve">13.69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94.59</w:t>
            </w:r>
          </w:p>
        </w:tc>
        <w:tc>
          <w:tcPr>
            <w:tcW w:w="2551" w:type="dxa"/>
            <w:vAlign w:val="center"/>
          </w:tcPr>
          <w:p>
            <w:pPr>
              <w:pStyle w:val="单元格样式4"/>
            </w:pPr>
            <w:r>
              <w:t xml:space="preserve">94.59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38.08</w:t>
            </w:r>
          </w:p>
        </w:tc>
        <w:tc>
          <w:tcPr>
            <w:tcW w:w="2551" w:type="dxa"/>
            <w:vAlign w:val="center"/>
          </w:tcPr>
          <w:p>
            <w:pPr>
              <w:pStyle w:val="单元格样式4"/>
            </w:pPr>
            <w:r>
              <w:t xml:space="preserve">38.08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16.79</w:t>
            </w:r>
          </w:p>
        </w:tc>
        <w:tc>
          <w:tcPr>
            <w:tcW w:w="2551" w:type="dxa"/>
            <w:vAlign w:val="center"/>
          </w:tcPr>
          <w:p>
            <w:pPr>
              <w:pStyle w:val="单元格样式4"/>
            </w:pPr>
            <w:r>
              <w:t xml:space="preserve">16.79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15.53</w:t>
            </w:r>
          </w:p>
        </w:tc>
        <w:tc>
          <w:tcPr>
            <w:tcW w:w="2551" w:type="dxa"/>
            <w:vAlign w:val="center"/>
          </w:tcPr>
          <w:p>
            <w:pPr>
              <w:pStyle w:val="单元格样式4"/>
            </w:pPr>
            <w:r>
              <w:t xml:space="preserve">15.53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9.62</w:t>
            </w:r>
          </w:p>
        </w:tc>
        <w:tc>
          <w:tcPr>
            <w:tcW w:w="2551" w:type="dxa"/>
            <w:vAlign w:val="center"/>
          </w:tcPr>
          <w:p>
            <w:pPr>
              <w:pStyle w:val="单元格样式4"/>
            </w:pPr>
            <w:r>
              <w:t xml:space="preserve">9.62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5.08</w:t>
            </w:r>
          </w:p>
        </w:tc>
        <w:tc>
          <w:tcPr>
            <w:tcW w:w="2551" w:type="dxa"/>
            <w:vAlign w:val="center"/>
          </w:tcPr>
          <w:p>
            <w:pPr>
              <w:pStyle w:val="单元格样式4"/>
            </w:pPr>
            <w:r>
              <w:t xml:space="preserve">5.08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0.31</w:t>
            </w:r>
          </w:p>
        </w:tc>
        <w:tc>
          <w:tcPr>
            <w:tcW w:w="2551" w:type="dxa"/>
            <w:vAlign w:val="center"/>
          </w:tcPr>
          <w:p>
            <w:pPr>
              <w:pStyle w:val="单元格样式4"/>
            </w:pPr>
            <w:r>
              <w:t xml:space="preserve">0.31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9.06</w:t>
            </w:r>
          </w:p>
        </w:tc>
        <w:tc>
          <w:tcPr>
            <w:tcW w:w="2551" w:type="dxa"/>
            <w:vAlign w:val="center"/>
          </w:tcPr>
          <w:p>
            <w:pPr>
              <w:pStyle w:val="单元格样式4"/>
            </w:pPr>
            <w:r>
              <w:t xml:space="preserve">9.06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13.69</w:t>
            </w:r>
          </w:p>
        </w:tc>
        <w:tc>
          <w:tcPr>
            <w:tcW w:w="2551" w:type="dxa"/>
            <w:vAlign w:val="center"/>
          </w:tcPr>
          <w:p>
            <w:pPr>
              <w:pStyle w:val="单元格样式4"/>
            </w:pPr>
          </w:p>
        </w:tc>
        <w:tc>
          <w:tcPr>
            <w:tcW w:w="2551" w:type="dxa"/>
            <w:vAlign w:val="center"/>
          </w:tcPr>
          <w:p>
            <w:pPr>
              <w:pStyle w:val="单元格样式4"/>
            </w:pPr>
            <w:r>
              <w:t xml:space="preserve">13.69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0.53</w:t>
            </w:r>
          </w:p>
        </w:tc>
        <w:tc>
          <w:tcPr>
            <w:tcW w:w="2551" w:type="dxa"/>
            <w:vAlign w:val="center"/>
          </w:tcPr>
          <w:p>
            <w:pPr>
              <w:pStyle w:val="单元格样式4"/>
            </w:pPr>
          </w:p>
        </w:tc>
        <w:tc>
          <w:tcPr>
            <w:tcW w:w="2551" w:type="dxa"/>
            <w:vAlign w:val="center"/>
          </w:tcPr>
          <w:p>
            <w:pPr>
              <w:pStyle w:val="单元格样式4"/>
            </w:pPr>
            <w:r>
              <w:t xml:space="preserve">0.53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0.05</w:t>
            </w:r>
          </w:p>
        </w:tc>
        <w:tc>
          <w:tcPr>
            <w:tcW w:w="2551" w:type="dxa"/>
            <w:vAlign w:val="center"/>
          </w:tcPr>
          <w:p>
            <w:pPr>
              <w:pStyle w:val="单元格样式4"/>
            </w:pPr>
          </w:p>
        </w:tc>
        <w:tc>
          <w:tcPr>
            <w:tcW w:w="2551" w:type="dxa"/>
            <w:vAlign w:val="center"/>
          </w:tcPr>
          <w:p>
            <w:pPr>
              <w:pStyle w:val="单元格样式4"/>
            </w:pPr>
            <w:r>
              <w:t xml:space="preserve">0.05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3.47</w:t>
            </w:r>
          </w:p>
        </w:tc>
        <w:tc>
          <w:tcPr>
            <w:tcW w:w="2551" w:type="dxa"/>
            <w:vAlign w:val="center"/>
          </w:tcPr>
          <w:p>
            <w:pPr>
              <w:pStyle w:val="单元格样式4"/>
            </w:pPr>
          </w:p>
        </w:tc>
        <w:tc>
          <w:tcPr>
            <w:tcW w:w="2551" w:type="dxa"/>
            <w:vAlign w:val="center"/>
          </w:tcPr>
          <w:p>
            <w:pPr>
              <w:pStyle w:val="单元格样式4"/>
            </w:pPr>
            <w:r>
              <w:t xml:space="preserve">3.47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0.78</w:t>
            </w:r>
          </w:p>
        </w:tc>
        <w:tc>
          <w:tcPr>
            <w:tcW w:w="2551" w:type="dxa"/>
            <w:vAlign w:val="center"/>
          </w:tcPr>
          <w:p>
            <w:pPr>
              <w:pStyle w:val="单元格样式4"/>
            </w:pPr>
          </w:p>
        </w:tc>
        <w:tc>
          <w:tcPr>
            <w:tcW w:w="2551" w:type="dxa"/>
            <w:vAlign w:val="center"/>
          </w:tcPr>
          <w:p>
            <w:pPr>
              <w:pStyle w:val="单元格样式4"/>
            </w:pPr>
            <w:r>
              <w:t xml:space="preserve">0.78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6.44</w:t>
            </w:r>
          </w:p>
        </w:tc>
        <w:tc>
          <w:tcPr>
            <w:tcW w:w="2551" w:type="dxa"/>
            <w:vAlign w:val="center"/>
          </w:tcPr>
          <w:p>
            <w:pPr>
              <w:pStyle w:val="单元格样式4"/>
            </w:pPr>
          </w:p>
        </w:tc>
        <w:tc>
          <w:tcPr>
            <w:tcW w:w="2551" w:type="dxa"/>
            <w:vAlign w:val="center"/>
          </w:tcPr>
          <w:p>
            <w:pPr>
              <w:pStyle w:val="单元格样式4"/>
            </w:pPr>
            <w:r>
              <w:t xml:space="preserve">6.44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2.20</w:t>
            </w:r>
          </w:p>
        </w:tc>
        <w:tc>
          <w:tcPr>
            <w:tcW w:w="2551" w:type="dxa"/>
            <w:vAlign w:val="center"/>
          </w:tcPr>
          <w:p>
            <w:pPr>
              <w:pStyle w:val="单元格样式4"/>
            </w:pPr>
          </w:p>
        </w:tc>
        <w:tc>
          <w:tcPr>
            <w:tcW w:w="2551" w:type="dxa"/>
            <w:vAlign w:val="center"/>
          </w:tcPr>
          <w:p>
            <w:pPr>
              <w:pStyle w:val="单元格样式4"/>
            </w:pPr>
            <w:r>
              <w:t xml:space="preserve">2.20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7.37</w:t>
            </w:r>
          </w:p>
        </w:tc>
        <w:tc>
          <w:tcPr>
            <w:tcW w:w="2551" w:type="dxa"/>
            <w:vAlign w:val="center"/>
          </w:tcPr>
          <w:p>
            <w:pPr>
              <w:pStyle w:val="单元格样式4"/>
            </w:pPr>
            <w:r>
              <w:t xml:space="preserve">7.37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新乐市妇女联合会2026年部门预算信息公开情况说明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新乐市妇女联合会2026年部门预算信息公开情况说明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按照《中华人民共和国预算法》、《地方预决算公开操作规程》和《关于进一步推进预算公开工作的实施意见》规定，现将新乐市妇女联合会2026年部门预算公开如下：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部门职责：</w:t>
      </w:r>
    </w:p>
    <w:p>
      <w:pPr>
        <w:pStyle w:val="插入文本样式-插入预算公开部门职责文件"/>
      </w:pPr>
      <w:r>
        <w:t xml:space="preserve">1、领导全市妇女儿童工作，团结动员妇女群众投身改革开放和经济建设、政治建设、文化建设、社会建设、生态文明建设，为维护改革发展稳定大局服务，为全面推进中国式现代化贡献力量。</w:t>
      </w:r>
    </w:p>
    <w:p>
      <w:pPr>
        <w:pStyle w:val="插入文本样式-插入预算公开部门职责文件"/>
      </w:pPr>
    </w:p>
    <w:p>
      <w:pPr>
        <w:pStyle w:val="插入文本样式-插入预算公开部门职责文件"/>
      </w:pPr>
      <w:r>
        <w:t xml:space="preserve">2、教育引导广大妇女践行社会主义核心价值观，宣传马克思主义妇女观和男女平等思想，教育、引导妇女树立正确的世界观、人生观、价值观，弘扬“自尊、自信、自立、自强”精神，提高妇女素质，促进妇女人才成长。</w:t>
      </w:r>
    </w:p>
    <w:p>
      <w:pPr>
        <w:pStyle w:val="插入文本样式-插入预算公开部门职责文件"/>
      </w:pPr>
      <w:r>
        <w:t xml:space="preserve">3、代表妇女参与管理国家和社会事务、管理经济和文化事业，参与民主决策、民主管理、民主监督；开展对涉及妇女切身利益的热点、难点问题的研究，及时向市委、市政府反映社情民意，提出对策建议。</w:t>
      </w:r>
    </w:p>
    <w:p>
      <w:pPr>
        <w:pStyle w:val="插入文本样式-插入预算公开部门职责文件"/>
      </w:pPr>
      <w:r>
        <w:t xml:space="preserve">4、维护妇女儿童合法权益，倾听妇女意见，反映妇女诉求，向有关部门和单位提出意见建议，要求并协助有关部门和单位查处侵害妇女儿童权益的行为，为受侵害的妇女儿童提供帮助。</w:t>
      </w:r>
    </w:p>
    <w:p>
      <w:pPr>
        <w:pStyle w:val="插入文本样式-插入预算公开部门职责文件"/>
      </w:pPr>
      <w:r>
        <w:t xml:space="preserve">5、坚持为妇女儿童服务、为基层服务，加强与社会各界联系，协调推动全社会为妇女儿童办实事、办好事，促进妇女儿童事业发展。开展家庭文明建设，发挥妇女在家庭生活中的独特作用，培育家庭家教家风文化。</w:t>
      </w:r>
    </w:p>
    <w:p>
      <w:pPr>
        <w:pStyle w:val="插入文本样式-插入预算公开部门职责文件"/>
      </w:pPr>
      <w:r>
        <w:t xml:space="preserve">6、积极发展同各市、县（市、区）妇女和妇女组织的友好交往，增进了解和友谊，开展合作。</w:t>
      </w:r>
    </w:p>
    <w:p>
      <w:pPr>
        <w:pStyle w:val="插入文本样式-插入预算公开部门职责文件"/>
      </w:pPr>
    </w:p>
    <w:p>
      <w:pPr>
        <w:pStyle w:val="插入文本样式-插入预算公开部门职责文件"/>
      </w:pPr>
      <w:r>
        <w:t xml:space="preserve">7、组织编制、推动实施新乐市妇女儿童发展规划并开展监测评估；指导各乡镇（街道）妇女儿童发展规划相关工作。</w:t>
      </w:r>
    </w:p>
    <w:p>
      <w:pPr>
        <w:pStyle w:val="插入文本样式-插入预算公开部门职责文件"/>
      </w:pPr>
    </w:p>
    <w:p>
      <w:pPr>
        <w:pStyle w:val="插入文本样式-插入预算公开部门职责文件"/>
      </w:pPr>
      <w:r>
        <w:t xml:space="preserve">8、完成市委、市政府和石家庄市妇联交办的其他任务。</w:t>
      </w:r>
    </w:p>
    <w:p>
      <w:pPr>
        <w:pStyle w:val="插入文本样式-插入预算公开部门职责文件"/>
      </w:pPr>
    </w:p>
    <w:p>
      <w:pPr>
        <w:pStyle w:val="插入文本样式-插入预算公开部门职责文件"/>
      </w:pPr>
      <w:r>
        <w:t xml:space="preserve">9、新乐市妇女联合会机关设1个内设机构，行政编制6名。设主席1名（正科级），副主席1名（副科级）。股级职数1名。</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新乐市妇女联合会本级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按照预算管理有关规定，目前部门预算的编制实行综合预算管理，即全部收入和支出都反映在预算中。新乐市妇女联合会机关及所属事业单位的收支包含在部门预算中。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115.65万元，其中：一般公共预算收入115.65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妇女联合会年度部门预算中支出预算的总体情况。2026年支出预算115.65万元，其中基本支出115.65万元，包括人员经费101.96万元和日常公用经费13.69万元；项目支出0.00万元，主要为厉行节约，减少开支；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115.65万元，较2025年预算增加12.56万元，其中：基本支出增加12.56万元，主要为人员工资自然增长，人员经费相应增加。项目支出增加0.00万元，主要为厉行节约，减少开支。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2026年，我部门机关运行经费共计安排13.69万元，主要用于日常维修、办公用房水电费、办公用房取暖费、办公用房物业管理费等日常运行支出。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增减无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扎实开展巾帼建新功、巾帼新风尚、巾帼新力量、巾帼暖人心等行动，团结带领全市广大妇女凝心聚力、实干笃行，为建设现代化经济强市、美丽新乐贡献巾帼智慧和巾帼力量。市妇联将始终坚守初心使命，牢记服务宗旨，以更加务实的作风、更加有力的举措，扎实推进各项工作落地落实，不断开创妇女儿童事业发展新局面，为全市经济社会高质量发展贡献巾帼智慧和力量！</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一是持续强化思想政治引领，创新宣讲形式和载体，把党的创新理论宣传到基层一线，不断凝聚巾帼思想共识，夯实妇联工作政治根基。</w:t>
      </w:r>
    </w:p>
    <w:p>
      <w:pPr>
        <w:pStyle w:val="插入文本样式-插入职责分类绩效目标文件"/>
      </w:pPr>
      <w:r>
        <w:t xml:space="preserve">二是深耕巾帼创业就业服务，持续推进“河北福嫂·燕赵家政”提质扩容工程，丰富家政技能培训内容，搭建更多就业对接平台，助力妇女增收致富；持续深化“美在家庭”建设，以家庭文明建设助推乡村振兴。</w:t>
      </w:r>
    </w:p>
    <w:p>
      <w:pPr>
        <w:pStyle w:val="插入文本样式-插入职责分类绩效目标文件"/>
      </w:pPr>
      <w:r>
        <w:t xml:space="preserve">三是抓实妇女儿童民生保障，常态化推进妇女“两癌”筛查和救助工作，扩大健康服务覆盖面；精准开展困境妇女儿童关爱帮扶，整合社会爱心资源，做实春蕾助学、结对帮扶等公益项目，切实把温暖送到群众身边。</w:t>
      </w:r>
    </w:p>
    <w:p>
      <w:pPr>
        <w:pStyle w:val="插入文本样式-插入职责分类绩效目标文件"/>
      </w:pPr>
      <w:r>
        <w:t xml:space="preserve">四是擦亮“木兰婚调”工作品牌，持续建强婚调队伍，优化矛盾排查调解机制，深化与司法、综治等部门的联动协作，切实筑牢家庭和谐防线；常态化开展普法宣传和维权服务，不断提升妇女儿童法治意识和维权能力，全力守护妇女儿童合法权益。</w:t>
      </w:r>
    </w:p>
    <w:p>
      <w:pPr>
        <w:pStyle w:val="插入文本样式-插入职责分类绩效目标文件"/>
      </w:pPr>
      <w:r>
        <w:t xml:space="preserve">五是夯实基层妇联组织建设，持续拓展新兴领域妇联组织覆盖，加强基层妇联干部培训，提升干部履职能力和服务水平，切实把妇联组织建设成为党联系妇女群众的坚强桥梁和纽带。</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实现本年度规划目标的保障措施：</w:t>
      </w:r>
    </w:p>
    <w:p>
      <w:pPr>
        <w:pStyle w:val="插入文本样式-插入实现年度发展规划目标的保障措施文件"/>
      </w:pPr>
      <w:r>
        <w:t xml:space="preserve">一是做好家庭教育工作。充实家庭教育讲师团队伍，提高家庭教育工作的专业技术化水平一是持续强化思想政治引领，创新宣讲形式和载体，把党的创新理论宣传到基层一线，不断凝聚巾帼思想共识，夯实妇联工作政治根基。</w:t>
      </w:r>
    </w:p>
    <w:p>
      <w:pPr>
        <w:pStyle w:val="插入文本样式-插入实现年度发展规划目标的保障措施文件"/>
      </w:pPr>
      <w:r>
        <w:t xml:space="preserve">二是深耕巾帼创业就业服务，持续推进“河北福嫂·燕赵家政”提质扩容工程，丰富家政技能培训内容，搭建更多就业对接平台，助力妇女增收致富；持续深化“美在家庭”建设，以家庭文明建设助推乡村振兴。</w:t>
      </w:r>
    </w:p>
    <w:p>
      <w:pPr>
        <w:pStyle w:val="插入文本样式-插入实现年度发展规划目标的保障措施文件"/>
      </w:pPr>
      <w:r>
        <w:t xml:space="preserve">三是抓实妇女儿童民生保障，常态化推进妇女“两癌”筛查和救助工作，扩大健康服务覆盖面；精准开展困境妇女儿童关爱帮扶，整合社会爱心资源，做实春蕾助学、结对帮扶等公益项目，切实把温暖送到群众身边。</w:t>
      </w:r>
    </w:p>
    <w:p>
      <w:pPr>
        <w:pStyle w:val="插入文本样式-插入实现年度发展规划目标的保障措施文件"/>
      </w:pPr>
      <w:r>
        <w:t xml:space="preserve">四是擦亮“木兰婚调”工作品牌，持续建强婚调队伍，优化矛盾排查调解机制，深化与司法、综治等部门的联动协作，切实筑牢家庭和谐防线；常态化开展普法宣传和维权服务，不断提升妇女儿童法治意识和维权能力，全力守护妇女儿童合法权益。</w:t>
      </w:r>
    </w:p>
    <w:p>
      <w:pPr>
        <w:pStyle w:val="插入文本样式-插入实现年度发展规划目标的保障措施文件"/>
      </w:pPr>
      <w:r>
        <w:t xml:space="preserve">五是夯实基层妇联组织建设，持续拓展新兴领域妇联组织覆盖，加强基层妇联干部培训，提升干部履职能力和服务水平，切实把妇联组织建设成为党联系妇女群众的坚强桥梁和纽带。</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新乐市妇女联合会（含所属单位）上年末固定资产金额为65770.00万元（详见下表）。本年度拟购置固定资产总额为0.00万元，已按要求列入政府采购预算，详见政府采购预算表。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713新乐市妇女联合会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65770.00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w:t>
            </w:r>
          </w:p>
        </w:tc>
        <w:tc>
          <w:tcPr>
            <w:tcW w:w="2835" w:type="dxa"/>
            <w:vAlign w:val="center"/>
          </w:tcPr>
          <w:p>
            <w:pPr>
              <w:pStyle w:val="单元格样式4"/>
            </w:pPr>
            <w:r>
              <w:t xml:space="preserve">60.00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49</w:t>
            </w:r>
          </w:p>
        </w:tc>
        <w:tc>
          <w:tcPr>
            <w:tcW w:w="2835" w:type="dxa"/>
            <w:vAlign w:val="center"/>
          </w:tcPr>
          <w:p>
            <w:pPr>
              <w:pStyle w:val="单元格样式4"/>
            </w:pPr>
            <w:r>
              <w:t xml:space="preserve">65770.00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2026-03-05T14:59:34Z</dcterms:created>
  <dcterms:modified xsi:type="dcterms:W3CDTF">2026-03-05T14:59:34Z</dcterms:modified>
</cp:coreProperties>
</file>