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一、新乐市政法委本级收支预算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一、新乐市政法委本级收支预算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216001新乐市政法委本级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360.30</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245.78</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r>
              <w:t xml:space="preserve">27.00</w:t>
            </w: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55.21</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10.03</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22.28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360.30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360.30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360.30</w:t>
            </w:r>
          </w:p>
        </w:tc>
        <w:tc>
          <w:tcPr>
            <w:tcW w:w="4535" w:type="dxa"/>
            <w:vAlign w:val="center"/>
          </w:tcPr>
          <w:p>
            <w:pPr>
              <w:pStyle w:val="单元格样式6"/>
            </w:pPr>
            <w:r>
              <w:t xml:space="preserve">支出总计</w:t>
            </w:r>
          </w:p>
        </w:tc>
        <w:tc>
          <w:tcPr>
            <w:tcW w:w="2126" w:type="dxa"/>
            <w:vAlign w:val="center"/>
          </w:tcPr>
          <w:p>
            <w:pPr>
              <w:pStyle w:val="单元格样式7"/>
            </w:pPr>
            <w:r>
              <w:t xml:space="preserve">360.30</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216001新乐市政法委本级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360.30</w:t>
            </w:r>
          </w:p>
        </w:tc>
        <w:tc>
          <w:tcPr>
            <w:tcW w:w="1134" w:type="dxa"/>
            <w:vAlign w:val="center"/>
          </w:tcPr>
          <w:p>
            <w:pPr>
              <w:pStyle w:val="单元格样式7"/>
            </w:pPr>
            <w:r>
              <w:t xml:space="preserve">360.30</w:t>
            </w:r>
          </w:p>
        </w:tc>
        <w:tc>
          <w:tcPr>
            <w:tcW w:w="1134" w:type="dxa"/>
            <w:vAlign w:val="center"/>
          </w:tcPr>
          <w:p>
            <w:pPr>
              <w:pStyle w:val="单元格样式7"/>
            </w:pPr>
            <w:r>
              <w:t xml:space="preserve">360.30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245.78</w:t>
            </w:r>
          </w:p>
        </w:tc>
        <w:tc>
          <w:tcPr>
            <w:tcW w:w="1134" w:type="dxa"/>
            <w:vAlign w:val="center"/>
          </w:tcPr>
          <w:p>
            <w:pPr>
              <w:pStyle w:val="单元格样式4"/>
            </w:pPr>
            <w:r>
              <w:t xml:space="preserve">245.78</w:t>
            </w:r>
          </w:p>
        </w:tc>
        <w:tc>
          <w:tcPr>
            <w:tcW w:w="1134" w:type="dxa"/>
            <w:vAlign w:val="center"/>
          </w:tcPr>
          <w:p>
            <w:pPr>
              <w:pStyle w:val="单元格样式4"/>
            </w:pPr>
            <w:r>
              <w:t xml:space="preserve">245.78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20131</w:t>
            </w:r>
          </w:p>
        </w:tc>
        <w:tc>
          <w:tcPr>
            <w:tcW w:w="1559" w:type="dxa"/>
            <w:vAlign w:val="center"/>
          </w:tcPr>
          <w:p>
            <w:pPr>
              <w:pStyle w:val="单元格样式2"/>
            </w:pPr>
            <w:r>
              <w:t xml:space="preserve">党委办公厅（室）及相关机构事务</w:t>
            </w:r>
          </w:p>
        </w:tc>
        <w:tc>
          <w:tcPr>
            <w:tcW w:w="1134" w:type="dxa"/>
            <w:vAlign w:val="center"/>
          </w:tcPr>
          <w:p>
            <w:pPr>
              <w:pStyle w:val="单元格样式4"/>
            </w:pPr>
            <w:r>
              <w:t xml:space="preserve">245.78</w:t>
            </w:r>
          </w:p>
        </w:tc>
        <w:tc>
          <w:tcPr>
            <w:tcW w:w="1134" w:type="dxa"/>
            <w:vAlign w:val="center"/>
          </w:tcPr>
          <w:p>
            <w:pPr>
              <w:pStyle w:val="单元格样式4"/>
            </w:pPr>
            <w:r>
              <w:t xml:space="preserve">245.78</w:t>
            </w:r>
          </w:p>
        </w:tc>
        <w:tc>
          <w:tcPr>
            <w:tcW w:w="1134" w:type="dxa"/>
            <w:vAlign w:val="center"/>
          </w:tcPr>
          <w:p>
            <w:pPr>
              <w:pStyle w:val="单元格样式4"/>
            </w:pPr>
            <w:r>
              <w:t xml:space="preserve">245.78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245.78</w:t>
            </w:r>
          </w:p>
        </w:tc>
        <w:tc>
          <w:tcPr>
            <w:tcW w:w="1134" w:type="dxa"/>
            <w:vAlign w:val="center"/>
          </w:tcPr>
          <w:p>
            <w:pPr>
              <w:pStyle w:val="单元格样式4"/>
            </w:pPr>
            <w:r>
              <w:t xml:space="preserve">245.78</w:t>
            </w:r>
          </w:p>
        </w:tc>
        <w:tc>
          <w:tcPr>
            <w:tcW w:w="1134" w:type="dxa"/>
            <w:vAlign w:val="center"/>
          </w:tcPr>
          <w:p>
            <w:pPr>
              <w:pStyle w:val="单元格样式4"/>
            </w:pPr>
            <w:r>
              <w:t xml:space="preserve">245.78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204</w:t>
            </w:r>
          </w:p>
        </w:tc>
        <w:tc>
          <w:tcPr>
            <w:tcW w:w="1559" w:type="dxa"/>
            <w:vAlign w:val="center"/>
          </w:tcPr>
          <w:p>
            <w:pPr>
              <w:pStyle w:val="单元格样式2"/>
            </w:pPr>
            <w:r>
              <w:t xml:space="preserve">公共安全支出</w:t>
            </w:r>
          </w:p>
        </w:tc>
        <w:tc>
          <w:tcPr>
            <w:tcW w:w="1134" w:type="dxa"/>
            <w:vAlign w:val="center"/>
          </w:tcPr>
          <w:p>
            <w:pPr>
              <w:pStyle w:val="单元格样式4"/>
            </w:pPr>
            <w:r>
              <w:t xml:space="preserve">27.00</w:t>
            </w:r>
          </w:p>
        </w:tc>
        <w:tc>
          <w:tcPr>
            <w:tcW w:w="1134" w:type="dxa"/>
            <w:vAlign w:val="center"/>
          </w:tcPr>
          <w:p>
            <w:pPr>
              <w:pStyle w:val="单元格样式4"/>
            </w:pPr>
            <w:r>
              <w:t xml:space="preserve">27.00</w:t>
            </w:r>
          </w:p>
        </w:tc>
        <w:tc>
          <w:tcPr>
            <w:tcW w:w="1134" w:type="dxa"/>
            <w:vAlign w:val="center"/>
          </w:tcPr>
          <w:p>
            <w:pPr>
              <w:pStyle w:val="单元格样式4"/>
            </w:pPr>
            <w:r>
              <w:t xml:space="preserve">27.00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20499</w:t>
            </w:r>
          </w:p>
        </w:tc>
        <w:tc>
          <w:tcPr>
            <w:tcW w:w="1559" w:type="dxa"/>
            <w:vAlign w:val="center"/>
          </w:tcPr>
          <w:p>
            <w:pPr>
              <w:pStyle w:val="单元格样式2"/>
            </w:pPr>
            <w:r>
              <w:t xml:space="preserve">其他公共安全支出</w:t>
            </w:r>
          </w:p>
        </w:tc>
        <w:tc>
          <w:tcPr>
            <w:tcW w:w="1134" w:type="dxa"/>
            <w:vAlign w:val="center"/>
          </w:tcPr>
          <w:p>
            <w:pPr>
              <w:pStyle w:val="单元格样式4"/>
            </w:pPr>
            <w:r>
              <w:t xml:space="preserve">27.00</w:t>
            </w:r>
          </w:p>
        </w:tc>
        <w:tc>
          <w:tcPr>
            <w:tcW w:w="1134" w:type="dxa"/>
            <w:vAlign w:val="center"/>
          </w:tcPr>
          <w:p>
            <w:pPr>
              <w:pStyle w:val="单元格样式4"/>
            </w:pPr>
            <w:r>
              <w:t xml:space="preserve">27.00</w:t>
            </w:r>
          </w:p>
        </w:tc>
        <w:tc>
          <w:tcPr>
            <w:tcW w:w="1134" w:type="dxa"/>
            <w:vAlign w:val="center"/>
          </w:tcPr>
          <w:p>
            <w:pPr>
              <w:pStyle w:val="单元格样式4"/>
            </w:pPr>
            <w:r>
              <w:t xml:space="preserve">27.00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2049902</w:t>
            </w:r>
          </w:p>
        </w:tc>
        <w:tc>
          <w:tcPr>
            <w:tcW w:w="1559" w:type="dxa"/>
            <w:vAlign w:val="center"/>
          </w:tcPr>
          <w:p>
            <w:pPr>
              <w:pStyle w:val="单元格样式2"/>
            </w:pPr>
            <w:r>
              <w:t xml:space="preserve">国家司法救助支出</w:t>
            </w:r>
          </w:p>
        </w:tc>
        <w:tc>
          <w:tcPr>
            <w:tcW w:w="1134" w:type="dxa"/>
            <w:vAlign w:val="center"/>
          </w:tcPr>
          <w:p>
            <w:pPr>
              <w:pStyle w:val="单元格样式4"/>
            </w:pPr>
            <w:r>
              <w:t xml:space="preserve">27.00</w:t>
            </w:r>
          </w:p>
        </w:tc>
        <w:tc>
          <w:tcPr>
            <w:tcW w:w="1134" w:type="dxa"/>
            <w:vAlign w:val="center"/>
          </w:tcPr>
          <w:p>
            <w:pPr>
              <w:pStyle w:val="单元格样式4"/>
            </w:pPr>
            <w:r>
              <w:t xml:space="preserve">27.00</w:t>
            </w:r>
          </w:p>
        </w:tc>
        <w:tc>
          <w:tcPr>
            <w:tcW w:w="1134" w:type="dxa"/>
            <w:vAlign w:val="center"/>
          </w:tcPr>
          <w:p>
            <w:pPr>
              <w:pStyle w:val="单元格样式4"/>
            </w:pPr>
            <w:r>
              <w:t xml:space="preserve">27.00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55.21</w:t>
            </w:r>
          </w:p>
        </w:tc>
        <w:tc>
          <w:tcPr>
            <w:tcW w:w="1134" w:type="dxa"/>
            <w:vAlign w:val="center"/>
          </w:tcPr>
          <w:p>
            <w:pPr>
              <w:pStyle w:val="单元格样式4"/>
            </w:pPr>
            <w:r>
              <w:t xml:space="preserve">55.21</w:t>
            </w:r>
          </w:p>
        </w:tc>
        <w:tc>
          <w:tcPr>
            <w:tcW w:w="1134" w:type="dxa"/>
            <w:vAlign w:val="center"/>
          </w:tcPr>
          <w:p>
            <w:pPr>
              <w:pStyle w:val="单元格样式4"/>
            </w:pPr>
            <w:r>
              <w:t xml:space="preserve">55.21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52.06</w:t>
            </w:r>
          </w:p>
        </w:tc>
        <w:tc>
          <w:tcPr>
            <w:tcW w:w="1134" w:type="dxa"/>
            <w:vAlign w:val="center"/>
          </w:tcPr>
          <w:p>
            <w:pPr>
              <w:pStyle w:val="单元格样式4"/>
            </w:pPr>
            <w:r>
              <w:t xml:space="preserve">52.06</w:t>
            </w:r>
          </w:p>
        </w:tc>
        <w:tc>
          <w:tcPr>
            <w:tcW w:w="1134" w:type="dxa"/>
            <w:vAlign w:val="center"/>
          </w:tcPr>
          <w:p>
            <w:pPr>
              <w:pStyle w:val="单元格样式4"/>
            </w:pPr>
            <w:r>
              <w:t xml:space="preserve">52.06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22.87</w:t>
            </w:r>
          </w:p>
        </w:tc>
        <w:tc>
          <w:tcPr>
            <w:tcW w:w="1134" w:type="dxa"/>
            <w:vAlign w:val="center"/>
          </w:tcPr>
          <w:p>
            <w:pPr>
              <w:pStyle w:val="单元格样式4"/>
            </w:pPr>
            <w:r>
              <w:t xml:space="preserve">22.87</w:t>
            </w:r>
          </w:p>
        </w:tc>
        <w:tc>
          <w:tcPr>
            <w:tcW w:w="1134" w:type="dxa"/>
            <w:vAlign w:val="center"/>
          </w:tcPr>
          <w:p>
            <w:pPr>
              <w:pStyle w:val="单元格样式4"/>
            </w:pPr>
            <w:r>
              <w:t xml:space="preserve">22.87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21.79</w:t>
            </w:r>
          </w:p>
        </w:tc>
        <w:tc>
          <w:tcPr>
            <w:tcW w:w="1134" w:type="dxa"/>
            <w:vAlign w:val="center"/>
          </w:tcPr>
          <w:p>
            <w:pPr>
              <w:pStyle w:val="单元格样式4"/>
            </w:pPr>
            <w:r>
              <w:t xml:space="preserve">21.79</w:t>
            </w:r>
          </w:p>
        </w:tc>
        <w:tc>
          <w:tcPr>
            <w:tcW w:w="1134" w:type="dxa"/>
            <w:vAlign w:val="center"/>
          </w:tcPr>
          <w:p>
            <w:pPr>
              <w:pStyle w:val="单元格样式4"/>
            </w:pPr>
            <w:r>
              <w:t xml:space="preserve">21.79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7.40</w:t>
            </w:r>
          </w:p>
        </w:tc>
        <w:tc>
          <w:tcPr>
            <w:tcW w:w="1134" w:type="dxa"/>
            <w:vAlign w:val="center"/>
          </w:tcPr>
          <w:p>
            <w:pPr>
              <w:pStyle w:val="单元格样式4"/>
            </w:pPr>
            <w:r>
              <w:t xml:space="preserve">7.40</w:t>
            </w:r>
          </w:p>
        </w:tc>
        <w:tc>
          <w:tcPr>
            <w:tcW w:w="1134" w:type="dxa"/>
            <w:vAlign w:val="center"/>
          </w:tcPr>
          <w:p>
            <w:pPr>
              <w:pStyle w:val="单元格样式4"/>
            </w:pPr>
            <w:r>
              <w:t xml:space="preserve">7.40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2.20</w:t>
            </w:r>
          </w:p>
        </w:tc>
        <w:tc>
          <w:tcPr>
            <w:tcW w:w="1134" w:type="dxa"/>
            <w:vAlign w:val="center"/>
          </w:tcPr>
          <w:p>
            <w:pPr>
              <w:pStyle w:val="单元格样式4"/>
            </w:pPr>
            <w:r>
              <w:t xml:space="preserve">2.20</w:t>
            </w:r>
          </w:p>
        </w:tc>
        <w:tc>
          <w:tcPr>
            <w:tcW w:w="1134" w:type="dxa"/>
            <w:vAlign w:val="center"/>
          </w:tcPr>
          <w:p>
            <w:pPr>
              <w:pStyle w:val="单元格样式4"/>
            </w:pPr>
            <w:r>
              <w:t xml:space="preserve">2.20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2.20</w:t>
            </w:r>
          </w:p>
        </w:tc>
        <w:tc>
          <w:tcPr>
            <w:tcW w:w="1134" w:type="dxa"/>
            <w:vAlign w:val="center"/>
          </w:tcPr>
          <w:p>
            <w:pPr>
              <w:pStyle w:val="单元格样式4"/>
            </w:pPr>
            <w:r>
              <w:t xml:space="preserve">2.20</w:t>
            </w:r>
          </w:p>
        </w:tc>
        <w:tc>
          <w:tcPr>
            <w:tcW w:w="1134" w:type="dxa"/>
            <w:vAlign w:val="center"/>
          </w:tcPr>
          <w:p>
            <w:pPr>
              <w:pStyle w:val="单元格样式4"/>
            </w:pPr>
            <w:r>
              <w:t xml:space="preserve">2.20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0.95</w:t>
            </w:r>
          </w:p>
        </w:tc>
        <w:tc>
          <w:tcPr>
            <w:tcW w:w="1134" w:type="dxa"/>
            <w:vAlign w:val="center"/>
          </w:tcPr>
          <w:p>
            <w:pPr>
              <w:pStyle w:val="单元格样式4"/>
            </w:pPr>
            <w:r>
              <w:t xml:space="preserve">0.95</w:t>
            </w:r>
          </w:p>
        </w:tc>
        <w:tc>
          <w:tcPr>
            <w:tcW w:w="1134" w:type="dxa"/>
            <w:vAlign w:val="center"/>
          </w:tcPr>
          <w:p>
            <w:pPr>
              <w:pStyle w:val="单元格样式4"/>
            </w:pPr>
            <w:r>
              <w:t xml:space="preserve">0.95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0.95</w:t>
            </w:r>
          </w:p>
        </w:tc>
        <w:tc>
          <w:tcPr>
            <w:tcW w:w="1134" w:type="dxa"/>
            <w:vAlign w:val="center"/>
          </w:tcPr>
          <w:p>
            <w:pPr>
              <w:pStyle w:val="单元格样式4"/>
            </w:pPr>
            <w:r>
              <w:t xml:space="preserve">0.95</w:t>
            </w:r>
          </w:p>
        </w:tc>
        <w:tc>
          <w:tcPr>
            <w:tcW w:w="1134" w:type="dxa"/>
            <w:vAlign w:val="center"/>
          </w:tcPr>
          <w:p>
            <w:pPr>
              <w:pStyle w:val="单元格样式4"/>
            </w:pPr>
            <w:r>
              <w:t xml:space="preserve">0.95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10.03</w:t>
            </w:r>
          </w:p>
        </w:tc>
        <w:tc>
          <w:tcPr>
            <w:tcW w:w="1134" w:type="dxa"/>
            <w:vAlign w:val="center"/>
          </w:tcPr>
          <w:p>
            <w:pPr>
              <w:pStyle w:val="单元格样式4"/>
            </w:pPr>
            <w:r>
              <w:t xml:space="preserve">10.03</w:t>
            </w:r>
          </w:p>
        </w:tc>
        <w:tc>
          <w:tcPr>
            <w:tcW w:w="1134" w:type="dxa"/>
            <w:vAlign w:val="center"/>
          </w:tcPr>
          <w:p>
            <w:pPr>
              <w:pStyle w:val="单元格样式4"/>
            </w:pPr>
            <w:r>
              <w:t xml:space="preserve">10.03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10.03</w:t>
            </w:r>
          </w:p>
        </w:tc>
        <w:tc>
          <w:tcPr>
            <w:tcW w:w="1134" w:type="dxa"/>
            <w:vAlign w:val="center"/>
          </w:tcPr>
          <w:p>
            <w:pPr>
              <w:pStyle w:val="单元格样式4"/>
            </w:pPr>
            <w:r>
              <w:t xml:space="preserve">10.03</w:t>
            </w:r>
          </w:p>
        </w:tc>
        <w:tc>
          <w:tcPr>
            <w:tcW w:w="1134" w:type="dxa"/>
            <w:vAlign w:val="center"/>
          </w:tcPr>
          <w:p>
            <w:pPr>
              <w:pStyle w:val="单元格样式4"/>
            </w:pPr>
            <w:r>
              <w:t xml:space="preserve">10.03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10.03</w:t>
            </w:r>
          </w:p>
        </w:tc>
        <w:tc>
          <w:tcPr>
            <w:tcW w:w="1134" w:type="dxa"/>
            <w:vAlign w:val="center"/>
          </w:tcPr>
          <w:p>
            <w:pPr>
              <w:pStyle w:val="单元格样式4"/>
            </w:pPr>
            <w:r>
              <w:t xml:space="preserve">10.03</w:t>
            </w:r>
          </w:p>
        </w:tc>
        <w:tc>
          <w:tcPr>
            <w:tcW w:w="1134" w:type="dxa"/>
            <w:vAlign w:val="center"/>
          </w:tcPr>
          <w:p>
            <w:pPr>
              <w:pStyle w:val="单元格样式4"/>
            </w:pPr>
            <w:r>
              <w:t xml:space="preserve">10.03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22.28</w:t>
            </w:r>
          </w:p>
        </w:tc>
        <w:tc>
          <w:tcPr>
            <w:tcW w:w="1134" w:type="dxa"/>
            <w:vAlign w:val="center"/>
          </w:tcPr>
          <w:p>
            <w:pPr>
              <w:pStyle w:val="单元格样式4"/>
            </w:pPr>
            <w:r>
              <w:t xml:space="preserve">22.28</w:t>
            </w:r>
          </w:p>
        </w:tc>
        <w:tc>
          <w:tcPr>
            <w:tcW w:w="1134" w:type="dxa"/>
            <w:vAlign w:val="center"/>
          </w:tcPr>
          <w:p>
            <w:pPr>
              <w:pStyle w:val="单元格样式4"/>
            </w:pPr>
            <w:r>
              <w:t xml:space="preserve">22.28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22.28</w:t>
            </w:r>
          </w:p>
        </w:tc>
        <w:tc>
          <w:tcPr>
            <w:tcW w:w="1134" w:type="dxa"/>
            <w:vAlign w:val="center"/>
          </w:tcPr>
          <w:p>
            <w:pPr>
              <w:pStyle w:val="单元格样式4"/>
            </w:pPr>
            <w:r>
              <w:t xml:space="preserve">22.28</w:t>
            </w:r>
          </w:p>
        </w:tc>
        <w:tc>
          <w:tcPr>
            <w:tcW w:w="1134" w:type="dxa"/>
            <w:vAlign w:val="center"/>
          </w:tcPr>
          <w:p>
            <w:pPr>
              <w:pStyle w:val="单元格样式4"/>
            </w:pPr>
            <w:r>
              <w:t xml:space="preserve">22.28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22.28</w:t>
            </w:r>
          </w:p>
        </w:tc>
        <w:tc>
          <w:tcPr>
            <w:tcW w:w="1134" w:type="dxa"/>
            <w:vAlign w:val="center"/>
          </w:tcPr>
          <w:p>
            <w:pPr>
              <w:pStyle w:val="单元格样式4"/>
            </w:pPr>
            <w:r>
              <w:t xml:space="preserve">22.28</w:t>
            </w:r>
          </w:p>
        </w:tc>
        <w:tc>
          <w:tcPr>
            <w:tcW w:w="1134" w:type="dxa"/>
            <w:vAlign w:val="center"/>
          </w:tcPr>
          <w:p>
            <w:pPr>
              <w:pStyle w:val="单元格样式4"/>
            </w:pPr>
            <w:r>
              <w:t xml:space="preserve">22.28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216001新乐市政法委本级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360.30</w:t>
            </w:r>
          </w:p>
        </w:tc>
        <w:tc>
          <w:tcPr>
            <w:tcW w:w="1361" w:type="dxa"/>
            <w:vAlign w:val="center"/>
          </w:tcPr>
          <w:p>
            <w:pPr>
              <w:pStyle w:val="单元格样式7"/>
            </w:pPr>
            <w:r>
              <w:t xml:space="preserve">333.30</w:t>
            </w:r>
          </w:p>
        </w:tc>
        <w:tc>
          <w:tcPr>
            <w:tcW w:w="1361" w:type="dxa"/>
            <w:vAlign w:val="center"/>
          </w:tcPr>
          <w:p>
            <w:pPr>
              <w:pStyle w:val="单元格样式7"/>
            </w:pPr>
            <w:r>
              <w:t xml:space="preserve">27.00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245.78</w:t>
            </w:r>
          </w:p>
        </w:tc>
        <w:tc>
          <w:tcPr>
            <w:tcW w:w="1361" w:type="dxa"/>
            <w:vAlign w:val="center"/>
          </w:tcPr>
          <w:p>
            <w:pPr>
              <w:pStyle w:val="单元格样式4"/>
            </w:pPr>
            <w:r>
              <w:t xml:space="preserve">245.78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20131</w:t>
            </w:r>
          </w:p>
        </w:tc>
        <w:tc>
          <w:tcPr>
            <w:tcW w:w="4535" w:type="dxa"/>
            <w:vAlign w:val="center"/>
          </w:tcPr>
          <w:p>
            <w:pPr>
              <w:pStyle w:val="单元格样式2"/>
            </w:pPr>
            <w:r>
              <w:t xml:space="preserve">党委办公厅（室）及相关机构事务</w:t>
            </w:r>
          </w:p>
        </w:tc>
        <w:tc>
          <w:tcPr>
            <w:tcW w:w="1361" w:type="dxa"/>
            <w:vAlign w:val="center"/>
          </w:tcPr>
          <w:p>
            <w:pPr>
              <w:pStyle w:val="单元格样式4"/>
            </w:pPr>
            <w:r>
              <w:t xml:space="preserve">245.78</w:t>
            </w:r>
          </w:p>
        </w:tc>
        <w:tc>
          <w:tcPr>
            <w:tcW w:w="1361" w:type="dxa"/>
            <w:vAlign w:val="center"/>
          </w:tcPr>
          <w:p>
            <w:pPr>
              <w:pStyle w:val="单元格样式4"/>
            </w:pPr>
            <w:r>
              <w:t xml:space="preserve">245.78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245.78</w:t>
            </w:r>
          </w:p>
        </w:tc>
        <w:tc>
          <w:tcPr>
            <w:tcW w:w="1361" w:type="dxa"/>
            <w:vAlign w:val="center"/>
          </w:tcPr>
          <w:p>
            <w:pPr>
              <w:pStyle w:val="单元格样式4"/>
            </w:pPr>
            <w:r>
              <w:t xml:space="preserve">245.78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204</w:t>
            </w:r>
          </w:p>
        </w:tc>
        <w:tc>
          <w:tcPr>
            <w:tcW w:w="4535" w:type="dxa"/>
            <w:vAlign w:val="center"/>
          </w:tcPr>
          <w:p>
            <w:pPr>
              <w:pStyle w:val="单元格样式2"/>
            </w:pPr>
            <w:r>
              <w:t xml:space="preserve">公共安全支出</w:t>
            </w:r>
          </w:p>
        </w:tc>
        <w:tc>
          <w:tcPr>
            <w:tcW w:w="1361" w:type="dxa"/>
            <w:vAlign w:val="center"/>
          </w:tcPr>
          <w:p>
            <w:pPr>
              <w:pStyle w:val="单元格样式4"/>
            </w:pPr>
            <w:r>
              <w:t xml:space="preserve">27.00</w:t>
            </w:r>
          </w:p>
        </w:tc>
        <w:tc>
          <w:tcPr>
            <w:tcW w:w="1361" w:type="dxa"/>
            <w:vAlign w:val="center"/>
          </w:tcPr>
          <w:p>
            <w:pPr>
              <w:pStyle w:val="单元格样式4"/>
            </w:pPr>
          </w:p>
        </w:tc>
        <w:tc>
          <w:tcPr>
            <w:tcW w:w="1361" w:type="dxa"/>
            <w:vAlign w:val="center"/>
          </w:tcPr>
          <w:p>
            <w:pPr>
              <w:pStyle w:val="单元格样式4"/>
            </w:pPr>
            <w:r>
              <w:t xml:space="preserve">27.00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20499</w:t>
            </w:r>
          </w:p>
        </w:tc>
        <w:tc>
          <w:tcPr>
            <w:tcW w:w="4535" w:type="dxa"/>
            <w:vAlign w:val="center"/>
          </w:tcPr>
          <w:p>
            <w:pPr>
              <w:pStyle w:val="单元格样式2"/>
            </w:pPr>
            <w:r>
              <w:t xml:space="preserve">其他公共安全支出</w:t>
            </w:r>
          </w:p>
        </w:tc>
        <w:tc>
          <w:tcPr>
            <w:tcW w:w="1361" w:type="dxa"/>
            <w:vAlign w:val="center"/>
          </w:tcPr>
          <w:p>
            <w:pPr>
              <w:pStyle w:val="单元格样式4"/>
            </w:pPr>
            <w:r>
              <w:t xml:space="preserve">27.00</w:t>
            </w:r>
          </w:p>
        </w:tc>
        <w:tc>
          <w:tcPr>
            <w:tcW w:w="1361" w:type="dxa"/>
            <w:vAlign w:val="center"/>
          </w:tcPr>
          <w:p>
            <w:pPr>
              <w:pStyle w:val="单元格样式4"/>
            </w:pPr>
          </w:p>
        </w:tc>
        <w:tc>
          <w:tcPr>
            <w:tcW w:w="1361" w:type="dxa"/>
            <w:vAlign w:val="center"/>
          </w:tcPr>
          <w:p>
            <w:pPr>
              <w:pStyle w:val="单元格样式4"/>
            </w:pPr>
            <w:r>
              <w:t xml:space="preserve">27.00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2049902</w:t>
            </w:r>
          </w:p>
        </w:tc>
        <w:tc>
          <w:tcPr>
            <w:tcW w:w="4535" w:type="dxa"/>
            <w:vAlign w:val="center"/>
          </w:tcPr>
          <w:p>
            <w:pPr>
              <w:pStyle w:val="单元格样式2"/>
            </w:pPr>
            <w:r>
              <w:t xml:space="preserve">国家司法救助支出</w:t>
            </w:r>
          </w:p>
        </w:tc>
        <w:tc>
          <w:tcPr>
            <w:tcW w:w="1361" w:type="dxa"/>
            <w:vAlign w:val="center"/>
          </w:tcPr>
          <w:p>
            <w:pPr>
              <w:pStyle w:val="单元格样式4"/>
            </w:pPr>
            <w:r>
              <w:t xml:space="preserve">27.00</w:t>
            </w:r>
          </w:p>
        </w:tc>
        <w:tc>
          <w:tcPr>
            <w:tcW w:w="1361" w:type="dxa"/>
            <w:vAlign w:val="center"/>
          </w:tcPr>
          <w:p>
            <w:pPr>
              <w:pStyle w:val="单元格样式4"/>
            </w:pPr>
          </w:p>
        </w:tc>
        <w:tc>
          <w:tcPr>
            <w:tcW w:w="1361" w:type="dxa"/>
            <w:vAlign w:val="center"/>
          </w:tcPr>
          <w:p>
            <w:pPr>
              <w:pStyle w:val="单元格样式4"/>
            </w:pPr>
            <w:r>
              <w:t xml:space="preserve">27.00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55.21</w:t>
            </w:r>
          </w:p>
        </w:tc>
        <w:tc>
          <w:tcPr>
            <w:tcW w:w="1361" w:type="dxa"/>
            <w:vAlign w:val="center"/>
          </w:tcPr>
          <w:p>
            <w:pPr>
              <w:pStyle w:val="单元格样式4"/>
            </w:pPr>
            <w:r>
              <w:t xml:space="preserve">55.21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52.06</w:t>
            </w:r>
          </w:p>
        </w:tc>
        <w:tc>
          <w:tcPr>
            <w:tcW w:w="1361" w:type="dxa"/>
            <w:vAlign w:val="center"/>
          </w:tcPr>
          <w:p>
            <w:pPr>
              <w:pStyle w:val="单元格样式4"/>
            </w:pPr>
            <w:r>
              <w:t xml:space="preserve">52.06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22.87</w:t>
            </w:r>
          </w:p>
        </w:tc>
        <w:tc>
          <w:tcPr>
            <w:tcW w:w="1361" w:type="dxa"/>
            <w:vAlign w:val="center"/>
          </w:tcPr>
          <w:p>
            <w:pPr>
              <w:pStyle w:val="单元格样式4"/>
            </w:pPr>
            <w:r>
              <w:t xml:space="preserve">22.87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21.79</w:t>
            </w:r>
          </w:p>
        </w:tc>
        <w:tc>
          <w:tcPr>
            <w:tcW w:w="1361" w:type="dxa"/>
            <w:vAlign w:val="center"/>
          </w:tcPr>
          <w:p>
            <w:pPr>
              <w:pStyle w:val="单元格样式4"/>
            </w:pPr>
            <w:r>
              <w:t xml:space="preserve">21.79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7.40</w:t>
            </w:r>
          </w:p>
        </w:tc>
        <w:tc>
          <w:tcPr>
            <w:tcW w:w="1361" w:type="dxa"/>
            <w:vAlign w:val="center"/>
          </w:tcPr>
          <w:p>
            <w:pPr>
              <w:pStyle w:val="单元格样式4"/>
            </w:pPr>
            <w:r>
              <w:t xml:space="preserve">7.40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2.20</w:t>
            </w:r>
          </w:p>
        </w:tc>
        <w:tc>
          <w:tcPr>
            <w:tcW w:w="1361" w:type="dxa"/>
            <w:vAlign w:val="center"/>
          </w:tcPr>
          <w:p>
            <w:pPr>
              <w:pStyle w:val="单元格样式4"/>
            </w:pPr>
            <w:r>
              <w:t xml:space="preserve">2.20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2.20</w:t>
            </w:r>
          </w:p>
        </w:tc>
        <w:tc>
          <w:tcPr>
            <w:tcW w:w="1361" w:type="dxa"/>
            <w:vAlign w:val="center"/>
          </w:tcPr>
          <w:p>
            <w:pPr>
              <w:pStyle w:val="单元格样式4"/>
            </w:pPr>
            <w:r>
              <w:t xml:space="preserve">2.20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0.95</w:t>
            </w:r>
          </w:p>
        </w:tc>
        <w:tc>
          <w:tcPr>
            <w:tcW w:w="1361" w:type="dxa"/>
            <w:vAlign w:val="center"/>
          </w:tcPr>
          <w:p>
            <w:pPr>
              <w:pStyle w:val="单元格样式4"/>
            </w:pPr>
            <w:r>
              <w:t xml:space="preserve">0.95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0.95</w:t>
            </w:r>
          </w:p>
        </w:tc>
        <w:tc>
          <w:tcPr>
            <w:tcW w:w="1361" w:type="dxa"/>
            <w:vAlign w:val="center"/>
          </w:tcPr>
          <w:p>
            <w:pPr>
              <w:pStyle w:val="单元格样式4"/>
            </w:pPr>
            <w:r>
              <w:t xml:space="preserve">0.95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10.03</w:t>
            </w:r>
          </w:p>
        </w:tc>
        <w:tc>
          <w:tcPr>
            <w:tcW w:w="1361" w:type="dxa"/>
            <w:vAlign w:val="center"/>
          </w:tcPr>
          <w:p>
            <w:pPr>
              <w:pStyle w:val="单元格样式4"/>
            </w:pPr>
            <w:r>
              <w:t xml:space="preserve">10.03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10.03</w:t>
            </w:r>
          </w:p>
        </w:tc>
        <w:tc>
          <w:tcPr>
            <w:tcW w:w="1361" w:type="dxa"/>
            <w:vAlign w:val="center"/>
          </w:tcPr>
          <w:p>
            <w:pPr>
              <w:pStyle w:val="单元格样式4"/>
            </w:pPr>
            <w:r>
              <w:t xml:space="preserve">10.03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10.03</w:t>
            </w:r>
          </w:p>
        </w:tc>
        <w:tc>
          <w:tcPr>
            <w:tcW w:w="1361" w:type="dxa"/>
            <w:vAlign w:val="center"/>
          </w:tcPr>
          <w:p>
            <w:pPr>
              <w:pStyle w:val="单元格样式4"/>
            </w:pPr>
            <w:r>
              <w:t xml:space="preserve">10.03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22.28</w:t>
            </w:r>
          </w:p>
        </w:tc>
        <w:tc>
          <w:tcPr>
            <w:tcW w:w="1361" w:type="dxa"/>
            <w:vAlign w:val="center"/>
          </w:tcPr>
          <w:p>
            <w:pPr>
              <w:pStyle w:val="单元格样式4"/>
            </w:pPr>
            <w:r>
              <w:t xml:space="preserve">22.28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22.28</w:t>
            </w:r>
          </w:p>
        </w:tc>
        <w:tc>
          <w:tcPr>
            <w:tcW w:w="1361" w:type="dxa"/>
            <w:vAlign w:val="center"/>
          </w:tcPr>
          <w:p>
            <w:pPr>
              <w:pStyle w:val="单元格样式4"/>
            </w:pPr>
            <w:r>
              <w:t xml:space="preserve">22.28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22.28</w:t>
            </w:r>
          </w:p>
        </w:tc>
        <w:tc>
          <w:tcPr>
            <w:tcW w:w="1361" w:type="dxa"/>
            <w:vAlign w:val="center"/>
          </w:tcPr>
          <w:p>
            <w:pPr>
              <w:pStyle w:val="单元格样式4"/>
            </w:pPr>
            <w:r>
              <w:t xml:space="preserve">22.28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216001新乐市政法委本级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360.30</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245.78</w:t>
            </w:r>
          </w:p>
        </w:tc>
        <w:tc>
          <w:tcPr>
            <w:tcW w:w="1474" w:type="dxa"/>
            <w:vAlign w:val="center"/>
          </w:tcPr>
          <w:p>
            <w:pPr>
              <w:pStyle w:val="单元格样式4"/>
            </w:pPr>
            <w:r>
              <w:t xml:space="preserve">245.78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r>
              <w:t xml:space="preserve">27.00</w:t>
            </w:r>
          </w:p>
        </w:tc>
        <w:tc>
          <w:tcPr>
            <w:tcW w:w="1474" w:type="dxa"/>
            <w:vAlign w:val="center"/>
          </w:tcPr>
          <w:p>
            <w:pPr>
              <w:pStyle w:val="单元格样式4"/>
            </w:pPr>
            <w:r>
              <w:t xml:space="preserve">27.00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55.21</w:t>
            </w:r>
          </w:p>
        </w:tc>
        <w:tc>
          <w:tcPr>
            <w:tcW w:w="1474" w:type="dxa"/>
            <w:vAlign w:val="center"/>
          </w:tcPr>
          <w:p>
            <w:pPr>
              <w:pStyle w:val="单元格样式4"/>
            </w:pPr>
            <w:r>
              <w:t xml:space="preserve">55.21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10.03</w:t>
            </w:r>
          </w:p>
        </w:tc>
        <w:tc>
          <w:tcPr>
            <w:tcW w:w="1474" w:type="dxa"/>
            <w:vAlign w:val="center"/>
          </w:tcPr>
          <w:p>
            <w:pPr>
              <w:pStyle w:val="单元格样式4"/>
            </w:pPr>
            <w:r>
              <w:t xml:space="preserve">10.03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22.28</w:t>
            </w:r>
          </w:p>
        </w:tc>
        <w:tc>
          <w:tcPr>
            <w:tcW w:w="1474" w:type="dxa"/>
            <w:vAlign w:val="center"/>
          </w:tcPr>
          <w:p>
            <w:pPr>
              <w:pStyle w:val="单元格样式4"/>
            </w:pPr>
            <w:r>
              <w:t xml:space="preserve">22.28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360.30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360.30</w:t>
            </w:r>
          </w:p>
        </w:tc>
        <w:tc>
          <w:tcPr>
            <w:tcW w:w="1474" w:type="dxa"/>
            <w:vAlign w:val="center"/>
          </w:tcPr>
          <w:p>
            <w:pPr>
              <w:pStyle w:val="单元格样式7"/>
            </w:pPr>
            <w:r>
              <w:t xml:space="preserve">360.30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360.30</w:t>
            </w:r>
          </w:p>
        </w:tc>
        <w:tc>
          <w:tcPr>
            <w:tcW w:w="3402" w:type="dxa"/>
            <w:vAlign w:val="center"/>
          </w:tcPr>
          <w:p>
            <w:pPr>
              <w:pStyle w:val="单元格样式6"/>
            </w:pPr>
            <w:r>
              <w:t xml:space="preserve">支出总计</w:t>
            </w:r>
          </w:p>
        </w:tc>
        <w:tc>
          <w:tcPr>
            <w:tcW w:w="1474" w:type="dxa"/>
            <w:vAlign w:val="center"/>
          </w:tcPr>
          <w:p>
            <w:pPr>
              <w:pStyle w:val="单元格样式7"/>
            </w:pPr>
            <w:r>
              <w:t xml:space="preserve">360.30</w:t>
            </w:r>
          </w:p>
        </w:tc>
        <w:tc>
          <w:tcPr>
            <w:tcW w:w="1474" w:type="dxa"/>
            <w:vAlign w:val="center"/>
          </w:tcPr>
          <w:p>
            <w:pPr>
              <w:pStyle w:val="单元格样式7"/>
            </w:pPr>
            <w:r>
              <w:t xml:space="preserve">360.30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216001新乐市政法委本级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360.30</w:t>
            </w:r>
          </w:p>
        </w:tc>
        <w:tc>
          <w:tcPr>
            <w:tcW w:w="2551" w:type="dxa"/>
            <w:vAlign w:val="center"/>
          </w:tcPr>
          <w:p>
            <w:pPr>
              <w:pStyle w:val="单元格样式7"/>
            </w:pPr>
            <w:r>
              <w:t xml:space="preserve">333.30</w:t>
            </w:r>
          </w:p>
        </w:tc>
        <w:tc>
          <w:tcPr>
            <w:tcW w:w="2551" w:type="dxa"/>
            <w:vAlign w:val="center"/>
          </w:tcPr>
          <w:p>
            <w:pPr>
              <w:pStyle w:val="单元格样式7"/>
            </w:pPr>
            <w:r>
              <w:t xml:space="preserve">27.00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245.78</w:t>
            </w:r>
          </w:p>
        </w:tc>
        <w:tc>
          <w:tcPr>
            <w:tcW w:w="2551" w:type="dxa"/>
            <w:vAlign w:val="center"/>
          </w:tcPr>
          <w:p>
            <w:pPr>
              <w:pStyle w:val="单元格样式4"/>
            </w:pPr>
            <w:r>
              <w:t xml:space="preserve">245.78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20131</w:t>
            </w:r>
          </w:p>
        </w:tc>
        <w:tc>
          <w:tcPr>
            <w:tcW w:w="4535" w:type="dxa"/>
            <w:vAlign w:val="center"/>
          </w:tcPr>
          <w:p>
            <w:pPr>
              <w:pStyle w:val="单元格样式2"/>
            </w:pPr>
            <w:r>
              <w:t xml:space="preserve">党委办公厅（室）及相关机构事务</w:t>
            </w:r>
          </w:p>
        </w:tc>
        <w:tc>
          <w:tcPr>
            <w:tcW w:w="2551" w:type="dxa"/>
            <w:vAlign w:val="center"/>
          </w:tcPr>
          <w:p>
            <w:pPr>
              <w:pStyle w:val="单元格样式4"/>
            </w:pPr>
            <w:r>
              <w:t xml:space="preserve">245.78</w:t>
            </w:r>
          </w:p>
        </w:tc>
        <w:tc>
          <w:tcPr>
            <w:tcW w:w="2551" w:type="dxa"/>
            <w:vAlign w:val="center"/>
          </w:tcPr>
          <w:p>
            <w:pPr>
              <w:pStyle w:val="单元格样式4"/>
            </w:pPr>
            <w:r>
              <w:t xml:space="preserve">245.78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245.78</w:t>
            </w:r>
          </w:p>
        </w:tc>
        <w:tc>
          <w:tcPr>
            <w:tcW w:w="2551" w:type="dxa"/>
            <w:vAlign w:val="center"/>
          </w:tcPr>
          <w:p>
            <w:pPr>
              <w:pStyle w:val="单元格样式4"/>
            </w:pPr>
            <w:r>
              <w:t xml:space="preserve">245.78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204</w:t>
            </w:r>
          </w:p>
        </w:tc>
        <w:tc>
          <w:tcPr>
            <w:tcW w:w="4535" w:type="dxa"/>
            <w:vAlign w:val="center"/>
          </w:tcPr>
          <w:p>
            <w:pPr>
              <w:pStyle w:val="单元格样式2"/>
            </w:pPr>
            <w:r>
              <w:t xml:space="preserve">公共安全支出</w:t>
            </w:r>
          </w:p>
        </w:tc>
        <w:tc>
          <w:tcPr>
            <w:tcW w:w="2551" w:type="dxa"/>
            <w:vAlign w:val="center"/>
          </w:tcPr>
          <w:p>
            <w:pPr>
              <w:pStyle w:val="单元格样式4"/>
            </w:pPr>
            <w:r>
              <w:t xml:space="preserve">27.00</w:t>
            </w:r>
          </w:p>
        </w:tc>
        <w:tc>
          <w:tcPr>
            <w:tcW w:w="2551" w:type="dxa"/>
            <w:vAlign w:val="center"/>
          </w:tcPr>
          <w:p>
            <w:pPr>
              <w:pStyle w:val="单元格样式4"/>
            </w:pPr>
          </w:p>
        </w:tc>
        <w:tc>
          <w:tcPr>
            <w:tcW w:w="2551" w:type="dxa"/>
            <w:vAlign w:val="center"/>
          </w:tcPr>
          <w:p>
            <w:pPr>
              <w:pStyle w:val="单元格样式4"/>
            </w:pPr>
            <w:r>
              <w:t xml:space="preserve">27.00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20499</w:t>
            </w:r>
          </w:p>
        </w:tc>
        <w:tc>
          <w:tcPr>
            <w:tcW w:w="4535" w:type="dxa"/>
            <w:vAlign w:val="center"/>
          </w:tcPr>
          <w:p>
            <w:pPr>
              <w:pStyle w:val="单元格样式2"/>
            </w:pPr>
            <w:r>
              <w:t xml:space="preserve">其他公共安全支出</w:t>
            </w:r>
          </w:p>
        </w:tc>
        <w:tc>
          <w:tcPr>
            <w:tcW w:w="2551" w:type="dxa"/>
            <w:vAlign w:val="center"/>
          </w:tcPr>
          <w:p>
            <w:pPr>
              <w:pStyle w:val="单元格样式4"/>
            </w:pPr>
            <w:r>
              <w:t xml:space="preserve">27.00</w:t>
            </w:r>
          </w:p>
        </w:tc>
        <w:tc>
          <w:tcPr>
            <w:tcW w:w="2551" w:type="dxa"/>
            <w:vAlign w:val="center"/>
          </w:tcPr>
          <w:p>
            <w:pPr>
              <w:pStyle w:val="单元格样式4"/>
            </w:pPr>
          </w:p>
        </w:tc>
        <w:tc>
          <w:tcPr>
            <w:tcW w:w="2551" w:type="dxa"/>
            <w:vAlign w:val="center"/>
          </w:tcPr>
          <w:p>
            <w:pPr>
              <w:pStyle w:val="单元格样式4"/>
            </w:pPr>
            <w:r>
              <w:t xml:space="preserve">27.00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2049902</w:t>
            </w:r>
          </w:p>
        </w:tc>
        <w:tc>
          <w:tcPr>
            <w:tcW w:w="4535" w:type="dxa"/>
            <w:vAlign w:val="center"/>
          </w:tcPr>
          <w:p>
            <w:pPr>
              <w:pStyle w:val="单元格样式2"/>
            </w:pPr>
            <w:r>
              <w:t xml:space="preserve">国家司法救助支出</w:t>
            </w:r>
          </w:p>
        </w:tc>
        <w:tc>
          <w:tcPr>
            <w:tcW w:w="2551" w:type="dxa"/>
            <w:vAlign w:val="center"/>
          </w:tcPr>
          <w:p>
            <w:pPr>
              <w:pStyle w:val="单元格样式4"/>
            </w:pPr>
            <w:r>
              <w:t xml:space="preserve">27.00</w:t>
            </w:r>
          </w:p>
        </w:tc>
        <w:tc>
          <w:tcPr>
            <w:tcW w:w="2551" w:type="dxa"/>
            <w:vAlign w:val="center"/>
          </w:tcPr>
          <w:p>
            <w:pPr>
              <w:pStyle w:val="单元格样式4"/>
            </w:pPr>
          </w:p>
        </w:tc>
        <w:tc>
          <w:tcPr>
            <w:tcW w:w="2551" w:type="dxa"/>
            <w:vAlign w:val="center"/>
          </w:tcPr>
          <w:p>
            <w:pPr>
              <w:pStyle w:val="单元格样式4"/>
            </w:pPr>
            <w:r>
              <w:t xml:space="preserve">27.00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55.21</w:t>
            </w:r>
          </w:p>
        </w:tc>
        <w:tc>
          <w:tcPr>
            <w:tcW w:w="2551" w:type="dxa"/>
            <w:vAlign w:val="center"/>
          </w:tcPr>
          <w:p>
            <w:pPr>
              <w:pStyle w:val="单元格样式4"/>
            </w:pPr>
            <w:r>
              <w:t xml:space="preserve">55.21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52.06</w:t>
            </w:r>
          </w:p>
        </w:tc>
        <w:tc>
          <w:tcPr>
            <w:tcW w:w="2551" w:type="dxa"/>
            <w:vAlign w:val="center"/>
          </w:tcPr>
          <w:p>
            <w:pPr>
              <w:pStyle w:val="单元格样式4"/>
            </w:pPr>
            <w:r>
              <w:t xml:space="preserve">52.06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22.87</w:t>
            </w:r>
          </w:p>
        </w:tc>
        <w:tc>
          <w:tcPr>
            <w:tcW w:w="2551" w:type="dxa"/>
            <w:vAlign w:val="center"/>
          </w:tcPr>
          <w:p>
            <w:pPr>
              <w:pStyle w:val="单元格样式4"/>
            </w:pPr>
            <w:r>
              <w:t xml:space="preserve">22.87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21.79</w:t>
            </w:r>
          </w:p>
        </w:tc>
        <w:tc>
          <w:tcPr>
            <w:tcW w:w="2551" w:type="dxa"/>
            <w:vAlign w:val="center"/>
          </w:tcPr>
          <w:p>
            <w:pPr>
              <w:pStyle w:val="单元格样式4"/>
            </w:pPr>
            <w:r>
              <w:t xml:space="preserve">21.79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7.40</w:t>
            </w:r>
          </w:p>
        </w:tc>
        <w:tc>
          <w:tcPr>
            <w:tcW w:w="2551" w:type="dxa"/>
            <w:vAlign w:val="center"/>
          </w:tcPr>
          <w:p>
            <w:pPr>
              <w:pStyle w:val="单元格样式4"/>
            </w:pPr>
            <w:r>
              <w:t xml:space="preserve">7.40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2.20</w:t>
            </w:r>
          </w:p>
        </w:tc>
        <w:tc>
          <w:tcPr>
            <w:tcW w:w="2551" w:type="dxa"/>
            <w:vAlign w:val="center"/>
          </w:tcPr>
          <w:p>
            <w:pPr>
              <w:pStyle w:val="单元格样式4"/>
            </w:pPr>
            <w:r>
              <w:t xml:space="preserve">2.20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2.20</w:t>
            </w:r>
          </w:p>
        </w:tc>
        <w:tc>
          <w:tcPr>
            <w:tcW w:w="2551" w:type="dxa"/>
            <w:vAlign w:val="center"/>
          </w:tcPr>
          <w:p>
            <w:pPr>
              <w:pStyle w:val="单元格样式4"/>
            </w:pPr>
            <w:r>
              <w:t xml:space="preserve">2.20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0.95</w:t>
            </w:r>
          </w:p>
        </w:tc>
        <w:tc>
          <w:tcPr>
            <w:tcW w:w="2551" w:type="dxa"/>
            <w:vAlign w:val="center"/>
          </w:tcPr>
          <w:p>
            <w:pPr>
              <w:pStyle w:val="单元格样式4"/>
            </w:pPr>
            <w:r>
              <w:t xml:space="preserve">0.95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0.95</w:t>
            </w:r>
          </w:p>
        </w:tc>
        <w:tc>
          <w:tcPr>
            <w:tcW w:w="2551" w:type="dxa"/>
            <w:vAlign w:val="center"/>
          </w:tcPr>
          <w:p>
            <w:pPr>
              <w:pStyle w:val="单元格样式4"/>
            </w:pPr>
            <w:r>
              <w:t xml:space="preserve">0.95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10.03</w:t>
            </w:r>
          </w:p>
        </w:tc>
        <w:tc>
          <w:tcPr>
            <w:tcW w:w="2551" w:type="dxa"/>
            <w:vAlign w:val="center"/>
          </w:tcPr>
          <w:p>
            <w:pPr>
              <w:pStyle w:val="单元格样式4"/>
            </w:pPr>
            <w:r>
              <w:t xml:space="preserve">10.03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10.03</w:t>
            </w:r>
          </w:p>
        </w:tc>
        <w:tc>
          <w:tcPr>
            <w:tcW w:w="2551" w:type="dxa"/>
            <w:vAlign w:val="center"/>
          </w:tcPr>
          <w:p>
            <w:pPr>
              <w:pStyle w:val="单元格样式4"/>
            </w:pPr>
            <w:r>
              <w:t xml:space="preserve">10.03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10.03</w:t>
            </w:r>
          </w:p>
        </w:tc>
        <w:tc>
          <w:tcPr>
            <w:tcW w:w="2551" w:type="dxa"/>
            <w:vAlign w:val="center"/>
          </w:tcPr>
          <w:p>
            <w:pPr>
              <w:pStyle w:val="单元格样式4"/>
            </w:pPr>
            <w:r>
              <w:t xml:space="preserve">10.03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22.28</w:t>
            </w:r>
          </w:p>
        </w:tc>
        <w:tc>
          <w:tcPr>
            <w:tcW w:w="2551" w:type="dxa"/>
            <w:vAlign w:val="center"/>
          </w:tcPr>
          <w:p>
            <w:pPr>
              <w:pStyle w:val="单元格样式4"/>
            </w:pPr>
            <w:r>
              <w:t xml:space="preserve">22.28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22.28</w:t>
            </w:r>
          </w:p>
        </w:tc>
        <w:tc>
          <w:tcPr>
            <w:tcW w:w="2551" w:type="dxa"/>
            <w:vAlign w:val="center"/>
          </w:tcPr>
          <w:p>
            <w:pPr>
              <w:pStyle w:val="单元格样式4"/>
            </w:pPr>
            <w:r>
              <w:t xml:space="preserve">22.28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22.28</w:t>
            </w:r>
          </w:p>
        </w:tc>
        <w:tc>
          <w:tcPr>
            <w:tcW w:w="2551" w:type="dxa"/>
            <w:vAlign w:val="center"/>
          </w:tcPr>
          <w:p>
            <w:pPr>
              <w:pStyle w:val="单元格样式4"/>
            </w:pPr>
            <w:r>
              <w:t xml:space="preserve">22.28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216001新乐市政法委本级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333.30</w:t>
            </w:r>
          </w:p>
        </w:tc>
        <w:tc>
          <w:tcPr>
            <w:tcW w:w="2551" w:type="dxa"/>
            <w:vAlign w:val="center"/>
          </w:tcPr>
          <w:p>
            <w:pPr>
              <w:pStyle w:val="单元格样式7"/>
            </w:pPr>
            <w:r>
              <w:t xml:space="preserve">303.99</w:t>
            </w:r>
          </w:p>
        </w:tc>
        <w:tc>
          <w:tcPr>
            <w:tcW w:w="2551" w:type="dxa"/>
            <w:vAlign w:val="center"/>
          </w:tcPr>
          <w:p>
            <w:pPr>
              <w:pStyle w:val="单元格样式7"/>
            </w:pPr>
            <w:r>
              <w:t xml:space="preserve">29.31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278.92</w:t>
            </w:r>
          </w:p>
        </w:tc>
        <w:tc>
          <w:tcPr>
            <w:tcW w:w="2551" w:type="dxa"/>
            <w:vAlign w:val="center"/>
          </w:tcPr>
          <w:p>
            <w:pPr>
              <w:pStyle w:val="单元格样式4"/>
            </w:pPr>
            <w:r>
              <w:t xml:space="preserve">278.92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83.88</w:t>
            </w:r>
          </w:p>
        </w:tc>
        <w:tc>
          <w:tcPr>
            <w:tcW w:w="2551" w:type="dxa"/>
            <w:vAlign w:val="center"/>
          </w:tcPr>
          <w:p>
            <w:pPr>
              <w:pStyle w:val="单元格样式4"/>
            </w:pPr>
            <w:r>
              <w:t xml:space="preserve">83.88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52.57</w:t>
            </w:r>
          </w:p>
        </w:tc>
        <w:tc>
          <w:tcPr>
            <w:tcW w:w="2551" w:type="dxa"/>
            <w:vAlign w:val="center"/>
          </w:tcPr>
          <w:p>
            <w:pPr>
              <w:pStyle w:val="单元格样式4"/>
            </w:pPr>
            <w:r>
              <w:t xml:space="preserve">52.57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32.03</w:t>
            </w:r>
          </w:p>
        </w:tc>
        <w:tc>
          <w:tcPr>
            <w:tcW w:w="2551" w:type="dxa"/>
            <w:vAlign w:val="center"/>
          </w:tcPr>
          <w:p>
            <w:pPr>
              <w:pStyle w:val="单元格样式4"/>
            </w:pPr>
            <w:r>
              <w:t xml:space="preserve">32.03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10.22</w:t>
            </w:r>
          </w:p>
        </w:tc>
        <w:tc>
          <w:tcPr>
            <w:tcW w:w="2551" w:type="dxa"/>
            <w:vAlign w:val="center"/>
          </w:tcPr>
          <w:p>
            <w:pPr>
              <w:pStyle w:val="单元格样式4"/>
            </w:pPr>
            <w:r>
              <w:t xml:space="preserve">10.22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21.79</w:t>
            </w:r>
          </w:p>
        </w:tc>
        <w:tc>
          <w:tcPr>
            <w:tcW w:w="2551" w:type="dxa"/>
            <w:vAlign w:val="center"/>
          </w:tcPr>
          <w:p>
            <w:pPr>
              <w:pStyle w:val="单元格样式4"/>
            </w:pPr>
            <w:r>
              <w:t xml:space="preserve">21.79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7.40</w:t>
            </w:r>
          </w:p>
        </w:tc>
        <w:tc>
          <w:tcPr>
            <w:tcW w:w="2551" w:type="dxa"/>
            <w:vAlign w:val="center"/>
          </w:tcPr>
          <w:p>
            <w:pPr>
              <w:pStyle w:val="单元格样式4"/>
            </w:pPr>
            <w:r>
              <w:t xml:space="preserve">7.40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10.03</w:t>
            </w:r>
          </w:p>
        </w:tc>
        <w:tc>
          <w:tcPr>
            <w:tcW w:w="2551" w:type="dxa"/>
            <w:vAlign w:val="center"/>
          </w:tcPr>
          <w:p>
            <w:pPr>
              <w:pStyle w:val="单元格样式4"/>
            </w:pPr>
            <w:r>
              <w:t xml:space="preserve">10.03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0.95</w:t>
            </w:r>
          </w:p>
        </w:tc>
        <w:tc>
          <w:tcPr>
            <w:tcW w:w="2551" w:type="dxa"/>
            <w:vAlign w:val="center"/>
          </w:tcPr>
          <w:p>
            <w:pPr>
              <w:pStyle w:val="单元格样式4"/>
            </w:pPr>
            <w:r>
              <w:t xml:space="preserve">0.95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22.28</w:t>
            </w:r>
          </w:p>
        </w:tc>
        <w:tc>
          <w:tcPr>
            <w:tcW w:w="2551" w:type="dxa"/>
            <w:vAlign w:val="center"/>
          </w:tcPr>
          <w:p>
            <w:pPr>
              <w:pStyle w:val="单元格样式4"/>
            </w:pPr>
            <w:r>
              <w:t xml:space="preserve">22.28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37.77</w:t>
            </w:r>
          </w:p>
        </w:tc>
        <w:tc>
          <w:tcPr>
            <w:tcW w:w="2551" w:type="dxa"/>
            <w:vAlign w:val="center"/>
          </w:tcPr>
          <w:p>
            <w:pPr>
              <w:pStyle w:val="单元格样式4"/>
            </w:pPr>
            <w:r>
              <w:t xml:space="preserve">37.77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29.31</w:t>
            </w:r>
          </w:p>
        </w:tc>
        <w:tc>
          <w:tcPr>
            <w:tcW w:w="2551" w:type="dxa"/>
            <w:vAlign w:val="center"/>
          </w:tcPr>
          <w:p>
            <w:pPr>
              <w:pStyle w:val="单元格样式4"/>
            </w:pPr>
          </w:p>
        </w:tc>
        <w:tc>
          <w:tcPr>
            <w:tcW w:w="2551" w:type="dxa"/>
            <w:vAlign w:val="center"/>
          </w:tcPr>
          <w:p>
            <w:pPr>
              <w:pStyle w:val="单元格样式4"/>
            </w:pPr>
            <w:r>
              <w:t xml:space="preserve">29.31</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1.17</w:t>
            </w:r>
          </w:p>
        </w:tc>
        <w:tc>
          <w:tcPr>
            <w:tcW w:w="2551" w:type="dxa"/>
            <w:vAlign w:val="center"/>
          </w:tcPr>
          <w:p>
            <w:pPr>
              <w:pStyle w:val="单元格样式4"/>
            </w:pPr>
          </w:p>
        </w:tc>
        <w:tc>
          <w:tcPr>
            <w:tcW w:w="2551" w:type="dxa"/>
            <w:vAlign w:val="center"/>
          </w:tcPr>
          <w:p>
            <w:pPr>
              <w:pStyle w:val="单元格样式4"/>
            </w:pPr>
            <w:r>
              <w:t xml:space="preserve">1.17</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7.58</w:t>
            </w:r>
          </w:p>
        </w:tc>
        <w:tc>
          <w:tcPr>
            <w:tcW w:w="2551" w:type="dxa"/>
            <w:vAlign w:val="center"/>
          </w:tcPr>
          <w:p>
            <w:pPr>
              <w:pStyle w:val="单元格样式4"/>
            </w:pPr>
          </w:p>
        </w:tc>
        <w:tc>
          <w:tcPr>
            <w:tcW w:w="2551" w:type="dxa"/>
            <w:vAlign w:val="center"/>
          </w:tcPr>
          <w:p>
            <w:pPr>
              <w:pStyle w:val="单元格样式4"/>
            </w:pPr>
            <w:r>
              <w:t xml:space="preserve">7.58</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1.64</w:t>
            </w:r>
          </w:p>
        </w:tc>
        <w:tc>
          <w:tcPr>
            <w:tcW w:w="2551" w:type="dxa"/>
            <w:vAlign w:val="center"/>
          </w:tcPr>
          <w:p>
            <w:pPr>
              <w:pStyle w:val="单元格样式4"/>
            </w:pPr>
          </w:p>
        </w:tc>
        <w:tc>
          <w:tcPr>
            <w:tcW w:w="2551" w:type="dxa"/>
            <w:vAlign w:val="center"/>
          </w:tcPr>
          <w:p>
            <w:pPr>
              <w:pStyle w:val="单元格样式4"/>
            </w:pPr>
            <w:r>
              <w:t xml:space="preserve">1.64</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2.33</w:t>
            </w:r>
          </w:p>
        </w:tc>
        <w:tc>
          <w:tcPr>
            <w:tcW w:w="2551" w:type="dxa"/>
            <w:vAlign w:val="center"/>
          </w:tcPr>
          <w:p>
            <w:pPr>
              <w:pStyle w:val="单元格样式4"/>
            </w:pPr>
          </w:p>
        </w:tc>
        <w:tc>
          <w:tcPr>
            <w:tcW w:w="2551" w:type="dxa"/>
            <w:vAlign w:val="center"/>
          </w:tcPr>
          <w:p>
            <w:pPr>
              <w:pStyle w:val="单元格样式4"/>
            </w:pPr>
            <w:r>
              <w:t xml:space="preserve">2.33</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9.84</w:t>
            </w:r>
          </w:p>
        </w:tc>
        <w:tc>
          <w:tcPr>
            <w:tcW w:w="2551" w:type="dxa"/>
            <w:vAlign w:val="center"/>
          </w:tcPr>
          <w:p>
            <w:pPr>
              <w:pStyle w:val="单元格样式4"/>
            </w:pPr>
          </w:p>
        </w:tc>
        <w:tc>
          <w:tcPr>
            <w:tcW w:w="2551" w:type="dxa"/>
            <w:vAlign w:val="center"/>
          </w:tcPr>
          <w:p>
            <w:pPr>
              <w:pStyle w:val="单元格样式4"/>
            </w:pPr>
            <w:r>
              <w:t xml:space="preserve">9.84</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5.25</w:t>
            </w:r>
          </w:p>
        </w:tc>
        <w:tc>
          <w:tcPr>
            <w:tcW w:w="2551" w:type="dxa"/>
            <w:vAlign w:val="center"/>
          </w:tcPr>
          <w:p>
            <w:pPr>
              <w:pStyle w:val="单元格样式4"/>
            </w:pPr>
          </w:p>
        </w:tc>
        <w:tc>
          <w:tcPr>
            <w:tcW w:w="2551" w:type="dxa"/>
            <w:vAlign w:val="center"/>
          </w:tcPr>
          <w:p>
            <w:pPr>
              <w:pStyle w:val="单元格样式4"/>
            </w:pPr>
            <w:r>
              <w:t xml:space="preserve">5.25</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25.07</w:t>
            </w:r>
          </w:p>
        </w:tc>
        <w:tc>
          <w:tcPr>
            <w:tcW w:w="2551" w:type="dxa"/>
            <w:vAlign w:val="center"/>
          </w:tcPr>
          <w:p>
            <w:pPr>
              <w:pStyle w:val="单元格样式4"/>
            </w:pPr>
            <w:r>
              <w:t xml:space="preserve">25.07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22.87</w:t>
            </w:r>
          </w:p>
        </w:tc>
        <w:tc>
          <w:tcPr>
            <w:tcW w:w="2551" w:type="dxa"/>
            <w:vAlign w:val="center"/>
          </w:tcPr>
          <w:p>
            <w:pPr>
              <w:pStyle w:val="单元格样式4"/>
            </w:pPr>
            <w:r>
              <w:t xml:space="preserve">22.87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2.20</w:t>
            </w:r>
          </w:p>
        </w:tc>
        <w:tc>
          <w:tcPr>
            <w:tcW w:w="2551" w:type="dxa"/>
            <w:vAlign w:val="center"/>
          </w:tcPr>
          <w:p>
            <w:pPr>
              <w:pStyle w:val="单元格样式4"/>
            </w:pPr>
            <w:r>
              <w:t xml:space="preserve">2.20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216001新乐市政法委本级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216001新乐市政法委本级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216001新乐市政法委本级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2.33</w:t>
            </w:r>
          </w:p>
        </w:tc>
        <w:tc>
          <w:tcPr>
            <w:tcW w:w="2381" w:type="dxa"/>
            <w:vAlign w:val="center"/>
          </w:tcPr>
          <w:p>
            <w:pPr>
              <w:pStyle w:val="单元格样式7"/>
            </w:pPr>
            <w:r>
              <w:t xml:space="preserve">2.33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新乐市政法委本级2026年单位预算信息公开情况说明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按照《中华人民共和国预算法》、《地方预决算公开操作规程》和《关于进一步推进预算公开工作的实施意见》规定，现将新乐市政法委本级2026年单位预算公开如下：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深入贯彻习近平新时代中国特色社会主义思想，坚持党对政法工作的绝对领导，坚决维护习近平总书记党中央的核心、全党的核心地位，坚决维护党中央权威和集中统一领导，深入贯彻党的路线方针政策和党中央、省委、石家庄市委、新乐市委的决策部署，统一全市政法单位思想和行动，确保全市政法单位坚定正确的政治方向。</w:t>
      </w:r>
    </w:p>
    <w:p>
      <w:pPr>
        <w:pStyle w:val="插入文本样式-插入单位职责文件"/>
      </w:pPr>
      <w:r>
        <w:t xml:space="preserve">（二）对全市政法工作研究提出全局性部署，推进平安新乐建设、法治新乐建设，加强过硬队伍建设，深化智能化建设，坚决维护国家政治安全、确保社会大局稳定、促进社会公平正义、保障人民安居乐业。</w:t>
      </w:r>
    </w:p>
    <w:p>
      <w:pPr>
        <w:pStyle w:val="插入文本样式-插入单位职责文件"/>
      </w:pPr>
      <w:r>
        <w:t xml:space="preserve">（三）了解掌握和分析研判政法工作情况动态，分析社会稳定形势，创新完善多部门参与的综治维稳工作机制，协调推动预防、化解影响稳定的社会矛盾和风险，协调应对和处置重大突发事件。</w:t>
      </w:r>
    </w:p>
    <w:p>
      <w:pPr>
        <w:pStyle w:val="插入文本样式-插入单位职责文件"/>
      </w:pPr>
      <w:r>
        <w:t xml:space="preserve">（四）加强对政法工作的督查，统筹协调社会治安综合治理、维护社会稳定、反邪教有关法律法规政策的实施工作。</w:t>
      </w:r>
    </w:p>
    <w:p>
      <w:pPr>
        <w:pStyle w:val="插入文本样式-插入单位职责文件"/>
      </w:pPr>
      <w:r>
        <w:t xml:space="preserve">（五）组织开展政法领域的调查研究，研究拟订政法工作的重大措施，及时向市委提出建议。</w:t>
      </w:r>
    </w:p>
    <w:p>
      <w:pPr>
        <w:pStyle w:val="插入文本样式-插入单位职责文件"/>
      </w:pPr>
      <w:r>
        <w:t xml:space="preserve">（六）掌握分析政法舆情动态，指导协调政法单位媒体网络宣传工作，指导政法单位做好涉及政法工作的重大宣传工作。</w:t>
      </w:r>
    </w:p>
    <w:p>
      <w:pPr>
        <w:pStyle w:val="插入文本样式-插入单位职责文件"/>
      </w:pPr>
      <w:r>
        <w:t xml:space="preserve">（七）监督和支持政法单位依法行使职权，指导和协调政法单位密切配合，指导政法单位涉法涉诉信访工作，推进严格执法、公正司法。</w:t>
      </w:r>
    </w:p>
    <w:p>
      <w:pPr>
        <w:pStyle w:val="插入文本样式-插入单位职责文件"/>
      </w:pPr>
      <w:r>
        <w:t xml:space="preserve">（八）组织研究政法改革中带有方向性、倾向性和普遍性的重大问题，深化政法改革，联系全面依法治市委员会办公室。</w:t>
      </w:r>
    </w:p>
    <w:p>
      <w:pPr>
        <w:pStyle w:val="插入文本样式-插入单位职责文件"/>
      </w:pPr>
      <w:r>
        <w:t xml:space="preserve">（九）指导推动政法系统党的建设和政法队伍建设，协调和指导全市见义勇为工作，代管市法学会。</w:t>
      </w:r>
    </w:p>
    <w:p>
      <w:pPr>
        <w:pStyle w:val="插入文本样式-插入单位职责文件"/>
      </w:pPr>
      <w:r>
        <w:t xml:space="preserve">（十）统筹推动全市政法系统信息化工作，指导政法智能化建设。</w:t>
      </w:r>
    </w:p>
    <w:p>
      <w:pPr>
        <w:pStyle w:val="插入文本样式-插入单位职责文件"/>
      </w:pPr>
      <w:r>
        <w:t xml:space="preserve">（十一）完成石家庄市委政法委员会、新乐市委交办的其他任务。</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新乐市政法委本级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360.30万元，其中：一般公共预算收入360.30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政法委本级年度单位预算中支出预算的总体情况。2026年支出预算360.30万元，其中基本支出333.30万元，包括人员经费303.99万元和日常公用经费29.31万元；项目支出27.00万元，主要为国家司法救助经费27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360.30万元，较2025年预算减少176.21万元，其中：基本支出减少21.21万元，主要为人员减少2人，人员经费和公用经费均有减少。项目支出减少155.00万元，主要为项目减少和项目资金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2026年，我单位机关运行经费共计安排29.31万元，主要用于日常维修、办公用房水电费、办公用房取暖费、办公用房物业管理费等日常运行支出。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2.33万元，其中因公出国（境）费0.00万元；公务用车购置及运维费2.33万元（其中：公务用车购置费为0.00万元，公务用车运维费2.33万元)；公务接待费0.00万元。与2025年相比减少0.07万元，增减变化的主要原因是公务用车严格执行相关制度，厉行节约，公务用车购置及运维费减少0.07万元。</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1、冀财政法【2025】43号-提前下达2026年中央政法纪检监察转移支付资金绩效目标表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13018426P000090100038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冀财政法【2025】43号-提前下达2026年中央政法纪检监察转移支付资金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开展国家司法救助，实现国家司法救助工作制度化、规范化，对受到侵害但无法获得有效赔偿的当事人，由国家给予适当经济资助，帮助他们摆脱生活困境。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7.00</w:t>
            </w:r>
          </w:p>
        </w:tc>
        <w:tc>
          <w:tcPr>
            <w:tcW w:w="2835" w:type="dxa"/>
            <w:vAlign w:val="center"/>
          </w:tcPr>
          <w:p>
            <w:pPr>
              <w:pStyle w:val="单元格样式3"/>
            </w:pPr>
            <w:r>
              <w:t xml:space="preserve">15.00</w:t>
            </w:r>
          </w:p>
        </w:tc>
        <w:tc>
          <w:tcPr>
            <w:tcW w:w="2551" w:type="dxa"/>
            <w:vAlign w:val="center"/>
          </w:tcPr>
          <w:p>
            <w:pPr>
              <w:pStyle w:val="单元格样式3"/>
            </w:pPr>
            <w:r>
              <w:t xml:space="preserve">22.00</w:t>
            </w:r>
          </w:p>
        </w:tc>
        <w:tc>
          <w:tcPr>
            <w:tcW w:w="3544" w:type="dxa"/>
            <w:gridSpan w:val="2"/>
            <w:vAlign w:val="center"/>
          </w:tcPr>
          <w:p>
            <w:pPr>
              <w:pStyle w:val="单元格样式3"/>
            </w:pPr>
            <w:r>
              <w:t xml:space="preserve">27.00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通过落实国家司法救助，解决当事人的实际困难，促进社会和谐。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救助案件数</w:t>
            </w:r>
          </w:p>
        </w:tc>
        <w:tc>
          <w:tcPr>
            <w:tcW w:w="5386" w:type="dxa"/>
            <w:vAlign w:val="center"/>
          </w:tcPr>
          <w:p>
            <w:pPr>
              <w:pStyle w:val="单元格样式2"/>
            </w:pPr>
            <w:r>
              <w:t xml:space="preserve">获得国家司法救助的案件数量</w:t>
            </w:r>
          </w:p>
        </w:tc>
        <w:tc>
          <w:tcPr>
            <w:tcW w:w="2268" w:type="dxa"/>
            <w:vAlign w:val="center"/>
          </w:tcPr>
          <w:p>
            <w:pPr>
              <w:pStyle w:val="单元格样式2"/>
            </w:pPr>
            <w:r>
              <w:t xml:space="preserve">≥1救助案件数量</w:t>
            </w:r>
          </w:p>
        </w:tc>
        <w:tc>
          <w:tcPr>
            <w:tcW w:w="1276" w:type="dxa"/>
            <w:vAlign w:val="center"/>
          </w:tcPr>
          <w:p>
            <w:pPr>
              <w:pStyle w:val="单元格样式2"/>
            </w:pPr>
            <w:r>
              <w:t xml:space="preserve">事实依据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被救助人息诉罢访率</w:t>
            </w:r>
          </w:p>
        </w:tc>
        <w:tc>
          <w:tcPr>
            <w:tcW w:w="5386" w:type="dxa"/>
            <w:vAlign w:val="center"/>
          </w:tcPr>
          <w:p>
            <w:pPr>
              <w:pStyle w:val="单元格样式2"/>
            </w:pPr>
            <w:r>
              <w:t xml:space="preserve">被救助人息诉罢访率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事实依据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按时拨付资金</w:t>
            </w:r>
          </w:p>
        </w:tc>
        <w:tc>
          <w:tcPr>
            <w:tcW w:w="2268" w:type="dxa"/>
            <w:vAlign w:val="center"/>
          </w:tcPr>
          <w:p>
            <w:pPr>
              <w:pStyle w:val="单元格样式2"/>
            </w:pPr>
            <w:r>
              <w:t xml:space="preserve">≥95百分比</w:t>
            </w:r>
          </w:p>
        </w:tc>
        <w:tc>
          <w:tcPr>
            <w:tcW w:w="1276" w:type="dxa"/>
            <w:vAlign w:val="center"/>
          </w:tcPr>
          <w:p>
            <w:pPr>
              <w:pStyle w:val="单元格样式2"/>
            </w:pPr>
            <w:r>
              <w:t xml:space="preserve">事实依据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救助资金使用率</w:t>
            </w:r>
          </w:p>
        </w:tc>
        <w:tc>
          <w:tcPr>
            <w:tcW w:w="5386" w:type="dxa"/>
            <w:vAlign w:val="center"/>
          </w:tcPr>
          <w:p>
            <w:pPr>
              <w:pStyle w:val="单元格样式2"/>
            </w:pPr>
            <w:r>
              <w:t xml:space="preserve">救助资金使用率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事实依据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促进社会和谐稳定</w:t>
            </w:r>
          </w:p>
        </w:tc>
        <w:tc>
          <w:tcPr>
            <w:tcW w:w="5386" w:type="dxa"/>
            <w:vAlign w:val="center"/>
          </w:tcPr>
          <w:p>
            <w:pPr>
              <w:pStyle w:val="单元格样式2"/>
            </w:pPr>
            <w:r>
              <w:t xml:space="preserve">促进社会和谐稳定</w:t>
            </w:r>
          </w:p>
        </w:tc>
        <w:tc>
          <w:tcPr>
            <w:tcW w:w="2268" w:type="dxa"/>
            <w:vAlign w:val="center"/>
          </w:tcPr>
          <w:p>
            <w:pPr>
              <w:pStyle w:val="单元格样式2"/>
            </w:pPr>
            <w:r>
              <w:t xml:space="preserve">通过救助困难人员，体现党和政府关心，利于社会良性发展。</w:t>
            </w:r>
          </w:p>
        </w:tc>
        <w:tc>
          <w:tcPr>
            <w:tcW w:w="1276" w:type="dxa"/>
            <w:vAlign w:val="center"/>
          </w:tcPr>
          <w:p>
            <w:pPr>
              <w:pStyle w:val="单元格样式2"/>
            </w:pPr>
            <w:r>
              <w:t xml:space="preserve">事实依据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事实依据</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216001新乐市政法委本级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新乐市政法委本级上年末固定资产金额为3202.21万元（详见下表）。本年度拟购置固定资产总额为0.00万元，已按要求列入政府采购预算，详见政府采购预算表。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216001新乐市政法委本级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3202.21</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14.98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274</w:t>
            </w:r>
          </w:p>
        </w:tc>
        <w:tc>
          <w:tcPr>
            <w:tcW w:w="2835" w:type="dxa"/>
            <w:vAlign w:val="center"/>
          </w:tcPr>
          <w:p>
            <w:pPr>
              <w:pStyle w:val="单元格样式4"/>
            </w:pPr>
            <w:r>
              <w:t xml:space="preserve">3187.23</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25</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2026-03-04T11:18:46Z</dcterms:created>
  <dcterms:modified xsi:type="dcterms:W3CDTF">2026-03-04T11:18:46Z</dcterms:modified>
</cp:coreProperties>
</file>