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2026年部门预算信息公开目录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部门预算公开表</w:t>
      </w:r>
    </w:p>
    <w:p>
      <w:pPr>
        <w:pStyle w:val="TOC1"/>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 xml:space="preserve">部门预算收支总表</w:t>
      </w:r>
      <w:r>
        <w:tab/>
      </w:r>
      <w:r>
        <w:fldChar w:fldCharType="begin"/>
      </w:r>
      <w:r>
        <w:instrText xml:space="preserve">PAGEREF _Toc_2_2_0000000001 \h</w:instrText>
      </w:r>
      <w:r>
        <w:fldChar w:fldCharType="separate"/>
      </w:r>
      <w:r>
        <w:t xml:space="preserve">1</w:t>
      </w:r>
      <w:r>
        <w:fldChar w:fldCharType="end"/>
      </w:r>
      <w:r>
        <w:fldChar w:fldCharType="end"/>
      </w:r>
    </w:p>
    <w:p>
      <w:pPr>
        <w:pStyle w:val="TOC1"/>
        <w:tabs>
          <w:tab w:val="right" w:leader="dot" w:pos="14562"/>
        </w:tabs>
      </w:pPr>
      <w:r>
        <w:fldChar w:fldCharType="begin"/>
      </w:r>
      <w:r>
        <w:instrText xml:space="preserve">HYPERLINK \l _Toc_2_2_0000000002</w:instrText>
      </w:r>
      <w:r>
        <w:fldChar w:fldCharType="separate"/>
      </w:r>
      <w:r>
        <w:t xml:space="preserve">部门预算收入总表</w:t>
      </w:r>
      <w:r>
        <w:tab/>
      </w:r>
      <w:r>
        <w:fldChar w:fldCharType="begin"/>
      </w:r>
      <w:r>
        <w:instrText xml:space="preserve">PAGEREF _Toc_2_2_0000000002 \h</w:instrText>
      </w:r>
      <w:r>
        <w:fldChar w:fldCharType="separate"/>
      </w:r>
      <w:r>
        <w:t xml:space="preserve">3</w:t>
      </w:r>
      <w:r>
        <w:fldChar w:fldCharType="end"/>
      </w:r>
      <w:r>
        <w:fldChar w:fldCharType="end"/>
      </w:r>
    </w:p>
    <w:p>
      <w:pPr>
        <w:pStyle w:val="TOC1"/>
        <w:tabs>
          <w:tab w:val="right" w:leader="dot" w:pos="14562"/>
        </w:tabs>
      </w:pPr>
      <w:r>
        <w:fldChar w:fldCharType="begin"/>
      </w:r>
      <w:r>
        <w:instrText xml:space="preserve">HYPERLINK \l _Toc_2_2_0000000003</w:instrText>
      </w:r>
      <w:r>
        <w:fldChar w:fldCharType="separate"/>
      </w:r>
      <w:r>
        <w:t xml:space="preserve">部门预算支出总表</w:t>
      </w:r>
      <w:r>
        <w:tab/>
      </w:r>
      <w:r>
        <w:fldChar w:fldCharType="begin"/>
      </w:r>
      <w:r>
        <w:instrText xml:space="preserve">PAGEREF _Toc_2_2_0000000003 \h</w:instrText>
      </w:r>
      <w:r>
        <w:fldChar w:fldCharType="separate"/>
      </w:r>
      <w:r>
        <w:t xml:space="preserve">5</w:t>
      </w:r>
      <w:r>
        <w:fldChar w:fldCharType="end"/>
      </w:r>
      <w:r>
        <w:fldChar w:fldCharType="end"/>
      </w:r>
    </w:p>
    <w:p>
      <w:pPr>
        <w:pStyle w:val="TOC1"/>
        <w:tabs>
          <w:tab w:val="right" w:leader="dot" w:pos="14562"/>
        </w:tabs>
      </w:pPr>
      <w:r>
        <w:fldChar w:fldCharType="begin"/>
      </w:r>
      <w:r>
        <w:instrText xml:space="preserve">HYPERLINK \l _Toc_2_2_0000000004</w:instrText>
      </w:r>
      <w:r>
        <w:fldChar w:fldCharType="separate"/>
      </w:r>
      <w:r>
        <w:t xml:space="preserve">部门预算财政拨款收支总表</w:t>
      </w:r>
      <w:r>
        <w:tab/>
      </w:r>
      <w:r>
        <w:fldChar w:fldCharType="begin"/>
      </w:r>
      <w:r>
        <w:instrText xml:space="preserve">PAGEREF _Toc_2_2_0000000004 \h</w:instrText>
      </w:r>
      <w:r>
        <w:fldChar w:fldCharType="separate"/>
      </w:r>
      <w:r>
        <w:t xml:space="preserve">7</w:t>
      </w:r>
      <w:r>
        <w:fldChar w:fldCharType="end"/>
      </w:r>
      <w:r>
        <w:fldChar w:fldCharType="end"/>
      </w:r>
    </w:p>
    <w:p>
      <w:pPr>
        <w:pStyle w:val="TOC1"/>
        <w:tabs>
          <w:tab w:val="right" w:leader="dot" w:pos="14562"/>
        </w:tabs>
      </w:pPr>
      <w:r>
        <w:fldChar w:fldCharType="begin"/>
      </w:r>
      <w:r>
        <w:instrText xml:space="preserve">HYPERLINK \l _Toc_2_2_0000000005</w:instrText>
      </w:r>
      <w:r>
        <w:fldChar w:fldCharType="separate"/>
      </w:r>
      <w:r>
        <w:t xml:space="preserve">部门预算一般公共预算财政拨款支出表</w:t>
      </w:r>
      <w:r>
        <w:tab/>
      </w:r>
      <w:r>
        <w:fldChar w:fldCharType="begin"/>
      </w:r>
      <w:r>
        <w:instrText xml:space="preserve">PAGEREF _Toc_2_2_0000000005 \h</w:instrText>
      </w:r>
      <w:r>
        <w:fldChar w:fldCharType="separate"/>
      </w:r>
      <w:r>
        <w:t xml:space="preserve">10</w:t>
      </w:r>
      <w:r>
        <w:fldChar w:fldCharType="end"/>
      </w:r>
      <w:r>
        <w:fldChar w:fldCharType="end"/>
      </w:r>
    </w:p>
    <w:p>
      <w:pPr>
        <w:pStyle w:val="TOC1"/>
        <w:tabs>
          <w:tab w:val="right" w:leader="dot" w:pos="14562"/>
        </w:tabs>
      </w:pPr>
      <w:r>
        <w:fldChar w:fldCharType="begin"/>
      </w:r>
      <w:r>
        <w:instrText xml:space="preserve">HYPERLINK \l _Toc_2_2_0000000006</w:instrText>
      </w:r>
      <w:r>
        <w:fldChar w:fldCharType="separate"/>
      </w:r>
      <w:r>
        <w:t xml:space="preserve">部门预算一般公共预算财政拨款基本支出表</w:t>
      </w:r>
      <w:r>
        <w:tab/>
      </w:r>
      <w:r>
        <w:fldChar w:fldCharType="begin"/>
      </w:r>
      <w:r>
        <w:instrText xml:space="preserve">PAGEREF _Toc_2_2_0000000006 \h</w:instrText>
      </w:r>
      <w:r>
        <w:fldChar w:fldCharType="separate"/>
      </w:r>
      <w:r>
        <w:t xml:space="preserve">12</w:t>
      </w:r>
      <w:r>
        <w:fldChar w:fldCharType="end"/>
      </w:r>
      <w:r>
        <w:fldChar w:fldCharType="end"/>
      </w:r>
    </w:p>
    <w:p>
      <w:pPr>
        <w:pStyle w:val="TOC1"/>
        <w:tabs>
          <w:tab w:val="right" w:leader="dot" w:pos="14562"/>
        </w:tabs>
      </w:pPr>
      <w:r>
        <w:fldChar w:fldCharType="begin"/>
      </w:r>
      <w:r>
        <w:instrText xml:space="preserve">HYPERLINK \l _Toc_2_2_0000000007</w:instrText>
      </w:r>
      <w:r>
        <w:fldChar w:fldCharType="separate"/>
      </w:r>
      <w:r>
        <w:t xml:space="preserve">部门预算政府性基金预算财政拨款支出表</w:t>
      </w:r>
      <w:r>
        <w:tab/>
      </w:r>
      <w:r>
        <w:fldChar w:fldCharType="begin"/>
      </w:r>
      <w:r>
        <w:instrText xml:space="preserve">PAGEREF _Toc_2_2_0000000007 \h</w:instrText>
      </w:r>
      <w:r>
        <w:fldChar w:fldCharType="separate"/>
      </w:r>
      <w:r>
        <w:t xml:space="preserve">14</w:t>
      </w:r>
      <w:r>
        <w:fldChar w:fldCharType="end"/>
      </w:r>
      <w:r>
        <w:fldChar w:fldCharType="end"/>
      </w:r>
    </w:p>
    <w:p>
      <w:pPr>
        <w:pStyle w:val="TOC1"/>
        <w:tabs>
          <w:tab w:val="right" w:leader="dot" w:pos="14562"/>
        </w:tabs>
      </w:pPr>
      <w:r>
        <w:fldChar w:fldCharType="begin"/>
      </w:r>
      <w:r>
        <w:instrText xml:space="preserve">HYPERLINK \l _Toc_2_2_0000000008</w:instrText>
      </w:r>
      <w:r>
        <w:fldChar w:fldCharType="separate"/>
      </w:r>
      <w:r>
        <w:t xml:space="preserve">部门预算国有资本经营预算财政拨款支出表</w:t>
      </w:r>
      <w:r>
        <w:tab/>
      </w:r>
      <w:r>
        <w:fldChar w:fldCharType="begin"/>
      </w:r>
      <w:r>
        <w:instrText xml:space="preserve">PAGEREF _Toc_2_2_0000000008 \h</w:instrText>
      </w:r>
      <w:r>
        <w:fldChar w:fldCharType="separate"/>
      </w:r>
      <w:r>
        <w:t xml:space="preserve">15</w:t>
      </w:r>
      <w:r>
        <w:fldChar w:fldCharType="end"/>
      </w:r>
      <w:r>
        <w:fldChar w:fldCharType="end"/>
      </w:r>
    </w:p>
    <w:p>
      <w:pPr>
        <w:pStyle w:val="TOC1"/>
        <w:tabs>
          <w:tab w:val="right" w:leader="dot" w:pos="14562"/>
        </w:tabs>
      </w:pPr>
      <w:r>
        <w:fldChar w:fldCharType="begin"/>
      </w:r>
      <w:r>
        <w:instrText xml:space="preserve">HYPERLINK \l _Toc_2_2_0000000009</w:instrText>
      </w:r>
      <w:r>
        <w:fldChar w:fldCharType="separate"/>
      </w:r>
      <w:r>
        <w:t xml:space="preserve">部门预算财政拨款“三公”经费支出表</w:t>
      </w:r>
      <w:r>
        <w:tab/>
      </w:r>
      <w:r>
        <w:fldChar w:fldCharType="begin"/>
      </w:r>
      <w:r>
        <w:instrText xml:space="preserve">PAGEREF _Toc_2_2_0000000009 \h</w:instrText>
      </w:r>
      <w:r>
        <w:fldChar w:fldCharType="separate"/>
      </w:r>
      <w:r>
        <w:t xml:space="preserve">16</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hAnsi="方正楷体_GBK" w:cs="方正楷体_GBK"/>
          <w:b/>
          <w:color w:val="000000"/>
          <w:sz w:val="28"/>
        </w:rPr>
        <w:t xml:space="preserve">部门预算信息公开情况说明</w:t>
      </w:r>
    </w:p>
    <w:p>
      <w:pPr>
        <w:pStyle w:val="TOC1"/>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 xml:space="preserve">一、部门职责及机构设置情况</w:t>
      </w:r>
      <w:r>
        <w:tab/>
      </w:r>
      <w:r>
        <w:fldChar w:fldCharType="begin"/>
      </w:r>
      <w:r>
        <w:instrText xml:space="preserve">PAGEREF _Toc_3_3_0000000010 \h</w:instrText>
      </w:r>
      <w:r>
        <w:fldChar w:fldCharType="separate"/>
      </w:r>
      <w:r>
        <w:t xml:space="preserve">17</w:t>
      </w:r>
      <w:r>
        <w:fldChar w:fldCharType="end"/>
      </w:r>
      <w:r>
        <w:fldChar w:fldCharType="end"/>
      </w:r>
    </w:p>
    <w:p>
      <w:pPr>
        <w:pStyle w:val="TOC1"/>
        <w:tabs>
          <w:tab w:val="right" w:leader="dot" w:pos="14562"/>
        </w:tabs>
      </w:pPr>
      <w:r>
        <w:fldChar w:fldCharType="begin"/>
      </w:r>
      <w:r>
        <w:instrText xml:space="preserve">HYPERLINK \l _Toc_3_3_0000000011</w:instrText>
      </w:r>
      <w:r>
        <w:fldChar w:fldCharType="separate"/>
      </w:r>
      <w:r>
        <w:t xml:space="preserve">二、部门预算安排的总体情况</w:t>
      </w:r>
      <w:r>
        <w:tab/>
      </w:r>
      <w:r>
        <w:fldChar w:fldCharType="begin"/>
      </w:r>
      <w:r>
        <w:instrText xml:space="preserve">PAGEREF _Toc_3_3_0000000011 \h</w:instrText>
      </w:r>
      <w:r>
        <w:fldChar w:fldCharType="separate"/>
      </w:r>
      <w:r>
        <w:t xml:space="preserve">18</w:t>
      </w:r>
      <w:r>
        <w:fldChar w:fldCharType="end"/>
      </w:r>
      <w:r>
        <w:fldChar w:fldCharType="end"/>
      </w:r>
    </w:p>
    <w:p>
      <w:pPr>
        <w:pStyle w:val="TOC1"/>
        <w:tabs>
          <w:tab w:val="right" w:leader="dot" w:pos="14562"/>
        </w:tabs>
      </w:pPr>
      <w:r>
        <w:fldChar w:fldCharType="begin"/>
      </w:r>
      <w:r>
        <w:instrText xml:space="preserve">HYPERLINK \l _Toc_3_3_0000000012</w:instrText>
      </w:r>
      <w:r>
        <w:fldChar w:fldCharType="separate"/>
      </w:r>
      <w:r>
        <w:t xml:space="preserve">三、机关运行经费安排情况</w:t>
      </w:r>
      <w:r>
        <w:tab/>
      </w:r>
      <w:r>
        <w:fldChar w:fldCharType="begin"/>
      </w:r>
      <w:r>
        <w:instrText xml:space="preserve">PAGEREF _Toc_3_3_0000000012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_Toc_3_3_0000000013</w:instrText>
      </w:r>
      <w:r>
        <w:fldChar w:fldCharType="separate"/>
      </w:r>
      <w:r>
        <w:t xml:space="preserve">四、财政拨款“三公”经费预算情况及增减变化原因</w:t>
      </w:r>
      <w:r>
        <w:tab/>
      </w:r>
      <w:r>
        <w:fldChar w:fldCharType="begin"/>
      </w:r>
      <w:r>
        <w:instrText xml:space="preserve">PAGEREF _Toc_3_3_0000000013 \h</w:instrText>
      </w:r>
      <w:r>
        <w:fldChar w:fldCharType="separate"/>
      </w:r>
      <w:r>
        <w:t xml:space="preserve">19</w:t>
      </w:r>
      <w:r>
        <w:fldChar w:fldCharType="end"/>
      </w:r>
      <w:r>
        <w:fldChar w:fldCharType="end"/>
      </w:r>
    </w:p>
    <w:p>
      <w:pPr>
        <w:pStyle w:val="TOC1"/>
        <w:tabs>
          <w:tab w:val="right" w:leader="dot" w:pos="14562"/>
        </w:tabs>
      </w:pPr>
      <w:r>
        <w:fldChar w:fldCharType="begin"/>
      </w:r>
      <w:r>
        <w:instrText xml:space="preserve">HYPERLINK \l _Toc_3_3_0000000014</w:instrText>
      </w:r>
      <w:r>
        <w:fldChar w:fldCharType="separate"/>
      </w:r>
      <w:r>
        <w:t xml:space="preserve">五、部门整体绩效目标</w:t>
      </w:r>
      <w:r>
        <w:tab/>
      </w:r>
      <w:r>
        <w:fldChar w:fldCharType="begin"/>
      </w:r>
      <w:r>
        <w:instrText xml:space="preserve">PAGEREF _Toc_3_3_0000000014 \h</w:instrText>
      </w:r>
      <w:r>
        <w:fldChar w:fldCharType="separate"/>
      </w:r>
      <w:r>
        <w:t xml:space="preserve">20</w:t>
      </w:r>
      <w:r>
        <w:fldChar w:fldCharType="end"/>
      </w:r>
      <w:r>
        <w:fldChar w:fldCharType="end"/>
      </w:r>
    </w:p>
    <w:p>
      <w:pPr>
        <w:pStyle w:val="TOC1"/>
        <w:tabs>
          <w:tab w:val="right" w:leader="dot" w:pos="14562"/>
        </w:tabs>
      </w:pPr>
      <w:r>
        <w:fldChar w:fldCharType="begin"/>
      </w:r>
      <w:r>
        <w:instrText xml:space="preserve">HYPERLINK \l _Toc_3_3_0000000015</w:instrText>
      </w:r>
      <w:r>
        <w:fldChar w:fldCharType="separate"/>
      </w:r>
      <w:r>
        <w:t xml:space="preserve">六、部门主管专项资金预算安排情况及绩效目标</w:t>
      </w:r>
      <w:r>
        <w:tab/>
      </w:r>
      <w:r>
        <w:fldChar w:fldCharType="begin"/>
      </w:r>
      <w:r>
        <w:instrText xml:space="preserve">PAGEREF _Toc_3_3_0000000015 \h</w:instrText>
      </w:r>
      <w:r>
        <w:fldChar w:fldCharType="separate"/>
      </w:r>
      <w:r>
        <w:t xml:space="preserve">23</w:t>
      </w:r>
      <w:r>
        <w:fldChar w:fldCharType="end"/>
      </w:r>
      <w:r>
        <w:fldChar w:fldCharType="end"/>
      </w:r>
    </w:p>
    <w:p>
      <w:pPr>
        <w:pStyle w:val="TOC1"/>
        <w:tabs>
          <w:tab w:val="right" w:leader="dot" w:pos="14562"/>
        </w:tabs>
      </w:pPr>
      <w:r>
        <w:fldChar w:fldCharType="begin"/>
      </w:r>
      <w:r>
        <w:instrText xml:space="preserve">HYPERLINK \l _Toc_3_3_0000000016</w:instrText>
      </w:r>
      <w:r>
        <w:fldChar w:fldCharType="separate"/>
      </w:r>
      <w:r>
        <w:t xml:space="preserve">七、部门项目预算安排情况及绩效目标</w:t>
      </w:r>
      <w:r>
        <w:tab/>
      </w:r>
      <w:r>
        <w:fldChar w:fldCharType="begin"/>
      </w:r>
      <w:r>
        <w:instrText xml:space="preserve">PAGEREF _Toc_3_3_0000000016 \h</w:instrText>
      </w:r>
      <w:r>
        <w:fldChar w:fldCharType="separate"/>
      </w:r>
      <w:r>
        <w:t xml:space="preserve">24</w:t>
      </w:r>
      <w:r>
        <w:fldChar w:fldCharType="end"/>
      </w:r>
      <w:r>
        <w:fldChar w:fldCharType="end"/>
      </w:r>
    </w:p>
    <w:p>
      <w:pPr>
        <w:pStyle w:val="TOC1"/>
        <w:tabs>
          <w:tab w:val="right" w:leader="dot" w:pos="14562"/>
        </w:tabs>
      </w:pPr>
      <w:r>
        <w:fldChar w:fldCharType="begin"/>
      </w:r>
      <w:r>
        <w:instrText xml:space="preserve">HYPERLINK \l _Toc_3_3_0000000017</w:instrText>
      </w:r>
      <w:r>
        <w:fldChar w:fldCharType="separate"/>
      </w:r>
      <w:r>
        <w:t xml:space="preserve">八、政府采购预算情况</w:t>
      </w:r>
      <w:r>
        <w:tab/>
      </w:r>
      <w:r>
        <w:fldChar w:fldCharType="begin"/>
      </w:r>
      <w:r>
        <w:instrText xml:space="preserve">PAGEREF _Toc_3_3_0000000017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_Toc_3_3_0000000018</w:instrText>
      </w:r>
      <w:r>
        <w:fldChar w:fldCharType="separate"/>
      </w:r>
      <w:r>
        <w:t xml:space="preserve">九、国有资产信息</w:t>
      </w:r>
      <w:r>
        <w:tab/>
      </w:r>
      <w:r>
        <w:fldChar w:fldCharType="begin"/>
      </w:r>
      <w:r>
        <w:instrText xml:space="preserve">PAGEREF _Toc_3_3_0000000018 \h</w:instrText>
      </w:r>
      <w:r>
        <w:fldChar w:fldCharType="separate"/>
      </w:r>
      <w:r>
        <w:t xml:space="preserve">25</w:t>
      </w:r>
      <w:r>
        <w:fldChar w:fldCharType="end"/>
      </w:r>
      <w:r>
        <w:fldChar w:fldCharType="end"/>
      </w:r>
    </w:p>
    <w:p>
      <w:pPr>
        <w:pStyle w:val="TOC1"/>
        <w:tabs>
          <w:tab w:val="right" w:leader="dot" w:pos="14562"/>
        </w:tabs>
      </w:pPr>
      <w:r>
        <w:fldChar w:fldCharType="begin"/>
      </w:r>
      <w:r>
        <w:instrText xml:space="preserve">HYPERLINK \l _Toc_3_3_0000000019</w:instrText>
      </w:r>
      <w:r>
        <w:fldChar w:fldCharType="separate"/>
      </w:r>
      <w:r>
        <w:t xml:space="preserve">十、名词解释</w:t>
      </w:r>
      <w:r>
        <w:tab/>
      </w:r>
      <w:r>
        <w:fldChar w:fldCharType="begin"/>
      </w:r>
      <w:r>
        <w:instrText xml:space="preserve">PAGEREF _Toc_3_3_0000000019 \h</w:instrText>
      </w:r>
      <w:r>
        <w:fldChar w:fldCharType="separate"/>
      </w:r>
      <w:r>
        <w:t xml:space="preserve">26</w:t>
      </w:r>
      <w:r>
        <w:fldChar w:fldCharType="end"/>
      </w:r>
      <w:r>
        <w:fldChar w:fldCharType="end"/>
      </w:r>
    </w:p>
    <w:p>
      <w:pPr>
        <w:pStyle w:val="TOC1"/>
        <w:tabs>
          <w:tab w:val="right" w:leader="dot" w:pos="14562"/>
        </w:tabs>
      </w:pPr>
      <w:r>
        <w:fldChar w:fldCharType="begin"/>
      </w:r>
      <w:r>
        <w:instrText xml:space="preserve">HYPERLINK \l _Toc_3_3_0000000020</w:instrText>
      </w:r>
      <w:r>
        <w:fldChar w:fldCharType="separate"/>
      </w:r>
      <w:r>
        <w:t xml:space="preserve">十一、其他需要说明的事项</w:t>
      </w:r>
      <w:r>
        <w:tab/>
      </w:r>
      <w:r>
        <w:fldChar w:fldCharType="begin"/>
      </w:r>
      <w:r>
        <w:instrText xml:space="preserve">PAGEREF _Toc_3_3_0000000020 \h</w:instrText>
      </w:r>
      <w:r>
        <w:fldChar w:fldCharType="separate"/>
      </w:r>
      <w:r>
        <w:t xml:space="preserve">27</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line="240" w:lineRule="auto"/>
        <w:ind w:firstLine="0"/>
        <w:jc w:val="center"/>
        <w:outlineLvl w:val="1"/>
      </w:pPr>
      <w:bookmarkStart w:id="0" w:name="_Toc_2_2_0000000001"/>
      <w:r>
        <w:rPr>
          <w:rFonts w:ascii="方正小标宋_GBK" w:eastAsia="方正小标宋_GBK" w:hAnsi="方正小标宋_GBK" w:cs="方正小标宋_GBK"/>
          <w:color w:val="000000"/>
          <w:sz w:val="36"/>
        </w:rPr>
        <w:t xml:space="preserve">部门预算收支总表</w:t>
      </w:r>
      <w:bookmarkEnd w:id="0"/>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360.30</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245.78</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55.21</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10.03</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22.28</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360.30</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360.30</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360.30</w:t>
            </w:r>
          </w:p>
        </w:tc>
        <w:tc>
          <w:tcPr>
            <w:tcW w:w="4535" w:type="dxa"/>
            <w:vAlign w:val="center"/>
          </w:tcPr>
          <w:p>
            <w:pPr>
              <w:pStyle w:val="单元格样式6"/>
            </w:pPr>
            <w:r>
              <w:t xml:space="preserve">支出总计</w:t>
            </w:r>
          </w:p>
        </w:tc>
        <w:tc>
          <w:tcPr>
            <w:tcW w:w="2126" w:type="dxa"/>
            <w:vAlign w:val="center"/>
          </w:tcPr>
          <w:p>
            <w:pPr>
              <w:pStyle w:val="单元格样式7"/>
            </w:pPr>
            <w:r>
              <w:t xml:space="preserve">360.30</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1"/>
      </w:pPr>
      <w:bookmarkStart w:id="1" w:name="_Toc_2_2_0000000002"/>
      <w:r>
        <w:rPr>
          <w:rFonts w:ascii="方正小标宋_GBK" w:eastAsia="方正小标宋_GBK" w:hAnsi="方正小标宋_GBK" w:cs="方正小标宋_GBK"/>
          <w:color w:val="000000"/>
          <w:sz w:val="36"/>
        </w:rPr>
        <w:t xml:space="preserve">部门预算收入总表</w:t>
      </w:r>
      <w:bookmarkEnd w:id="1"/>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360.30</w:t>
            </w:r>
          </w:p>
        </w:tc>
        <w:tc>
          <w:tcPr>
            <w:tcW w:w="1134" w:type="dxa"/>
            <w:vAlign w:val="center"/>
          </w:tcPr>
          <w:p>
            <w:pPr>
              <w:pStyle w:val="单元格样式7"/>
            </w:pPr>
            <w:r>
              <w:t xml:space="preserve">360.30</w:t>
            </w:r>
          </w:p>
        </w:tc>
        <w:tc>
          <w:tcPr>
            <w:tcW w:w="1134" w:type="dxa"/>
            <w:vAlign w:val="center"/>
          </w:tcPr>
          <w:p>
            <w:pPr>
              <w:pStyle w:val="单元格样式7"/>
            </w:pPr>
            <w:r>
              <w:t xml:space="preserve">360.30</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20131</w:t>
            </w:r>
          </w:p>
        </w:tc>
        <w:tc>
          <w:tcPr>
            <w:tcW w:w="1559" w:type="dxa"/>
            <w:vAlign w:val="center"/>
          </w:tcPr>
          <w:p>
            <w:pPr>
              <w:pStyle w:val="单元格样式2"/>
            </w:pPr>
            <w:r>
              <w:t xml:space="preserve">党委办公厅（室）及相关机构事务</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2013101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r>
              <w:t xml:space="preserve">245.78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204</w:t>
            </w:r>
          </w:p>
        </w:tc>
        <w:tc>
          <w:tcPr>
            <w:tcW w:w="1559" w:type="dxa"/>
            <w:vAlign w:val="center"/>
          </w:tcPr>
          <w:p>
            <w:pPr>
              <w:pStyle w:val="单元格样式2"/>
            </w:pPr>
            <w:r>
              <w:t xml:space="preserve">公共安全支出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20499</w:t>
            </w:r>
          </w:p>
        </w:tc>
        <w:tc>
          <w:tcPr>
            <w:tcW w:w="1559" w:type="dxa"/>
            <w:vAlign w:val="center"/>
          </w:tcPr>
          <w:p>
            <w:pPr>
              <w:pStyle w:val="单元格样式2"/>
            </w:pPr>
            <w:r>
              <w:t xml:space="preserve">其他公共安全支出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2049902</w:t>
            </w:r>
          </w:p>
        </w:tc>
        <w:tc>
          <w:tcPr>
            <w:tcW w:w="1559" w:type="dxa"/>
            <w:vAlign w:val="center"/>
          </w:tcPr>
          <w:p>
            <w:pPr>
              <w:pStyle w:val="单元格样式2"/>
            </w:pPr>
            <w:r>
              <w:t xml:space="preserve">国家司法救助支出</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r>
              <w:t xml:space="preserve">27.00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55.21</w:t>
            </w:r>
          </w:p>
        </w:tc>
        <w:tc>
          <w:tcPr>
            <w:tcW w:w="1134" w:type="dxa"/>
            <w:vAlign w:val="center"/>
          </w:tcPr>
          <w:p>
            <w:pPr>
              <w:pStyle w:val="单元格样式4"/>
            </w:pPr>
            <w:r>
              <w:t xml:space="preserve">55.21</w:t>
            </w:r>
          </w:p>
        </w:tc>
        <w:tc>
          <w:tcPr>
            <w:tcW w:w="1134" w:type="dxa"/>
            <w:vAlign w:val="center"/>
          </w:tcPr>
          <w:p>
            <w:pPr>
              <w:pStyle w:val="单元格样式4"/>
            </w:pPr>
            <w:r>
              <w:t xml:space="preserve">55.21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52.06</w:t>
            </w:r>
          </w:p>
        </w:tc>
        <w:tc>
          <w:tcPr>
            <w:tcW w:w="1134" w:type="dxa"/>
            <w:vAlign w:val="center"/>
          </w:tcPr>
          <w:p>
            <w:pPr>
              <w:pStyle w:val="单元格样式4"/>
            </w:pPr>
            <w:r>
              <w:t xml:space="preserve">52.06</w:t>
            </w:r>
          </w:p>
        </w:tc>
        <w:tc>
          <w:tcPr>
            <w:tcW w:w="1134" w:type="dxa"/>
            <w:vAlign w:val="center"/>
          </w:tcPr>
          <w:p>
            <w:pPr>
              <w:pStyle w:val="单元格样式4"/>
            </w:pPr>
            <w:r>
              <w:t xml:space="preserve">52.06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22.87</w:t>
            </w:r>
          </w:p>
        </w:tc>
        <w:tc>
          <w:tcPr>
            <w:tcW w:w="1134" w:type="dxa"/>
            <w:vAlign w:val="center"/>
          </w:tcPr>
          <w:p>
            <w:pPr>
              <w:pStyle w:val="单元格样式4"/>
            </w:pPr>
            <w:r>
              <w:t xml:space="preserve">22.87</w:t>
            </w:r>
          </w:p>
        </w:tc>
        <w:tc>
          <w:tcPr>
            <w:tcW w:w="1134" w:type="dxa"/>
            <w:vAlign w:val="center"/>
          </w:tcPr>
          <w:p>
            <w:pPr>
              <w:pStyle w:val="单元格样式4"/>
            </w:pPr>
            <w:r>
              <w:t xml:space="preserve">22.87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21.79</w:t>
            </w:r>
          </w:p>
        </w:tc>
        <w:tc>
          <w:tcPr>
            <w:tcW w:w="1134" w:type="dxa"/>
            <w:vAlign w:val="center"/>
          </w:tcPr>
          <w:p>
            <w:pPr>
              <w:pStyle w:val="单元格样式4"/>
            </w:pPr>
            <w:r>
              <w:t xml:space="preserve">21.79</w:t>
            </w:r>
          </w:p>
        </w:tc>
        <w:tc>
          <w:tcPr>
            <w:tcW w:w="1134" w:type="dxa"/>
            <w:vAlign w:val="center"/>
          </w:tcPr>
          <w:p>
            <w:pPr>
              <w:pStyle w:val="单元格样式4"/>
            </w:pPr>
            <w:r>
              <w:t xml:space="preserve">21.79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r>
              <w:t xml:space="preserve">7.40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r>
              <w:t xml:space="preserve">2.20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r>
              <w:t xml:space="preserve">0.95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r>
              <w:t xml:space="preserve">10.03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21</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22</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r>
              <w:t xml:space="preserve">22.28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hAnsi="方正小标宋_GBK" w:cs="方正小标宋_GBK"/>
          <w:color w:val="000000"/>
          <w:sz w:val="36"/>
        </w:rPr>
        <w:t xml:space="preserve">部门预算支出总表</w:t>
      </w:r>
      <w:bookmarkEnd w:id="2"/>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360.30</w:t>
            </w:r>
          </w:p>
        </w:tc>
        <w:tc>
          <w:tcPr>
            <w:tcW w:w="1361" w:type="dxa"/>
            <w:vAlign w:val="center"/>
          </w:tcPr>
          <w:p>
            <w:pPr>
              <w:pStyle w:val="单元格样式7"/>
            </w:pPr>
            <w:r>
              <w:t xml:space="preserve">333.30</w:t>
            </w:r>
          </w:p>
        </w:tc>
        <w:tc>
          <w:tcPr>
            <w:tcW w:w="1361" w:type="dxa"/>
            <w:vAlign w:val="center"/>
          </w:tcPr>
          <w:p>
            <w:pPr>
              <w:pStyle w:val="单元格样式7"/>
            </w:pPr>
            <w:r>
              <w:t xml:space="preserve">27.00</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245.78</w:t>
            </w:r>
          </w:p>
        </w:tc>
        <w:tc>
          <w:tcPr>
            <w:tcW w:w="1361" w:type="dxa"/>
            <w:vAlign w:val="center"/>
          </w:tcPr>
          <w:p>
            <w:pPr>
              <w:pStyle w:val="单元格样式4"/>
            </w:pPr>
            <w:r>
              <w:t xml:space="preserve">245.78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20499</w:t>
            </w:r>
          </w:p>
        </w:tc>
        <w:tc>
          <w:tcPr>
            <w:tcW w:w="4535" w:type="dxa"/>
            <w:vAlign w:val="center"/>
          </w:tcPr>
          <w:p>
            <w:pPr>
              <w:pStyle w:val="单元格样式2"/>
            </w:pPr>
            <w:r>
              <w:t xml:space="preserve">其他公共安全支出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2049902</w:t>
            </w:r>
          </w:p>
        </w:tc>
        <w:tc>
          <w:tcPr>
            <w:tcW w:w="4535" w:type="dxa"/>
            <w:vAlign w:val="center"/>
          </w:tcPr>
          <w:p>
            <w:pPr>
              <w:pStyle w:val="单元格样式2"/>
            </w:pPr>
            <w:r>
              <w:t xml:space="preserve">国家司法救助支出</w:t>
            </w: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r>
              <w:t xml:space="preserve">27.00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55.21</w:t>
            </w:r>
          </w:p>
        </w:tc>
        <w:tc>
          <w:tcPr>
            <w:tcW w:w="1361" w:type="dxa"/>
            <w:vAlign w:val="center"/>
          </w:tcPr>
          <w:p>
            <w:pPr>
              <w:pStyle w:val="单元格样式4"/>
            </w:pPr>
            <w:r>
              <w:t xml:space="preserve">55.21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52.06</w:t>
            </w:r>
          </w:p>
        </w:tc>
        <w:tc>
          <w:tcPr>
            <w:tcW w:w="1361" w:type="dxa"/>
            <w:vAlign w:val="center"/>
          </w:tcPr>
          <w:p>
            <w:pPr>
              <w:pStyle w:val="单元格样式4"/>
            </w:pPr>
            <w:r>
              <w:t xml:space="preserve">52.06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22.87</w:t>
            </w:r>
          </w:p>
        </w:tc>
        <w:tc>
          <w:tcPr>
            <w:tcW w:w="1361" w:type="dxa"/>
            <w:vAlign w:val="center"/>
          </w:tcPr>
          <w:p>
            <w:pPr>
              <w:pStyle w:val="单元格样式4"/>
            </w:pPr>
            <w:r>
              <w:t xml:space="preserve">22.87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21.79</w:t>
            </w:r>
          </w:p>
        </w:tc>
        <w:tc>
          <w:tcPr>
            <w:tcW w:w="1361" w:type="dxa"/>
            <w:vAlign w:val="center"/>
          </w:tcPr>
          <w:p>
            <w:pPr>
              <w:pStyle w:val="单元格样式4"/>
            </w:pPr>
            <w:r>
              <w:t xml:space="preserve">21.79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7.40</w:t>
            </w:r>
          </w:p>
        </w:tc>
        <w:tc>
          <w:tcPr>
            <w:tcW w:w="1361" w:type="dxa"/>
            <w:vAlign w:val="center"/>
          </w:tcPr>
          <w:p>
            <w:pPr>
              <w:pStyle w:val="单元格样式4"/>
            </w:pPr>
            <w:r>
              <w:t xml:space="preserve">7.40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2.20</w:t>
            </w:r>
          </w:p>
        </w:tc>
        <w:tc>
          <w:tcPr>
            <w:tcW w:w="1361" w:type="dxa"/>
            <w:vAlign w:val="center"/>
          </w:tcPr>
          <w:p>
            <w:pPr>
              <w:pStyle w:val="单元格样式4"/>
            </w:pPr>
            <w:r>
              <w:t xml:space="preserve">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2.20</w:t>
            </w:r>
          </w:p>
        </w:tc>
        <w:tc>
          <w:tcPr>
            <w:tcW w:w="1361" w:type="dxa"/>
            <w:vAlign w:val="center"/>
          </w:tcPr>
          <w:p>
            <w:pPr>
              <w:pStyle w:val="单元格样式4"/>
            </w:pPr>
            <w:r>
              <w:t xml:space="preserve">2.20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0.95</w:t>
            </w:r>
          </w:p>
        </w:tc>
        <w:tc>
          <w:tcPr>
            <w:tcW w:w="1361" w:type="dxa"/>
            <w:vAlign w:val="center"/>
          </w:tcPr>
          <w:p>
            <w:pPr>
              <w:pStyle w:val="单元格样式4"/>
            </w:pPr>
            <w:r>
              <w:t xml:space="preserve">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0.95</w:t>
            </w:r>
          </w:p>
        </w:tc>
        <w:tc>
          <w:tcPr>
            <w:tcW w:w="1361" w:type="dxa"/>
            <w:vAlign w:val="center"/>
          </w:tcPr>
          <w:p>
            <w:pPr>
              <w:pStyle w:val="单元格样式4"/>
            </w:pPr>
            <w:r>
              <w:t xml:space="preserve">0.95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10.03</w:t>
            </w:r>
          </w:p>
        </w:tc>
        <w:tc>
          <w:tcPr>
            <w:tcW w:w="1361" w:type="dxa"/>
            <w:vAlign w:val="center"/>
          </w:tcPr>
          <w:p>
            <w:pPr>
              <w:pStyle w:val="单元格样式4"/>
            </w:pPr>
            <w:r>
              <w:t xml:space="preserve">10.03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22.28</w:t>
            </w:r>
          </w:p>
        </w:tc>
        <w:tc>
          <w:tcPr>
            <w:tcW w:w="1361" w:type="dxa"/>
            <w:vAlign w:val="center"/>
          </w:tcPr>
          <w:p>
            <w:pPr>
              <w:pStyle w:val="单元格样式4"/>
            </w:pPr>
            <w:r>
              <w:t xml:space="preserve">22.28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hAnsi="方正小标宋_GBK" w:cs="方正小标宋_GBK"/>
          <w:color w:val="000000"/>
          <w:sz w:val="36"/>
        </w:rPr>
        <w:t xml:space="preserve">部门预算财政拨款收支总表</w:t>
      </w:r>
      <w:bookmarkEnd w:id="3"/>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360.30</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245.78</w:t>
            </w:r>
          </w:p>
        </w:tc>
        <w:tc>
          <w:tcPr>
            <w:tcW w:w="1474" w:type="dxa"/>
            <w:vAlign w:val="center"/>
          </w:tcPr>
          <w:p>
            <w:pPr>
              <w:pStyle w:val="单元格样式4"/>
            </w:pPr>
            <w:r>
              <w:t xml:space="preserve">245.78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r>
              <w:t xml:space="preserve">27.00</w:t>
            </w:r>
          </w:p>
        </w:tc>
        <w:tc>
          <w:tcPr>
            <w:tcW w:w="1474" w:type="dxa"/>
            <w:vAlign w:val="center"/>
          </w:tcPr>
          <w:p>
            <w:pPr>
              <w:pStyle w:val="单元格样式4"/>
            </w:pPr>
            <w:r>
              <w:t xml:space="preserve">27.00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55.21</w:t>
            </w:r>
          </w:p>
        </w:tc>
        <w:tc>
          <w:tcPr>
            <w:tcW w:w="1474" w:type="dxa"/>
            <w:vAlign w:val="center"/>
          </w:tcPr>
          <w:p>
            <w:pPr>
              <w:pStyle w:val="单元格样式4"/>
            </w:pPr>
            <w:r>
              <w:t xml:space="preserve">55.21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10.03</w:t>
            </w:r>
          </w:p>
        </w:tc>
        <w:tc>
          <w:tcPr>
            <w:tcW w:w="1474" w:type="dxa"/>
            <w:vAlign w:val="center"/>
          </w:tcPr>
          <w:p>
            <w:pPr>
              <w:pStyle w:val="单元格样式4"/>
            </w:pPr>
            <w:r>
              <w:t xml:space="preserve">10.03</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22.28</w:t>
            </w:r>
          </w:p>
        </w:tc>
        <w:tc>
          <w:tcPr>
            <w:tcW w:w="1474" w:type="dxa"/>
            <w:vAlign w:val="center"/>
          </w:tcPr>
          <w:p>
            <w:pPr>
              <w:pStyle w:val="单元格样式4"/>
            </w:pPr>
            <w:r>
              <w:t xml:space="preserve">22.28</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三十一、人行科目</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360.30</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360.30</w:t>
            </w:r>
          </w:p>
        </w:tc>
        <w:tc>
          <w:tcPr>
            <w:tcW w:w="1474" w:type="dxa"/>
            <w:vAlign w:val="center"/>
          </w:tcPr>
          <w:p>
            <w:pPr>
              <w:pStyle w:val="单元格样式7"/>
            </w:pPr>
            <w:r>
              <w:t xml:space="preserve">360.30</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37</w:t>
            </w:r>
          </w:p>
        </w:tc>
        <w:tc>
          <w:tcPr>
            <w:tcW w:w="3402" w:type="dxa"/>
            <w:vAlign w:val="center"/>
          </w:tcPr>
          <w:p>
            <w:pPr>
              <w:pStyle w:val="单元格样式6"/>
            </w:pPr>
            <w:r>
              <w:t xml:space="preserve">收入总计</w:t>
            </w:r>
          </w:p>
        </w:tc>
        <w:tc>
          <w:tcPr>
            <w:tcW w:w="1474" w:type="dxa"/>
            <w:vAlign w:val="center"/>
          </w:tcPr>
          <w:p>
            <w:pPr>
              <w:pStyle w:val="单元格样式7"/>
            </w:pPr>
            <w:r>
              <w:t xml:space="preserve">360.30</w:t>
            </w:r>
          </w:p>
        </w:tc>
        <w:tc>
          <w:tcPr>
            <w:tcW w:w="3402" w:type="dxa"/>
            <w:vAlign w:val="center"/>
          </w:tcPr>
          <w:p>
            <w:pPr>
              <w:pStyle w:val="单元格样式6"/>
            </w:pPr>
            <w:r>
              <w:t xml:space="preserve">支出总计</w:t>
            </w:r>
          </w:p>
        </w:tc>
        <w:tc>
          <w:tcPr>
            <w:tcW w:w="1474" w:type="dxa"/>
            <w:vAlign w:val="center"/>
          </w:tcPr>
          <w:p>
            <w:pPr>
              <w:pStyle w:val="单元格样式7"/>
            </w:pPr>
            <w:r>
              <w:t xml:space="preserve">360.30</w:t>
            </w:r>
          </w:p>
        </w:tc>
        <w:tc>
          <w:tcPr>
            <w:tcW w:w="1474" w:type="dxa"/>
            <w:vAlign w:val="center"/>
          </w:tcPr>
          <w:p>
            <w:pPr>
              <w:pStyle w:val="单元格样式7"/>
            </w:pPr>
            <w:r>
              <w:t xml:space="preserve">360.30</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4" w:name="_Toc_2_2_0000000005"/>
      <w:r>
        <w:rPr>
          <w:rFonts w:ascii="方正小标宋_GBK" w:eastAsia="方正小标宋_GBK" w:hAnsi="方正小标宋_GBK" w:cs="方正小标宋_GBK"/>
          <w:color w:val="000000"/>
          <w:sz w:val="36"/>
        </w:rPr>
        <w:t xml:space="preserve">部门预算一般公共预算财政拨款支出表</w:t>
      </w:r>
      <w:bookmarkEnd w:id="4"/>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360.30</w:t>
            </w:r>
          </w:p>
        </w:tc>
        <w:tc>
          <w:tcPr>
            <w:tcW w:w="2551" w:type="dxa"/>
            <w:vAlign w:val="center"/>
          </w:tcPr>
          <w:p>
            <w:pPr>
              <w:pStyle w:val="单元格样式7"/>
            </w:pPr>
            <w:r>
              <w:t xml:space="preserve">333.30</w:t>
            </w:r>
          </w:p>
        </w:tc>
        <w:tc>
          <w:tcPr>
            <w:tcW w:w="2551" w:type="dxa"/>
            <w:vAlign w:val="center"/>
          </w:tcPr>
          <w:p>
            <w:pPr>
              <w:pStyle w:val="单元格样式7"/>
            </w:pPr>
            <w:r>
              <w:t xml:space="preserve">27.00</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20131</w:t>
            </w:r>
          </w:p>
        </w:tc>
        <w:tc>
          <w:tcPr>
            <w:tcW w:w="4535" w:type="dxa"/>
            <w:vAlign w:val="center"/>
          </w:tcPr>
          <w:p>
            <w:pPr>
              <w:pStyle w:val="单元格样式2"/>
            </w:pPr>
            <w:r>
              <w:t xml:space="preserve">党委办公厅（室）及相关机构事务</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2013101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245.78</w:t>
            </w:r>
          </w:p>
        </w:tc>
        <w:tc>
          <w:tcPr>
            <w:tcW w:w="2551" w:type="dxa"/>
            <w:vAlign w:val="center"/>
          </w:tcPr>
          <w:p>
            <w:pPr>
              <w:pStyle w:val="单元格样式4"/>
            </w:pPr>
            <w:r>
              <w:t xml:space="preserve">245.78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204</w:t>
            </w:r>
          </w:p>
        </w:tc>
        <w:tc>
          <w:tcPr>
            <w:tcW w:w="4535" w:type="dxa"/>
            <w:vAlign w:val="center"/>
          </w:tcPr>
          <w:p>
            <w:pPr>
              <w:pStyle w:val="单元格样式2"/>
            </w:pPr>
            <w:r>
              <w:t xml:space="preserve">公共安全支出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20499</w:t>
            </w:r>
          </w:p>
        </w:tc>
        <w:tc>
          <w:tcPr>
            <w:tcW w:w="4535" w:type="dxa"/>
            <w:vAlign w:val="center"/>
          </w:tcPr>
          <w:p>
            <w:pPr>
              <w:pStyle w:val="单元格样式2"/>
            </w:pPr>
            <w:r>
              <w:t xml:space="preserve">其他公共安全支出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2049902</w:t>
            </w:r>
          </w:p>
        </w:tc>
        <w:tc>
          <w:tcPr>
            <w:tcW w:w="4535" w:type="dxa"/>
            <w:vAlign w:val="center"/>
          </w:tcPr>
          <w:p>
            <w:pPr>
              <w:pStyle w:val="单元格样式2"/>
            </w:pPr>
            <w:r>
              <w:t xml:space="preserve">国家司法救助支出</w:t>
            </w:r>
          </w:p>
        </w:tc>
        <w:tc>
          <w:tcPr>
            <w:tcW w:w="2551" w:type="dxa"/>
            <w:vAlign w:val="center"/>
          </w:tcPr>
          <w:p>
            <w:pPr>
              <w:pStyle w:val="单元格样式4"/>
            </w:pPr>
            <w:r>
              <w:t xml:space="preserve">27.00</w:t>
            </w:r>
          </w:p>
        </w:tc>
        <w:tc>
          <w:tcPr>
            <w:tcW w:w="2551" w:type="dxa"/>
            <w:vAlign w:val="center"/>
          </w:tcPr>
          <w:p>
            <w:pPr>
              <w:pStyle w:val="单元格样式4"/>
            </w:pPr>
          </w:p>
        </w:tc>
        <w:tc>
          <w:tcPr>
            <w:tcW w:w="2551" w:type="dxa"/>
            <w:vAlign w:val="center"/>
          </w:tcPr>
          <w:p>
            <w:pPr>
              <w:pStyle w:val="单元格样式4"/>
            </w:pPr>
            <w:r>
              <w:t xml:space="preserve">27.00</w:t>
            </w: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55.21</w:t>
            </w:r>
          </w:p>
        </w:tc>
        <w:tc>
          <w:tcPr>
            <w:tcW w:w="2551" w:type="dxa"/>
            <w:vAlign w:val="center"/>
          </w:tcPr>
          <w:p>
            <w:pPr>
              <w:pStyle w:val="单元格样式4"/>
            </w:pPr>
            <w:r>
              <w:t xml:space="preserve">55.21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52.06</w:t>
            </w:r>
          </w:p>
        </w:tc>
        <w:tc>
          <w:tcPr>
            <w:tcW w:w="2551" w:type="dxa"/>
            <w:vAlign w:val="center"/>
          </w:tcPr>
          <w:p>
            <w:pPr>
              <w:pStyle w:val="单元格样式4"/>
            </w:pPr>
            <w:r>
              <w:t xml:space="preserve">52.06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22.87</w:t>
            </w:r>
          </w:p>
        </w:tc>
        <w:tc>
          <w:tcPr>
            <w:tcW w:w="2551" w:type="dxa"/>
            <w:vAlign w:val="center"/>
          </w:tcPr>
          <w:p>
            <w:pPr>
              <w:pStyle w:val="单元格样式4"/>
            </w:pPr>
            <w:r>
              <w:t xml:space="preserve">22.87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21.79</w:t>
            </w:r>
          </w:p>
        </w:tc>
        <w:tc>
          <w:tcPr>
            <w:tcW w:w="2551" w:type="dxa"/>
            <w:vAlign w:val="center"/>
          </w:tcPr>
          <w:p>
            <w:pPr>
              <w:pStyle w:val="单元格样式4"/>
            </w:pPr>
            <w:r>
              <w:t xml:space="preserve">21.79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5" w:name="_Toc_2_2_0000000006"/>
      <w:r>
        <w:rPr>
          <w:rFonts w:ascii="方正小标宋_GBK" w:eastAsia="方正小标宋_GBK" w:hAnsi="方正小标宋_GBK" w:cs="方正小标宋_GBK"/>
          <w:color w:val="000000"/>
          <w:sz w:val="36"/>
        </w:rPr>
        <w:t xml:space="preserve">部门预算一般公共预算财政拨款基本支出表</w:t>
      </w:r>
      <w:bookmarkEnd w:id="5"/>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333.30</w:t>
            </w:r>
          </w:p>
        </w:tc>
        <w:tc>
          <w:tcPr>
            <w:tcW w:w="2551" w:type="dxa"/>
            <w:vAlign w:val="center"/>
          </w:tcPr>
          <w:p>
            <w:pPr>
              <w:pStyle w:val="单元格样式7"/>
            </w:pPr>
            <w:r>
              <w:t xml:space="preserve">303.99</w:t>
            </w:r>
          </w:p>
        </w:tc>
        <w:tc>
          <w:tcPr>
            <w:tcW w:w="2551" w:type="dxa"/>
            <w:vAlign w:val="center"/>
          </w:tcPr>
          <w:p>
            <w:pPr>
              <w:pStyle w:val="单元格样式7"/>
            </w:pPr>
            <w:r>
              <w:t xml:space="preserve">29.31</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278.92</w:t>
            </w:r>
          </w:p>
        </w:tc>
        <w:tc>
          <w:tcPr>
            <w:tcW w:w="2551" w:type="dxa"/>
            <w:vAlign w:val="center"/>
          </w:tcPr>
          <w:p>
            <w:pPr>
              <w:pStyle w:val="单元格样式4"/>
            </w:pPr>
            <w:r>
              <w:t xml:space="preserve">278.92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83.88</w:t>
            </w:r>
          </w:p>
        </w:tc>
        <w:tc>
          <w:tcPr>
            <w:tcW w:w="2551" w:type="dxa"/>
            <w:vAlign w:val="center"/>
          </w:tcPr>
          <w:p>
            <w:pPr>
              <w:pStyle w:val="单元格样式4"/>
            </w:pPr>
            <w:r>
              <w:t xml:space="preserve">83.88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52.57</w:t>
            </w:r>
          </w:p>
        </w:tc>
        <w:tc>
          <w:tcPr>
            <w:tcW w:w="2551" w:type="dxa"/>
            <w:vAlign w:val="center"/>
          </w:tcPr>
          <w:p>
            <w:pPr>
              <w:pStyle w:val="单元格样式4"/>
            </w:pPr>
            <w:r>
              <w:t xml:space="preserve">52.57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32.03</w:t>
            </w:r>
          </w:p>
        </w:tc>
        <w:tc>
          <w:tcPr>
            <w:tcW w:w="2551" w:type="dxa"/>
            <w:vAlign w:val="center"/>
          </w:tcPr>
          <w:p>
            <w:pPr>
              <w:pStyle w:val="单元格样式4"/>
            </w:pPr>
            <w:r>
              <w:t xml:space="preserve">32.03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10.22</w:t>
            </w:r>
          </w:p>
        </w:tc>
        <w:tc>
          <w:tcPr>
            <w:tcW w:w="2551" w:type="dxa"/>
            <w:vAlign w:val="center"/>
          </w:tcPr>
          <w:p>
            <w:pPr>
              <w:pStyle w:val="单元格样式4"/>
            </w:pPr>
            <w:r>
              <w:t xml:space="preserve">10.22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21.79</w:t>
            </w:r>
          </w:p>
        </w:tc>
        <w:tc>
          <w:tcPr>
            <w:tcW w:w="2551" w:type="dxa"/>
            <w:vAlign w:val="center"/>
          </w:tcPr>
          <w:p>
            <w:pPr>
              <w:pStyle w:val="单元格样式4"/>
            </w:pPr>
            <w:r>
              <w:t xml:space="preserve">21.79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7.40</w:t>
            </w:r>
          </w:p>
        </w:tc>
        <w:tc>
          <w:tcPr>
            <w:tcW w:w="2551" w:type="dxa"/>
            <w:vAlign w:val="center"/>
          </w:tcPr>
          <w:p>
            <w:pPr>
              <w:pStyle w:val="单元格样式4"/>
            </w:pPr>
            <w:r>
              <w:t xml:space="preserve">7.40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10.03</w:t>
            </w:r>
          </w:p>
        </w:tc>
        <w:tc>
          <w:tcPr>
            <w:tcW w:w="2551" w:type="dxa"/>
            <w:vAlign w:val="center"/>
          </w:tcPr>
          <w:p>
            <w:pPr>
              <w:pStyle w:val="单元格样式4"/>
            </w:pPr>
            <w:r>
              <w:t xml:space="preserve">10.03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0.95</w:t>
            </w:r>
          </w:p>
        </w:tc>
        <w:tc>
          <w:tcPr>
            <w:tcW w:w="2551" w:type="dxa"/>
            <w:vAlign w:val="center"/>
          </w:tcPr>
          <w:p>
            <w:pPr>
              <w:pStyle w:val="单元格样式4"/>
            </w:pPr>
            <w:r>
              <w:t xml:space="preserve">0.95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22.28</w:t>
            </w:r>
          </w:p>
        </w:tc>
        <w:tc>
          <w:tcPr>
            <w:tcW w:w="2551" w:type="dxa"/>
            <w:vAlign w:val="center"/>
          </w:tcPr>
          <w:p>
            <w:pPr>
              <w:pStyle w:val="单元格样式4"/>
            </w:pPr>
            <w:r>
              <w:t xml:space="preserve">22.28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37.77</w:t>
            </w:r>
          </w:p>
        </w:tc>
        <w:tc>
          <w:tcPr>
            <w:tcW w:w="2551" w:type="dxa"/>
            <w:vAlign w:val="center"/>
          </w:tcPr>
          <w:p>
            <w:pPr>
              <w:pStyle w:val="单元格样式4"/>
            </w:pPr>
            <w:r>
              <w:t xml:space="preserve">37.77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29.31</w:t>
            </w:r>
          </w:p>
        </w:tc>
        <w:tc>
          <w:tcPr>
            <w:tcW w:w="2551" w:type="dxa"/>
            <w:vAlign w:val="center"/>
          </w:tcPr>
          <w:p>
            <w:pPr>
              <w:pStyle w:val="单元格样式4"/>
            </w:pPr>
          </w:p>
        </w:tc>
        <w:tc>
          <w:tcPr>
            <w:tcW w:w="2551" w:type="dxa"/>
            <w:vAlign w:val="center"/>
          </w:tcPr>
          <w:p>
            <w:pPr>
              <w:pStyle w:val="单元格样式4"/>
            </w:pPr>
            <w:r>
              <w:t xml:space="preserve">29.31</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1.17</w:t>
            </w:r>
          </w:p>
        </w:tc>
        <w:tc>
          <w:tcPr>
            <w:tcW w:w="2551" w:type="dxa"/>
            <w:vAlign w:val="center"/>
          </w:tcPr>
          <w:p>
            <w:pPr>
              <w:pStyle w:val="单元格样式4"/>
            </w:pPr>
          </w:p>
        </w:tc>
        <w:tc>
          <w:tcPr>
            <w:tcW w:w="2551" w:type="dxa"/>
            <w:vAlign w:val="center"/>
          </w:tcPr>
          <w:p>
            <w:pPr>
              <w:pStyle w:val="单元格样式4"/>
            </w:pPr>
            <w:r>
              <w:t xml:space="preserve">1.17</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1.00</w:t>
            </w:r>
          </w:p>
        </w:tc>
        <w:tc>
          <w:tcPr>
            <w:tcW w:w="2551" w:type="dxa"/>
            <w:vAlign w:val="center"/>
          </w:tcPr>
          <w:p>
            <w:pPr>
              <w:pStyle w:val="单元格样式4"/>
            </w:pPr>
          </w:p>
        </w:tc>
        <w:tc>
          <w:tcPr>
            <w:tcW w:w="2551" w:type="dxa"/>
            <w:vAlign w:val="center"/>
          </w:tcPr>
          <w:p>
            <w:pPr>
              <w:pStyle w:val="单元格样式4"/>
            </w:pPr>
            <w:r>
              <w:t xml:space="preserve">1.00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0.50</w:t>
            </w:r>
          </w:p>
        </w:tc>
        <w:tc>
          <w:tcPr>
            <w:tcW w:w="2551" w:type="dxa"/>
            <w:vAlign w:val="center"/>
          </w:tcPr>
          <w:p>
            <w:pPr>
              <w:pStyle w:val="单元格样式4"/>
            </w:pPr>
          </w:p>
        </w:tc>
        <w:tc>
          <w:tcPr>
            <w:tcW w:w="2551" w:type="dxa"/>
            <w:vAlign w:val="center"/>
          </w:tcPr>
          <w:p>
            <w:pPr>
              <w:pStyle w:val="单元格样式4"/>
            </w:pPr>
            <w:r>
              <w:t xml:space="preserve">0.50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1.64</w:t>
            </w:r>
          </w:p>
        </w:tc>
        <w:tc>
          <w:tcPr>
            <w:tcW w:w="2551" w:type="dxa"/>
            <w:vAlign w:val="center"/>
          </w:tcPr>
          <w:p>
            <w:pPr>
              <w:pStyle w:val="单元格样式4"/>
            </w:pPr>
          </w:p>
        </w:tc>
        <w:tc>
          <w:tcPr>
            <w:tcW w:w="2551" w:type="dxa"/>
            <w:vAlign w:val="center"/>
          </w:tcPr>
          <w:p>
            <w:pPr>
              <w:pStyle w:val="单元格样式4"/>
            </w:pPr>
            <w:r>
              <w:t xml:space="preserve">1.64</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9.84</w:t>
            </w:r>
          </w:p>
        </w:tc>
        <w:tc>
          <w:tcPr>
            <w:tcW w:w="2551" w:type="dxa"/>
            <w:vAlign w:val="center"/>
          </w:tcPr>
          <w:p>
            <w:pPr>
              <w:pStyle w:val="单元格样式4"/>
            </w:pPr>
          </w:p>
        </w:tc>
        <w:tc>
          <w:tcPr>
            <w:tcW w:w="2551" w:type="dxa"/>
            <w:vAlign w:val="center"/>
          </w:tcPr>
          <w:p>
            <w:pPr>
              <w:pStyle w:val="单元格样式4"/>
            </w:pPr>
            <w:r>
              <w:t xml:space="preserve">9.84</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5.25</w:t>
            </w:r>
          </w:p>
        </w:tc>
        <w:tc>
          <w:tcPr>
            <w:tcW w:w="2551" w:type="dxa"/>
            <w:vAlign w:val="center"/>
          </w:tcPr>
          <w:p>
            <w:pPr>
              <w:pStyle w:val="单元格样式4"/>
            </w:pPr>
          </w:p>
        </w:tc>
        <w:tc>
          <w:tcPr>
            <w:tcW w:w="2551" w:type="dxa"/>
            <w:vAlign w:val="center"/>
          </w:tcPr>
          <w:p>
            <w:pPr>
              <w:pStyle w:val="单元格样式4"/>
            </w:pPr>
            <w:r>
              <w:t xml:space="preserve">5.25</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25.07</w:t>
            </w:r>
          </w:p>
        </w:tc>
        <w:tc>
          <w:tcPr>
            <w:tcW w:w="2551" w:type="dxa"/>
            <w:vAlign w:val="center"/>
          </w:tcPr>
          <w:p>
            <w:pPr>
              <w:pStyle w:val="单元格样式4"/>
            </w:pPr>
            <w:r>
              <w:t xml:space="preserve">25.07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22.87</w:t>
            </w:r>
          </w:p>
        </w:tc>
        <w:tc>
          <w:tcPr>
            <w:tcW w:w="2551" w:type="dxa"/>
            <w:vAlign w:val="center"/>
          </w:tcPr>
          <w:p>
            <w:pPr>
              <w:pStyle w:val="单元格样式4"/>
            </w:pPr>
            <w:r>
              <w:t xml:space="preserve">22.87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2.20</w:t>
            </w:r>
          </w:p>
        </w:tc>
        <w:tc>
          <w:tcPr>
            <w:tcW w:w="2551" w:type="dxa"/>
            <w:vAlign w:val="center"/>
          </w:tcPr>
          <w:p>
            <w:pPr>
              <w:pStyle w:val="单元格样式4"/>
            </w:pPr>
            <w:r>
              <w:t xml:space="preserve">2.20</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1"/>
      </w:pPr>
      <w:bookmarkStart w:id="6" w:name="_Toc_2_2_0000000007"/>
      <w:r>
        <w:rPr>
          <w:rFonts w:ascii="方正小标宋_GBK" w:eastAsia="方正小标宋_GBK" w:hAnsi="方正小标宋_GBK" w:cs="方正小标宋_GBK"/>
          <w:color w:val="000000"/>
          <w:sz w:val="36"/>
        </w:rPr>
        <w:t xml:space="preserve">部门预算政府性基金预算财政拨款支出表</w:t>
      </w:r>
      <w:bookmarkEnd w:id="6"/>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hAnsi="方正小标宋_GBK" w:cs="方正小标宋_GBK"/>
          <w:color w:val="000000"/>
          <w:sz w:val="36"/>
        </w:rPr>
        <w:t xml:space="preserve">部门预算国有资本经营预算财政拨款支出表</w:t>
      </w:r>
      <w:bookmarkEnd w:id="7"/>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hAnsi="方正小标宋_GBK" w:cs="方正小标宋_GBK"/>
          <w:color w:val="000000"/>
          <w:sz w:val="36"/>
        </w:rPr>
        <w:t xml:space="preserve">部门预算财政拨款“三公”经费支出表</w:t>
      </w:r>
      <w:bookmarkEnd w:id="8"/>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2.33</w:t>
            </w:r>
          </w:p>
        </w:tc>
        <w:tc>
          <w:tcPr>
            <w:tcW w:w="2381" w:type="dxa"/>
            <w:vAlign w:val="center"/>
          </w:tcPr>
          <w:p>
            <w:pPr>
              <w:pStyle w:val="单元格样式7"/>
            </w:pPr>
            <w:r>
              <w:t xml:space="preserve">2.33</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bl>
    <w:p>
      <w:pPr>
        <w:spacing w:before="0" w:after="0" w:line="240" w:lineRule="auto"/>
        <w:ind w:firstLine="0"/>
        <w:jc w:val="center"/>
        <w:outlineLvl w:val="0"/>
        <w:sectPr>
          <w:type w:val="nextPage"/>
          <w:pgSz w:w="16840" w:h="11900" w:orient="landscape"/>
          <w:pgMar w:top="1361" w:right="1020" w:bottom="1361" w:left="1020" w:header="720" w:footer="720" w:gutter="0"/>
        </w:sectPr>
      </w:pPr>
      <w:r>
        <w:rPr>
          <w:rFonts w:ascii="方正书宋_GBK" w:eastAsia="方正书宋_GBK" w:hAnsi="方正书宋_GBK" w:cs="方正书宋_GBK"/>
          <w:color w:val="FFFFFF"/>
          <w:sz w:val="21"/>
        </w:rPr>
        <w:t xml:space="preserve">第一部分  新乐市政法委2026年部门预算信息公开情况说明</w:t>
      </w:r>
    </w:p>
    <w:p>
      <w:pPr>
        <w:spacing w:before="0" w:after="0" w:line="240" w:lineRule="auto"/>
        <w:ind w:firstLine="0"/>
        <w:jc w:val="center"/>
        <w:outlineLvl w:val="9"/>
      </w:pPr>
      <w:r>
        <w:rPr>
          <w:rFonts w:ascii="方正小标宋_GBK" w:eastAsia="方正小标宋_GBK" w:hAnsi="方正小标宋_GBK" w:cs="方正小标宋_GBK"/>
          <w:color w:val="000000"/>
          <w:sz w:val="44"/>
        </w:rPr>
        <w:t xml:space="preserve">新乐市政法委2026年部门预算信息公开情况说明</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按照《中华人民共和国预算法》、《地方预决算公开操作规程》和《关于进一步推进预算公开工作的实施意见》规定，现将新乐市政法委2026年部门预算公开如下：</w:t>
      </w:r>
    </w:p>
    <w:p>
      <w:pPr>
        <w:spacing w:before="10" w:after="10" w:line="360" w:lineRule="auto"/>
        <w:ind w:firstLine="640"/>
        <w:jc w:val="left"/>
        <w:outlineLvl w:val="2"/>
      </w:pPr>
      <w:bookmarkStart w:id="9" w:name="_Toc_3_3_0000000010"/>
      <w:r>
        <w:rPr>
          <w:rFonts w:ascii="黑体" w:eastAsia="黑体" w:hAnsi="黑体" w:cs="黑体"/>
          <w:color w:val="000000"/>
          <w:sz w:val="32"/>
        </w:rPr>
        <w:t xml:space="preserve">一、部门职责及机构设置情况</w:t>
      </w:r>
      <w:bookmarkEnd w:id="9"/>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部门职责：</w:t>
      </w:r>
    </w:p>
    <w:p>
      <w:pPr>
        <w:pStyle w:val="插入文本样式-插入预算公开部门职责文件"/>
      </w:pPr>
      <w:r>
        <w:t xml:space="preserve">市委政法委的主要职责是：</w:t>
      </w:r>
    </w:p>
    <w:p>
      <w:pPr>
        <w:pStyle w:val="插入文本样式-插入预算公开部门职责文件"/>
      </w:pPr>
      <w:r>
        <w:t xml:space="preserve">（一）深入贯彻习近平新时代中国特色社会主义思想，坚持党对政法工作的绝对领导，坚决维护习近平总书记党中央的核心、全党的核心地位，坚决维护党中央权威和集中统一领导，深入贯彻党的路线方针政策和中央、省委、石家庄市委、新乐市委的决策部署，统一全市政法单位思想和行动，确保全市政法单位坚定正确的政治方向。</w:t>
      </w:r>
    </w:p>
    <w:p>
      <w:pPr>
        <w:pStyle w:val="插入文本样式-插入预算公开部门职责文件"/>
      </w:pPr>
      <w:r>
        <w:t xml:space="preserve">（二）对全市政法工作研究提出全局性部署，推进平安新乐建设、法治新乐建设，加强过硬队伍建设，深化智能化建设，坚决维护国家政治安全、确保社会大局稳定、促进社会公平正义、保障人民安居乐业。</w:t>
      </w:r>
    </w:p>
    <w:p>
      <w:pPr>
        <w:pStyle w:val="插入文本样式-插入预算公开部门职责文件"/>
      </w:pPr>
      <w:r>
        <w:t xml:space="preserve">（三）了解掌握和分析研判政法工作情况动态，分析社会稳定形势，创新完善多部门参与的综治维稳工作机制，协调推动预防、化解影响稳定的社会矛盾和风险，协调应对和处置重大突发事件。</w:t>
      </w:r>
    </w:p>
    <w:p>
      <w:pPr>
        <w:pStyle w:val="插入文本样式-插入预算公开部门职责文件"/>
      </w:pPr>
      <w:r>
        <w:t xml:space="preserve">（四）加强对政法工作的督查，统筹协调社会治安综合治理、维护社会稳定、反邪教有关法律法规政策的实施工作。</w:t>
      </w:r>
    </w:p>
    <w:p>
      <w:pPr>
        <w:pStyle w:val="插入文本样式-插入预算公开部门职责文件"/>
      </w:pPr>
      <w:r>
        <w:t xml:space="preserve">（五）组织开展政法领域的调查研究，研究拟订政法工作的重大措施，及时向市委提出建议。</w:t>
      </w:r>
    </w:p>
    <w:p>
      <w:pPr>
        <w:pStyle w:val="插入文本样式-插入预算公开部门职责文件"/>
      </w:pPr>
      <w:r>
        <w:t xml:space="preserve">（六）掌握分析政法舆情动态，指导协调政法单位媒体网络宣传工作，指导政法单位做好涉及政法工作的重大宣传工作。</w:t>
      </w:r>
    </w:p>
    <w:p>
      <w:pPr>
        <w:pStyle w:val="插入文本样式-插入预算公开部门职责文件"/>
      </w:pPr>
      <w:r>
        <w:t xml:space="preserve">（七）监督和支持政法单位依法行使职权，指导和协调政法单位密切配合，指导政法单位涉法涉诉信访工作，推进严格执法、公正司法。</w:t>
      </w:r>
    </w:p>
    <w:p>
      <w:pPr>
        <w:pStyle w:val="插入文本样式-插入预算公开部门职责文件"/>
      </w:pPr>
      <w:r>
        <w:t xml:space="preserve">（八）组织研究政法改革中带有方向性、倾向性和普遍性的重大问题，深化政法改革，联系全面依法治市委员会办公室。</w:t>
      </w:r>
    </w:p>
    <w:p>
      <w:pPr>
        <w:pStyle w:val="插入文本样式-插入预算公开部门职责文件"/>
      </w:pPr>
      <w:r>
        <w:t xml:space="preserve">（九）指导推动政法系统党的建设和政法队伍建设，协调和指导全市见义勇为工作，代管市法学会。</w:t>
      </w:r>
    </w:p>
    <w:p>
      <w:pPr>
        <w:pStyle w:val="插入文本样式-插入预算公开部门职责文件"/>
      </w:pPr>
      <w:r>
        <w:t xml:space="preserve">（十）统筹推动全市政法系统信息化工作，指导政法智能化建设。</w:t>
      </w:r>
    </w:p>
    <w:p>
      <w:pPr>
        <w:pStyle w:val="插入文本样式-插入预算公开部门职责文件"/>
      </w:pPr>
      <w:r>
        <w:t xml:space="preserve">（十一）完成石家庄市委政法委员会、新乐市委交办的其他任务。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部门机构设置情况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新乐市政法委本级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正科级</w:t>
            </w:r>
          </w:p>
        </w:tc>
        <w:tc>
          <w:tcPr>
            <w:tcW w:w="3827" w:type="dxa"/>
            <w:vAlign w:val="center"/>
          </w:tcPr>
          <w:p>
            <w:pPr>
              <w:pStyle w:val="单元格样式3"/>
            </w:pPr>
            <w:r>
              <w:t xml:space="preserve">财政拨款</w:t>
            </w:r>
          </w:p>
        </w:tc>
      </w:tr>
    </w:tbl>
    <w:p>
      <w:pPr>
        <w:spacing w:before="10" w:after="10" w:line="360" w:lineRule="auto"/>
        <w:ind w:firstLine="640"/>
        <w:jc w:val="left"/>
        <w:outlineLvl w:val="2"/>
      </w:pPr>
      <w:bookmarkStart w:id="10" w:name="_Toc_3_3_0000000011"/>
      <w:r>
        <w:rPr>
          <w:rFonts w:ascii="黑体" w:eastAsia="黑体" w:hAnsi="黑体" w:cs="黑体"/>
          <w:color w:val="000000"/>
          <w:sz w:val="32"/>
        </w:rPr>
        <w:t xml:space="preserve">二、部门预算安排的总体情况</w:t>
      </w:r>
      <w:bookmarkEnd w:id="10"/>
    </w:p>
    <w:p>
      <w:pPr>
        <w:pStyle w:val="插入文本样式-插入预算公开部门预算安排的总体情况文件"/>
      </w:pPr>
      <w:r>
        <w:t xml:space="preserve">按照预算管理有关规定，目前部门预算的编制实行综合预算管理，即全部收入和支出都反映在预算中。新乐市政法委机关及所属事业单位的收支包含在部门预算中。</w:t>
      </w:r>
    </w:p>
    <w:p>
      <w:pPr>
        <w:pStyle w:val="插入文本样式-插入预算公开部门预算安排的总体情况文件"/>
      </w:pPr>
      <w:r>
        <w:t xml:space="preserve">1、收入说明</w:t>
      </w:r>
    </w:p>
    <w:p>
      <w:pPr>
        <w:pStyle w:val="插入文本样式-插入预算公开部门预算安排的总体情况文件"/>
      </w:pPr>
      <w:r>
        <w:t xml:space="preserve">反映本部门当年全部收入。2026年预算收入360.30万元，其中：一般公共预算收入360.30万元，基金预算收入0.00万元，国有资本经营预算收入0.00万元，财政专户核拨收入0.00万元，单位资金收入0.00万元，上年结转结余0.00万元。</w:t>
      </w:r>
    </w:p>
    <w:p>
      <w:pPr>
        <w:pStyle w:val="插入文本样式-插入预算公开部门预算安排的总体情况文件"/>
      </w:pPr>
      <w:r>
        <w:t xml:space="preserve">2、支出说明</w:t>
      </w:r>
    </w:p>
    <w:p>
      <w:pPr>
        <w:pStyle w:val="插入文本样式-插入预算公开部门预算安排的总体情况文件"/>
      </w:pPr>
      <w:r>
        <w:t xml:space="preserve">收支预算总表支出栏、基本支出表、项目支出表按经济分类和支出功能分类科目编制，反映新乐市政法委年度部门预算中支出预算的总体情况。2026年支出预算360.30万元，其中基本支出333.30万元，包括人员经费303.99万元和日常公用经费29.31万元；项目支出27.00万元，主要为国家司法救助经费27万元；预计下年使用的单位资金结余0.00万元。委托业务费共计安排0.00万元，主要用于因技术原因确需对外委托的辅助性工作和确有必要对外委托开展咨询、评审、规划等工作。</w:t>
      </w:r>
    </w:p>
    <w:p>
      <w:pPr>
        <w:pStyle w:val="插入文本样式-插入预算公开部门预算安排的总体情况文件"/>
      </w:pPr>
      <w:r>
        <w:t xml:space="preserve">3、比上年增减情况</w:t>
      </w:r>
    </w:p>
    <w:p>
      <w:pPr>
        <w:pStyle w:val="插入文本样式-插入预算公开部门预算安排的总体情况文件"/>
      </w:pPr>
      <w:r>
        <w:t xml:space="preserve">2026年预算收支安排360.30万元，较2025年预算减少176.21万元，其中：基本支出减少21.21万元，主要为人员减少2人，人员经费和公用经费均有减少。项目支出减少155.00万元，主要为项目减少和项目资金减少。预计下年使用的单位资金结余增加0.00万元。</w:t>
      </w:r>
    </w:p>
    <w:p>
      <w:pPr>
        <w:spacing w:before="10" w:after="10" w:line="360" w:lineRule="auto"/>
        <w:ind w:firstLine="640"/>
        <w:jc w:val="left"/>
        <w:outlineLvl w:val="2"/>
      </w:pPr>
      <w:bookmarkStart w:id="11" w:name="_Toc_3_3_0000000012"/>
      <w:r>
        <w:rPr>
          <w:rFonts w:ascii="黑体" w:eastAsia="黑体" w:hAnsi="黑体" w:cs="黑体"/>
          <w:color w:val="000000"/>
          <w:sz w:val="32"/>
        </w:rPr>
        <w:t xml:space="preserve">三、机关运行经费安排情况</w:t>
      </w:r>
      <w:bookmarkEnd w:id="11"/>
    </w:p>
    <w:p>
      <w:pPr>
        <w:pStyle w:val="插入文本样式-插入预算公开部门机关运行经费安排情况文件"/>
      </w:pPr>
      <w:r>
        <w:t xml:space="preserve">2026年，我部门机关运行经费共计安排29.31万元，主要用于日常维修、办公用房水电费、办公用房取暖费、办公用房物业管理费等日常运行支出。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eastAsia="黑体" w:hAnsi="黑体" w:cs="黑体"/>
          <w:color w:val="000000"/>
          <w:sz w:val="32"/>
        </w:rPr>
        <w:t xml:space="preserve">四、财政拨款“三公”经费预算情况及增减变化原因</w:t>
      </w:r>
      <w:bookmarkEnd w:id="12"/>
    </w:p>
    <w:p>
      <w:pPr>
        <w:pStyle w:val="插入文本样式-插入预算公开部门财政拨款三公经费预算情况及增减变化原因文件"/>
      </w:pPr>
      <w:r>
        <w:t xml:space="preserve">2026年，我部门财政拨款“三公”经费预算安排2.33万元，其中因公出国（境）费0.00万元；公务用车购置及运维费2.33万元（其中：公务用车购置费为0.00万元，公务用车运维费2.33万元)；公务接待费0.00万元。与2025年相比减少0.07万元，增减变化的主要原因是公务用车严格执行相关制度，厉行节约，公务用车购置及运维费减少0.07万元。</w:t>
      </w:r>
    </w:p>
    <w:p>
      <w:pPr>
        <w:spacing w:before="10" w:after="10" w:line="360" w:lineRule="auto"/>
        <w:ind w:firstLine="640"/>
        <w:jc w:val="left"/>
        <w:outlineLvl w:val="2"/>
      </w:pPr>
      <w:bookmarkStart w:id="13" w:name="_Toc_3_3_0000000014"/>
      <w:r>
        <w:rPr>
          <w:rFonts w:ascii="黑体" w:eastAsia="黑体" w:hAnsi="黑体" w:cs="黑体"/>
          <w:color w:val="000000"/>
          <w:sz w:val="32"/>
        </w:rPr>
        <w:t xml:space="preserve">五、部门整体绩效目标</w:t>
      </w:r>
      <w:bookmarkEnd w:id="13"/>
    </w:p>
    <w:p>
      <w:pPr>
        <w:spacing w:before="0" w:after="0" w:line="500" w:lineRule="exact"/>
        <w:ind w:firstLine="560"/>
        <w:jc w:val="left"/>
        <w:outlineLvl w:val="9"/>
      </w:pPr>
      <w:r>
        <w:rPr>
          <w:rFonts w:ascii="Times New Roman" w:eastAsia="方正仿宋_GBK" w:hAnsi="Times New Roman" w:cs="Times New Roman"/>
          <w:color w:val="000000"/>
          <w:sz w:val="28"/>
        </w:rPr>
        <w:t xml:space="preserve">（一）总体绩效目标</w:t>
      </w:r>
    </w:p>
    <w:p>
      <w:pPr>
        <w:pStyle w:val="插入文本样式-插入总体目标文件"/>
      </w:pPr>
      <w:r>
        <w:t xml:space="preserve">以习近平新时代中国特色社会主义思想和党的二十大精神为指导，持续把防范化解重大风险贯穿2026年工作始终，围绕服务和保障我市高质量发展，着力抓好司法改革、维护稳定、扫黑除恶、司法公正、社会治安综合治理、政法党建等重点工作，不断深化平安新乐建设、法治新乐建设、过硬队伍建设和政法智能化建设，全市城乡网格化管理覆盖率不低于90%，安保任务完成率不低于80%，大要案破案率、审结率不低于95%，涉法涉诉案件化解率不低于85%，不断提高人民群众的获得感、幸福感、安全感。 </w:t>
      </w:r>
    </w:p>
    <w:p>
      <w:pPr>
        <w:pStyle w:val="插入文本样式-插入总体目标文件"/>
      </w:pPr>
    </w:p>
    <w:p>
      <w:pPr>
        <w:spacing w:before="0" w:after="0" w:line="500" w:lineRule="exact"/>
        <w:ind w:firstLine="560"/>
        <w:jc w:val="left"/>
        <w:outlineLvl w:val="9"/>
      </w:pPr>
      <w:r>
        <w:rPr>
          <w:rFonts w:ascii="Times New Roman" w:eastAsia="方正仿宋_GBK" w:hAnsi="Times New Roman" w:cs="Times New Roman"/>
          <w:color w:val="000000"/>
          <w:sz w:val="28"/>
        </w:rPr>
        <w:t xml:space="preserve">（二）分项绩效目标</w:t>
      </w:r>
    </w:p>
    <w:p>
      <w:pPr>
        <w:pStyle w:val="插入文本样式-插入职责分类绩效目标文件"/>
      </w:pPr>
      <w:r>
        <w:t xml:space="preserve">1、加强社会治安综合治理 </w:t>
      </w:r>
    </w:p>
    <w:p>
      <w:pPr>
        <w:pStyle w:val="插入文本样式-插入职责分类绩效目标文件"/>
      </w:pPr>
      <w:r>
        <w:t xml:space="preserve">绩效目标：提升平安建设水平，维护社会稳定。夯实综治工作基础，培树工作典型。提升综治维稳工作能力，增强 人民群众获得感、幸福感、安全感。</w:t>
      </w:r>
    </w:p>
    <w:p>
      <w:pPr>
        <w:pStyle w:val="插入文本样式-插入职责分类绩效目标文件"/>
      </w:pPr>
      <w:r>
        <w:t xml:space="preserve">绩效指标：每季度至少 1 次开展社会治安稳定形势分析研判；全市城乡网格化管理覆盖率达到 90%及以上，矛盾纠纷排查率达到 95%及以上，重点人员管控率达到 90%及以上； 中央、省、市开展群众安全感满意度达到 90%及以上；进一步全面推进“平安社区”“平安村”创建，推动管理和服务下沉，着力打通联系服务群众“最后一公里”。</w:t>
      </w:r>
    </w:p>
    <w:p>
      <w:pPr>
        <w:pStyle w:val="插入文本样式-插入职责分类绩效目标文件"/>
      </w:pPr>
      <w:r>
        <w:t xml:space="preserve">2、维护全市社会稳定和政治安定</w:t>
      </w:r>
    </w:p>
    <w:p>
      <w:pPr>
        <w:pStyle w:val="插入文本样式-插入职责分类绩效目标文件"/>
      </w:pPr>
      <w:r>
        <w:t xml:space="preserve">绩效目标：加强组织领导，与公安等市直部门，以及省、市、我市各政法部门密切协作，维护全市社会稳定和政治安定。</w:t>
      </w:r>
    </w:p>
    <w:p>
      <w:pPr>
        <w:pStyle w:val="插入文本样式-插入职责分类绩效目标文件"/>
      </w:pPr>
      <w:r>
        <w:t xml:space="preserve">绩效指标：做好敏感时间节点和重大活动期间的安保工作，安保活动圆满完成情况占比达到 80%以上；有效防范化 解影响社会稳定的群体性事件，协调指导做好已发生群体性的化解处置工作，协调督导事项化解率达到 85%以上；关注 重点涉众群体维稳及舆情，涉稳舆情案件化解占涉稳舆情案件比例达到 90%以上，有力维护社会公平正义，保障人民安居乐业。 </w:t>
      </w:r>
    </w:p>
    <w:p>
      <w:pPr>
        <w:pStyle w:val="插入文本样式-插入职责分类绩效目标文件"/>
      </w:pPr>
      <w:r>
        <w:t xml:space="preserve">3、维护司法公正</w:t>
      </w:r>
    </w:p>
    <w:p>
      <w:pPr>
        <w:pStyle w:val="插入文本样式-插入职责分类绩效目标文件"/>
      </w:pPr>
      <w:r>
        <w:t xml:space="preserve">绩效目标：确保政法部门各项办案任务顺利完成，有效打击各种犯罪和涉黑涉恶活动，维护正常的社会秩序、经济秩序和国家安全。 </w:t>
      </w:r>
    </w:p>
    <w:p>
      <w:pPr>
        <w:pStyle w:val="插入文本样式-插入职责分类绩效目标文件"/>
      </w:pPr>
      <w:r>
        <w:t xml:space="preserve">绩效指标：协调督导各级政法部门及时侦破、限期办结大案要案、涉黑涉恶案件等，提高办案效率，破案率、审结 率达到 95%，有效打击各种犯罪活动，维护社会正常秩序； </w:t>
      </w:r>
    </w:p>
    <w:p>
      <w:pPr>
        <w:pStyle w:val="插入文本样式-插入职责分类绩效目标文件"/>
      </w:pPr>
      <w:r>
        <w:t xml:space="preserve">4、提升综治中心实战应用水平 </w:t>
      </w:r>
    </w:p>
    <w:p>
      <w:pPr>
        <w:pStyle w:val="插入文本样式-插入职责分类绩效目标文件"/>
      </w:pPr>
      <w:r>
        <w:t xml:space="preserve">绩效目标：开展视频巡查巡视，提升综治中心实战应用水平。</w:t>
      </w:r>
    </w:p>
    <w:p>
      <w:pPr>
        <w:pStyle w:val="插入文本样式-插入职责分类绩效目标文件"/>
      </w:pPr>
      <w:r>
        <w:t xml:space="preserve">绩效指标：每月至少开展 1 次视频值守，每月至少开展 1 次综治信息系统维护，开展会议、值班备勤等日常工作不 少于 4 次；中央、省、市开展群众安全感满意度达到 90%及以上。</w:t>
      </w:r>
    </w:p>
    <w:p>
      <w:pPr>
        <w:spacing w:before="0" w:after="0" w:line="500" w:lineRule="exact"/>
        <w:ind w:firstLine="560"/>
        <w:jc w:val="left"/>
        <w:outlineLvl w:val="9"/>
      </w:pPr>
      <w:r>
        <w:rPr>
          <w:rFonts w:ascii="Times New Roman" w:eastAsia="方正仿宋_GBK" w:hAnsi="Times New Roman" w:cs="Times New Roman"/>
          <w:color w:val="000000"/>
          <w:sz w:val="28"/>
        </w:rPr>
        <w:t xml:space="preserve">（三）工作保障措施</w:t>
      </w:r>
    </w:p>
    <w:p>
      <w:pPr>
        <w:pStyle w:val="插入文本样式-插入实现年度发展规划目标的保障措施文件"/>
      </w:pPr>
      <w:r>
        <w:t xml:space="preserve">1、加强制度建设。建立健全机关预算绩效管理制度，为全年预算绩效目标的实现奠定制度基础。</w:t>
      </w:r>
    </w:p>
    <w:p>
      <w:pPr>
        <w:pStyle w:val="插入文本样式-插入实现年度发展规划目标的保障措施文件"/>
      </w:pPr>
      <w:r>
        <w:t xml:space="preserve">2、规范财务管理。进一步完善财务管理制度，通过科学编制预算、优化支出结构、加快政府采购、加快项目建设、及时拨付资金，确保经费支出进度达到规定标准。</w:t>
      </w:r>
    </w:p>
    <w:p>
      <w:pPr>
        <w:pStyle w:val="插入文本样式-插入实现年度发展规划目标的保障措施文件"/>
      </w:pPr>
      <w:r>
        <w:t xml:space="preserve">3、加强内部监督。加强内部监督制度建设，对绩效运行、重大支出事项、资产处置及其他重要经济业务事项决策和执行进行监督，定期开展财务内部审计，确保财政资金使用安全合规。</w:t>
      </w:r>
    </w:p>
    <w:p>
      <w:pPr>
        <w:pStyle w:val="插入文本样式-插入实现年度发展规划目标的保障措施文件"/>
      </w:pPr>
      <w:r>
        <w:t xml:space="preserve">4、加强绩效监控。积极开展绩效运行监控，发现问题及时采取措施，确保绩效目标如期保质实现。</w:t>
      </w:r>
    </w:p>
    <w:p>
      <w:pPr>
        <w:pStyle w:val="插入文本样式-插入实现年度发展规划目标的保障措施文件"/>
      </w:pPr>
      <w:r>
        <w:t xml:space="preserve">5、做好绩效自评。按要求开展部门预算绩效自评和重点项目评价工作，对评价中发现的问题及时整改。</w:t>
      </w:r>
    </w:p>
    <w:p>
      <w:pPr>
        <w:pStyle w:val="插入文本样式-插入实现年度发展规划目标的保障措施文件"/>
      </w:pPr>
      <w:r>
        <w:t xml:space="preserve">6、加强宣传培训。加强人员培训，加大宣传力度，强化预算绩效管理意识，促进预算绩效管理水平提升。</w:t>
      </w:r>
    </w:p>
    <w:p>
      <w:pPr>
        <w:pStyle w:val="插入文本样式-插入实现年度发展规划目标的保障措施文件"/>
        <w:sectPr>
          <w:type w:val="nextPage"/>
          <w:pgSz w:w="16840" w:h="11900" w:orient="landscape"/>
          <w:pgMar w:top="1361" w:right="1020" w:bottom="1361" w:left="1020" w:header="720" w:footer="720" w:gutter="0"/>
        </w:sectPr>
      </w:pPr>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4" w:name="_Toc_3_3_0000000015"/>
      <w:r>
        <w:rPr>
          <w:rFonts w:ascii="黑体" w:eastAsia="黑体" w:hAnsi="黑体" w:cs="黑体"/>
          <w:color w:val="000000"/>
          <w:sz w:val="32"/>
        </w:rPr>
        <w:t xml:space="preserve">六、部门主管专项资金预算安排情况及绩效目标</w:t>
      </w:r>
      <w:bookmarkEnd w:id="14"/>
    </w:p>
    <w:p>
      <w:pPr>
        <w:spacing w:before="10" w:after="10" w:line="360" w:lineRule="auto"/>
        <w:ind w:firstLine="640"/>
        <w:jc w:val="left"/>
        <w:outlineLvl w:val="2"/>
        <w:sectPr>
          <w:type w:val="nextPage"/>
          <w:pgSz w:w="16840" w:h="11900" w:orient="landscape"/>
          <w:pgMar w:top="1361" w:right="1020" w:bottom="1134" w:left="1020" w:header="720" w:footer="720" w:gutter="0"/>
        </w:sectPr>
      </w:pPr>
      <w:bookmarkStart w:id="15" w:name="_Toc_3_3_0000000016"/>
      <w:r>
        <w:rPr>
          <w:rFonts w:ascii="黑体" w:eastAsia="黑体" w:hAnsi="黑体" w:cs="黑体"/>
          <w:color w:val="000000"/>
          <w:sz w:val="32"/>
        </w:rPr>
        <w:t xml:space="preserve">七、部门项目预算安排情况及绩效目标</w:t>
      </w:r>
      <w:bookmarkEnd w:id="15"/>
    </w:p>
    <w:p>
      <w:pPr>
        <w:spacing w:before="0" w:after="0"/>
        <w:ind w:firstLine="560"/>
        <w:jc w:val="left"/>
        <w:outlineLvl w:val="9"/>
      </w:pPr>
      <w:r>
        <w:rPr>
          <w:rFonts w:ascii="方正仿宋_GBK" w:eastAsia="方正仿宋_GBK" w:hAnsi="方正仿宋_GBK" w:cs="方正仿宋_GBK"/>
          <w:color w:val="000000"/>
          <w:sz w:val="28"/>
        </w:rPr>
        <w:t xml:space="preserve">1、冀财政法【2025】43号-提前下达2026年中央政法纪检监察转移支付资金绩效目标表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13018426P000090100038</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冀财政法【2025】43号-提前下达2026年中央政法纪检监察转移支付资金</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开展国家司法救助，实现国家司法救助工作制度化、规范化，对受到侵害但无法获得有效赔偿的当事人，由国家给予适当经济资助，帮助他们摆脱生活困境。</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7.00</w:t>
            </w:r>
          </w:p>
        </w:tc>
        <w:tc>
          <w:tcPr>
            <w:tcW w:w="2835" w:type="dxa"/>
            <w:vAlign w:val="center"/>
          </w:tcPr>
          <w:p>
            <w:pPr>
              <w:pStyle w:val="单元格样式3"/>
            </w:pPr>
            <w:r>
              <w:t xml:space="preserve">15.00</w:t>
            </w:r>
          </w:p>
        </w:tc>
        <w:tc>
          <w:tcPr>
            <w:tcW w:w="2551" w:type="dxa"/>
            <w:vAlign w:val="center"/>
          </w:tcPr>
          <w:p>
            <w:pPr>
              <w:pStyle w:val="单元格样式3"/>
            </w:pPr>
            <w:r>
              <w:t xml:space="preserve">22.00</w:t>
            </w:r>
          </w:p>
        </w:tc>
        <w:tc>
          <w:tcPr>
            <w:tcW w:w="3544" w:type="dxa"/>
            <w:gridSpan w:val="2"/>
            <w:vAlign w:val="center"/>
          </w:tcPr>
          <w:p>
            <w:pPr>
              <w:pStyle w:val="单元格样式3"/>
            </w:pPr>
            <w:r>
              <w:t xml:space="preserve">27.00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 通过落实国家司法救助，解决当事人的实际困难，促进社会和谐。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救助案件数</w:t>
            </w:r>
          </w:p>
        </w:tc>
        <w:tc>
          <w:tcPr>
            <w:tcW w:w="5386" w:type="dxa"/>
            <w:vAlign w:val="center"/>
          </w:tcPr>
          <w:p>
            <w:pPr>
              <w:pStyle w:val="单元格样式2"/>
            </w:pPr>
            <w:r>
              <w:t xml:space="preserve">获得国家司法救助的案件数量</w:t>
            </w:r>
          </w:p>
        </w:tc>
        <w:tc>
          <w:tcPr>
            <w:tcW w:w="2268" w:type="dxa"/>
            <w:vAlign w:val="center"/>
          </w:tcPr>
          <w:p>
            <w:pPr>
              <w:pStyle w:val="单元格样式2"/>
            </w:pPr>
            <w:r>
              <w:t xml:space="preserve">≥1救助案件数量</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被救助人息诉罢访率</w:t>
            </w:r>
          </w:p>
        </w:tc>
        <w:tc>
          <w:tcPr>
            <w:tcW w:w="5386" w:type="dxa"/>
            <w:vAlign w:val="center"/>
          </w:tcPr>
          <w:p>
            <w:pPr>
              <w:pStyle w:val="单元格样式2"/>
            </w:pPr>
            <w:r>
              <w:t xml:space="preserve">被救助人息诉罢访率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按时拨付资金</w:t>
            </w:r>
          </w:p>
        </w:tc>
        <w:tc>
          <w:tcPr>
            <w:tcW w:w="5386" w:type="dxa"/>
            <w:vAlign w:val="center"/>
          </w:tcPr>
          <w:p>
            <w:pPr>
              <w:pStyle w:val="单元格样式2"/>
            </w:pPr>
            <w:r>
              <w:t xml:space="preserve">按时拨付资金</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救助资金使用率</w:t>
            </w:r>
          </w:p>
        </w:tc>
        <w:tc>
          <w:tcPr>
            <w:tcW w:w="5386" w:type="dxa"/>
            <w:vAlign w:val="center"/>
          </w:tcPr>
          <w:p>
            <w:pPr>
              <w:pStyle w:val="单元格样式2"/>
            </w:pPr>
            <w:r>
              <w:t xml:space="preserve">救助资金使用率</w:t>
            </w:r>
          </w:p>
        </w:tc>
        <w:tc>
          <w:tcPr>
            <w:tcW w:w="2268" w:type="dxa"/>
            <w:vAlign w:val="center"/>
          </w:tcPr>
          <w:p>
            <w:pPr>
              <w:pStyle w:val="单元格样式2"/>
            </w:pPr>
            <w:r>
              <w:t xml:space="preserve">≥95百分比</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促进社会和谐稳定</w:t>
            </w:r>
          </w:p>
        </w:tc>
        <w:tc>
          <w:tcPr>
            <w:tcW w:w="5386" w:type="dxa"/>
            <w:vAlign w:val="center"/>
          </w:tcPr>
          <w:p>
            <w:pPr>
              <w:pStyle w:val="单元格样式2"/>
            </w:pPr>
            <w:r>
              <w:t xml:space="preserve">促进社会和谐稳定</w:t>
            </w:r>
          </w:p>
        </w:tc>
        <w:tc>
          <w:tcPr>
            <w:tcW w:w="2268" w:type="dxa"/>
            <w:vAlign w:val="center"/>
          </w:tcPr>
          <w:p>
            <w:pPr>
              <w:pStyle w:val="单元格样式2"/>
            </w:pPr>
            <w:r>
              <w:t xml:space="preserve">通过救助困难人员，体现党和政府关心，利于社会良性发展。</w:t>
            </w:r>
          </w:p>
        </w:tc>
        <w:tc>
          <w:tcPr>
            <w:tcW w:w="1276" w:type="dxa"/>
            <w:vAlign w:val="center"/>
          </w:tcPr>
          <w:p>
            <w:pPr>
              <w:pStyle w:val="单元格样式2"/>
            </w:pPr>
            <w:r>
              <w:t xml:space="preserve">事实依据</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事实依据</w:t>
            </w:r>
          </w:p>
        </w:tc>
      </w:tr>
    </w:tbl>
    <w:p>
      <w:pPr>
        <w:sectPr>
          <w:type w:val="continuous"/>
          <w:pgSz w:w="16840" w:h="11900" w:orient="landscape"/>
          <w:pgMar w:top="1361" w:right="1020" w:bottom="1134" w:left="1020" w:header="720" w:footer="720" w:gutter="0"/>
        </w:sectPr>
      </w:pPr>
    </w:p>
    <w:p>
      <w:pPr>
        <w:spacing w:before="10" w:after="10" w:line="240" w:lineRule="auto"/>
        <w:ind w:firstLine="640"/>
        <w:jc w:val="left"/>
        <w:outlineLvl w:val="2"/>
      </w:pPr>
      <w:bookmarkStart w:id="16" w:name="_Toc_3_3_0000000017"/>
      <w:r>
        <w:rPr>
          <w:rFonts w:ascii="黑体" w:eastAsia="黑体" w:hAnsi="黑体" w:cs="黑体"/>
          <w:color w:val="000000"/>
          <w:sz w:val="32"/>
        </w:rPr>
        <w:t xml:space="preserve">八、政府采购预算情况</w:t>
      </w:r>
      <w:bookmarkEnd w:id="16"/>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hAnsi="黑体" w:cs="黑体"/>
          <w:color w:val="000000"/>
          <w:sz w:val="32"/>
        </w:rPr>
        <w:t xml:space="preserve">九、国有资产信息</w:t>
      </w:r>
      <w:bookmarkEnd w:id="17"/>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新乐市政法委（含所属单位）上年末固定资产金额为3202.21万元（详见下表）。本年度拟购置固定资产总额为0.00万元，已按要求列入政府采购预算，详见政府采购预算表。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部门固定资产占用情况表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216新乐市政法委</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3202.21</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1</w:t>
            </w:r>
          </w:p>
        </w:tc>
        <w:tc>
          <w:tcPr>
            <w:tcW w:w="2835" w:type="dxa"/>
            <w:vAlign w:val="center"/>
          </w:tcPr>
          <w:p>
            <w:pPr>
              <w:pStyle w:val="单元格样式4"/>
            </w:pPr>
            <w:r>
              <w:t xml:space="preserve">14.98</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274</w:t>
            </w:r>
          </w:p>
        </w:tc>
        <w:tc>
          <w:tcPr>
            <w:tcW w:w="2835" w:type="dxa"/>
            <w:vAlign w:val="center"/>
          </w:tcPr>
          <w:p>
            <w:pPr>
              <w:pStyle w:val="单元格样式4"/>
            </w:pPr>
            <w:r>
              <w:t xml:space="preserve">3187.23</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2"/>
      </w:pPr>
      <w:bookmarkStart w:id="18" w:name="_Toc_3_3_0000000019"/>
      <w:r>
        <w:rPr>
          <w:rFonts w:ascii="黑体" w:eastAsia="黑体" w:hAnsi="黑体" w:cs="黑体"/>
          <w:color w:val="000000"/>
          <w:sz w:val="32"/>
        </w:rPr>
        <w:t xml:space="preserve">十、名词解释</w:t>
      </w:r>
      <w:bookmarkEnd w:id="18"/>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部门预算支出：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eastAsia="黑体" w:hAnsi="黑体" w:cs="黑体"/>
          <w:color w:val="000000"/>
          <w:sz w:val="32"/>
        </w:rPr>
        <w:t xml:space="preserve">十一、其他需要说明的事项</w:t>
      </w:r>
      <w:bookmarkEnd w:id="19"/>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我部门无其他需要说明的事项。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26</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27</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paragraph" w:styleId="单元格样式22">
    <w:name w:val="单元格样式22"/>
    <w:basedOn w:val="Normal"/>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basedOn w:val="Normal"/>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basedOn w:val="Normal"/>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basedOn w:val="Normal"/>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basedOn w:val="Normal"/>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basedOn w:val="Normal"/>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basedOn w:val="Normal"/>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basedOn w:val="Normal"/>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basedOn w:val="Normal"/>
    <w:qFormat/>
    <w:pPr>
      <w:spacing w:before="0" w:after="0"/>
      <w:ind w:firstLine="0"/>
      <w:jc w:val="left"/>
      <w:outlineLvl w:val="9"/>
    </w:pPr>
    <w:rPr>
      <w:rFonts w:ascii="方正书宋_GBK" w:eastAsia="方正书宋_GBK" w:hAnsi="方正书宋_GBK" w:cs="方正书宋_GBK"/>
      <w:b/>
      <w:sz w:val="21"/>
    </w:rPr>
  </w:style>
  <w:style w:type="paragraph" w:styleId="插入文本样式-插入预算公开部门职责文件">
    <w:name w:val="插入文本样式-插入预算公开部门职责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预算安排的总体情况文件">
    <w:name w:val="插入文本样式-插入预算公开部门预算安排的总体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机关运行经费安排情况文件">
    <w:name w:val="插入文本样式-插入预算公开部门机关运行经费安排情况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部门财政拨款三公经费预算情况及增减变化原因文件">
    <w:name w:val="插入文本样式-插入预算公开部门财政拨款三公经费预算情况及增减变化原因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总体目标文件">
    <w:name w:val="插入文本样式-插入总体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职责分类绩效目标文件">
    <w:name w:val="插入文本样式-插入职责分类绩效目标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实现年度发展规划目标的保障措施文件">
    <w:name w:val="插入文本样式-插入实现年度发展规划目标的保障措施文件"/>
    <w:basedOn w:val="Normal"/>
    <w:qFormat/>
    <w:pPr>
      <w:spacing w:before="0" w:after="0" w:line="500" w:lineRule="exact"/>
      <w:ind w:firstLine="560"/>
      <w:jc w:val="left"/>
      <w:outlineLvl w:val="9"/>
    </w:pPr>
    <w:rPr>
      <w:rFonts w:ascii="Times New Roman" w:eastAsia="方正仿宋_GBK" w:hAnsi="Times New Roman" w:cs="Times New Roman"/>
      <w:sz w:val="28"/>
    </w:rPr>
  </w:style>
  <w:style w:type="character" w:default="1" w:styleId="DefaultParagraphFont">
    <w:name w:val="Default Paragraph Font"/>
    <w:uiPriority w:val="1"/>
    <w:semiHidden/>
    <w:unhideWhenUsed/>
  </w:style>
  <w:style w:type="numbering" w:default="1" w:styleId="NoList">
    <w:name w:val="No List"/>
    <w:uiPriority w:val="99"/>
    <w:semiHidden/>
    <w:unhideWhenUsed/>
  </w:style>
  <w:style w:type="table" w:styleId="TableGrid">
    <w:name w:val="Table Grid"/>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2">
    <w:name w:val="TOC 2"/>
    <w:basedOn w:val="Normal"/>
    <w:qFormat/>
    <w:pPr>
      <w:ind w:left="240"/>
    </w:pPr>
  </w:style>
  <w:style w:type="paragraph" w:styleId="TOC3">
    <w:name w:val="TOC 3"/>
    <w:basedOn w:val="Normal"/>
    <w:qFormat/>
    <w:pPr>
      <w:ind w:left="48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29</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2026-03-04T11:06:39Z</dcterms:created>
  <dcterms:modified xsi:type="dcterms:W3CDTF">2026-03-04T11:06:39Z</dcterms:modified>
</cp:coreProperties>
</file>