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一、新乐市委统战部本级收支预算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一、新乐市委统战部本级收支预算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213001新乐市委统战部本级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210.68</w:t>
            </w:r>
          </w:p>
        </w:tc>
        <w:tc>
          <w:tcPr>
            <w:tcW w:w="4535" w:type="dxa"/>
            <w:vAlign w:val="center"/>
          </w:tcPr>
          <w:p>
            <w:pPr>
              <w:pStyle w:val="12"/>
            </w:pPr>
            <w:r>
              <w:t>一、一般公共服务支出</w:t>
            </w:r>
          </w:p>
        </w:tc>
        <w:tc>
          <w:tcPr>
            <w:tcW w:w="2126" w:type="dxa"/>
            <w:vAlign w:val="center"/>
          </w:tcPr>
          <w:p>
            <w:pPr>
              <w:pStyle w:val="11"/>
            </w:pPr>
            <w:r>
              <w:t>140.92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210.68</w:t>
            </w:r>
          </w:p>
        </w:tc>
        <w:tc>
          <w:tcPr>
            <w:tcW w:w="4535" w:type="dxa"/>
            <w:vAlign w:val="center"/>
          </w:tcPr>
          <w:p>
            <w:pPr>
              <w:pStyle w:val="14"/>
            </w:pPr>
            <w:r>
              <w:t>本年支出合计</w:t>
            </w:r>
          </w:p>
        </w:tc>
        <w:tc>
          <w:tcPr>
            <w:tcW w:w="2126" w:type="dxa"/>
            <w:vAlign w:val="center"/>
          </w:tcPr>
          <w:p>
            <w:pPr>
              <w:pStyle w:val="15"/>
            </w:pPr>
            <w:r>
              <w:t>210.68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210.68</w:t>
            </w:r>
          </w:p>
        </w:tc>
        <w:tc>
          <w:tcPr>
            <w:tcW w:w="4535" w:type="dxa"/>
            <w:vAlign w:val="center"/>
          </w:tcPr>
          <w:p>
            <w:pPr>
              <w:pStyle w:val="14"/>
            </w:pPr>
            <w:r>
              <w:t>支出总计</w:t>
            </w:r>
          </w:p>
        </w:tc>
        <w:tc>
          <w:tcPr>
            <w:tcW w:w="2126" w:type="dxa"/>
            <w:vAlign w:val="center"/>
          </w:tcPr>
          <w:p>
            <w:pPr>
              <w:pStyle w:val="15"/>
            </w:pPr>
            <w:r>
              <w:t>210.68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213001新乐市委统战部本级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210.68</w:t>
            </w:r>
          </w:p>
        </w:tc>
        <w:tc>
          <w:tcPr>
            <w:tcW w:w="1134" w:type="dxa"/>
            <w:vAlign w:val="center"/>
          </w:tcPr>
          <w:p>
            <w:pPr>
              <w:pStyle w:val="15"/>
            </w:pPr>
            <w:r>
              <w:t>210.68</w:t>
            </w:r>
          </w:p>
        </w:tc>
        <w:tc>
          <w:tcPr>
            <w:tcW w:w="1134" w:type="dxa"/>
            <w:vAlign w:val="center"/>
          </w:tcPr>
          <w:p>
            <w:pPr>
              <w:pStyle w:val="15"/>
            </w:pPr>
            <w:r>
              <w:t>210.68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140.92</w:t>
            </w:r>
          </w:p>
        </w:tc>
        <w:tc>
          <w:tcPr>
            <w:tcW w:w="1134" w:type="dxa"/>
            <w:vAlign w:val="center"/>
          </w:tcPr>
          <w:p>
            <w:pPr>
              <w:pStyle w:val="11"/>
            </w:pPr>
            <w:r>
              <w:t>140.92</w:t>
            </w:r>
          </w:p>
        </w:tc>
        <w:tc>
          <w:tcPr>
            <w:tcW w:w="1134" w:type="dxa"/>
            <w:vAlign w:val="center"/>
          </w:tcPr>
          <w:p>
            <w:pPr>
              <w:pStyle w:val="11"/>
            </w:pPr>
            <w:r>
              <w:t>140.92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140.92</w:t>
            </w:r>
          </w:p>
        </w:tc>
        <w:tc>
          <w:tcPr>
            <w:tcW w:w="1134" w:type="dxa"/>
            <w:vAlign w:val="center"/>
          </w:tcPr>
          <w:p>
            <w:pPr>
              <w:pStyle w:val="11"/>
            </w:pPr>
            <w:r>
              <w:t>140.92</w:t>
            </w:r>
          </w:p>
        </w:tc>
        <w:tc>
          <w:tcPr>
            <w:tcW w:w="1134" w:type="dxa"/>
            <w:vAlign w:val="center"/>
          </w:tcPr>
          <w:p>
            <w:pPr>
              <w:pStyle w:val="11"/>
            </w:pPr>
            <w:r>
              <w:t>140.92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140.92</w:t>
            </w:r>
          </w:p>
        </w:tc>
        <w:tc>
          <w:tcPr>
            <w:tcW w:w="1134" w:type="dxa"/>
            <w:vAlign w:val="center"/>
          </w:tcPr>
          <w:p>
            <w:pPr>
              <w:pStyle w:val="11"/>
            </w:pPr>
            <w:r>
              <w:t>140.92</w:t>
            </w:r>
          </w:p>
        </w:tc>
        <w:tc>
          <w:tcPr>
            <w:tcW w:w="1134" w:type="dxa"/>
            <w:vAlign w:val="center"/>
          </w:tcPr>
          <w:p>
            <w:pPr>
              <w:pStyle w:val="11"/>
            </w:pPr>
            <w:r>
              <w:t>140.92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47.03</w:t>
            </w:r>
          </w:p>
        </w:tc>
        <w:tc>
          <w:tcPr>
            <w:tcW w:w="1134" w:type="dxa"/>
            <w:vAlign w:val="center"/>
          </w:tcPr>
          <w:p>
            <w:pPr>
              <w:pStyle w:val="11"/>
            </w:pPr>
            <w:r>
              <w:t>47.03</w:t>
            </w:r>
          </w:p>
        </w:tc>
        <w:tc>
          <w:tcPr>
            <w:tcW w:w="1134" w:type="dxa"/>
            <w:vAlign w:val="center"/>
          </w:tcPr>
          <w:p>
            <w:pPr>
              <w:pStyle w:val="11"/>
            </w:pPr>
            <w:r>
              <w:t>47.03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44.05</w:t>
            </w:r>
          </w:p>
        </w:tc>
        <w:tc>
          <w:tcPr>
            <w:tcW w:w="1134" w:type="dxa"/>
            <w:vAlign w:val="center"/>
          </w:tcPr>
          <w:p>
            <w:pPr>
              <w:pStyle w:val="11"/>
            </w:pPr>
            <w:r>
              <w:t>44.05</w:t>
            </w:r>
          </w:p>
        </w:tc>
        <w:tc>
          <w:tcPr>
            <w:tcW w:w="1134" w:type="dxa"/>
            <w:vAlign w:val="center"/>
          </w:tcPr>
          <w:p>
            <w:pPr>
              <w:pStyle w:val="11"/>
            </w:pPr>
            <w:r>
              <w:t>44.05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27.51</w:t>
            </w:r>
          </w:p>
        </w:tc>
        <w:tc>
          <w:tcPr>
            <w:tcW w:w="1134" w:type="dxa"/>
            <w:vAlign w:val="center"/>
          </w:tcPr>
          <w:p>
            <w:pPr>
              <w:pStyle w:val="11"/>
            </w:pPr>
            <w:r>
              <w:t>27.51</w:t>
            </w:r>
          </w:p>
        </w:tc>
        <w:tc>
          <w:tcPr>
            <w:tcW w:w="1134" w:type="dxa"/>
            <w:vAlign w:val="center"/>
          </w:tcPr>
          <w:p>
            <w:pPr>
              <w:pStyle w:val="11"/>
            </w:pPr>
            <w:r>
              <w:t>27.51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16.54</w:t>
            </w:r>
          </w:p>
        </w:tc>
        <w:tc>
          <w:tcPr>
            <w:tcW w:w="1134" w:type="dxa"/>
            <w:vAlign w:val="center"/>
          </w:tcPr>
          <w:p>
            <w:pPr>
              <w:pStyle w:val="11"/>
            </w:pPr>
            <w:r>
              <w:t>16.54</w:t>
            </w:r>
          </w:p>
        </w:tc>
        <w:tc>
          <w:tcPr>
            <w:tcW w:w="1134" w:type="dxa"/>
            <w:vAlign w:val="center"/>
          </w:tcPr>
          <w:p>
            <w:pPr>
              <w:pStyle w:val="11"/>
            </w:pPr>
            <w:r>
              <w:t>16.54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2.33</w:t>
            </w:r>
          </w:p>
        </w:tc>
        <w:tc>
          <w:tcPr>
            <w:tcW w:w="1134" w:type="dxa"/>
            <w:vAlign w:val="center"/>
          </w:tcPr>
          <w:p>
            <w:pPr>
              <w:pStyle w:val="11"/>
            </w:pPr>
            <w:r>
              <w:t>2.33</w:t>
            </w:r>
          </w:p>
        </w:tc>
        <w:tc>
          <w:tcPr>
            <w:tcW w:w="1134" w:type="dxa"/>
            <w:vAlign w:val="center"/>
          </w:tcPr>
          <w:p>
            <w:pPr>
              <w:pStyle w:val="11"/>
            </w:pPr>
            <w:r>
              <w:t>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2.33</w:t>
            </w:r>
          </w:p>
        </w:tc>
        <w:tc>
          <w:tcPr>
            <w:tcW w:w="1134" w:type="dxa"/>
            <w:vAlign w:val="center"/>
          </w:tcPr>
          <w:p>
            <w:pPr>
              <w:pStyle w:val="11"/>
            </w:pPr>
            <w:r>
              <w:t>2.33</w:t>
            </w:r>
          </w:p>
        </w:tc>
        <w:tc>
          <w:tcPr>
            <w:tcW w:w="1134" w:type="dxa"/>
            <w:vAlign w:val="center"/>
          </w:tcPr>
          <w:p>
            <w:pPr>
              <w:pStyle w:val="11"/>
            </w:pPr>
            <w:r>
              <w:t>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7.71</w:t>
            </w:r>
          </w:p>
        </w:tc>
        <w:tc>
          <w:tcPr>
            <w:tcW w:w="1134" w:type="dxa"/>
            <w:vAlign w:val="center"/>
          </w:tcPr>
          <w:p>
            <w:pPr>
              <w:pStyle w:val="11"/>
            </w:pPr>
            <w:r>
              <w:t>7.71</w:t>
            </w:r>
          </w:p>
        </w:tc>
        <w:tc>
          <w:tcPr>
            <w:tcW w:w="1134" w:type="dxa"/>
            <w:vAlign w:val="center"/>
          </w:tcPr>
          <w:p>
            <w:pPr>
              <w:pStyle w:val="11"/>
            </w:pPr>
            <w:r>
              <w:t>7.71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7.71</w:t>
            </w:r>
          </w:p>
        </w:tc>
        <w:tc>
          <w:tcPr>
            <w:tcW w:w="1134" w:type="dxa"/>
            <w:vAlign w:val="center"/>
          </w:tcPr>
          <w:p>
            <w:pPr>
              <w:pStyle w:val="11"/>
            </w:pPr>
            <w:r>
              <w:t>7.71</w:t>
            </w:r>
          </w:p>
        </w:tc>
        <w:tc>
          <w:tcPr>
            <w:tcW w:w="1134" w:type="dxa"/>
            <w:vAlign w:val="center"/>
          </w:tcPr>
          <w:p>
            <w:pPr>
              <w:pStyle w:val="11"/>
            </w:pPr>
            <w:r>
              <w:t>7.71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7.71</w:t>
            </w:r>
          </w:p>
        </w:tc>
        <w:tc>
          <w:tcPr>
            <w:tcW w:w="1134" w:type="dxa"/>
            <w:vAlign w:val="center"/>
          </w:tcPr>
          <w:p>
            <w:pPr>
              <w:pStyle w:val="11"/>
            </w:pPr>
            <w:r>
              <w:t>7.71</w:t>
            </w:r>
          </w:p>
        </w:tc>
        <w:tc>
          <w:tcPr>
            <w:tcW w:w="1134" w:type="dxa"/>
            <w:vAlign w:val="center"/>
          </w:tcPr>
          <w:p>
            <w:pPr>
              <w:pStyle w:val="11"/>
            </w:pPr>
            <w:r>
              <w:t>7.71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15.02</w:t>
            </w:r>
          </w:p>
        </w:tc>
        <w:tc>
          <w:tcPr>
            <w:tcW w:w="1134" w:type="dxa"/>
            <w:vAlign w:val="center"/>
          </w:tcPr>
          <w:p>
            <w:pPr>
              <w:pStyle w:val="11"/>
            </w:pPr>
            <w:r>
              <w:t>15.02</w:t>
            </w:r>
          </w:p>
        </w:tc>
        <w:tc>
          <w:tcPr>
            <w:tcW w:w="1134" w:type="dxa"/>
            <w:vAlign w:val="center"/>
          </w:tcPr>
          <w:p>
            <w:pPr>
              <w:pStyle w:val="11"/>
            </w:pPr>
            <w:r>
              <w:t>15.02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15.02</w:t>
            </w:r>
          </w:p>
        </w:tc>
        <w:tc>
          <w:tcPr>
            <w:tcW w:w="1134" w:type="dxa"/>
            <w:vAlign w:val="center"/>
          </w:tcPr>
          <w:p>
            <w:pPr>
              <w:pStyle w:val="11"/>
            </w:pPr>
            <w:r>
              <w:t>15.02</w:t>
            </w:r>
          </w:p>
        </w:tc>
        <w:tc>
          <w:tcPr>
            <w:tcW w:w="1134" w:type="dxa"/>
            <w:vAlign w:val="center"/>
          </w:tcPr>
          <w:p>
            <w:pPr>
              <w:pStyle w:val="11"/>
            </w:pPr>
            <w:r>
              <w:t>15.02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15.02</w:t>
            </w:r>
          </w:p>
        </w:tc>
        <w:tc>
          <w:tcPr>
            <w:tcW w:w="1134" w:type="dxa"/>
            <w:vAlign w:val="center"/>
          </w:tcPr>
          <w:p>
            <w:pPr>
              <w:pStyle w:val="11"/>
            </w:pPr>
            <w:r>
              <w:t>15.02</w:t>
            </w:r>
          </w:p>
        </w:tc>
        <w:tc>
          <w:tcPr>
            <w:tcW w:w="1134" w:type="dxa"/>
            <w:vAlign w:val="center"/>
          </w:tcPr>
          <w:p>
            <w:pPr>
              <w:pStyle w:val="11"/>
            </w:pPr>
            <w:r>
              <w:t>15.02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213001新乐市委统战部本级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210.68</w:t>
            </w:r>
          </w:p>
        </w:tc>
        <w:tc>
          <w:tcPr>
            <w:tcW w:w="1361" w:type="dxa"/>
            <w:vAlign w:val="center"/>
          </w:tcPr>
          <w:p>
            <w:pPr>
              <w:pStyle w:val="15"/>
            </w:pPr>
            <w:r>
              <w:t>210.68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140.92</w:t>
            </w:r>
          </w:p>
        </w:tc>
        <w:tc>
          <w:tcPr>
            <w:tcW w:w="1361" w:type="dxa"/>
            <w:vAlign w:val="center"/>
          </w:tcPr>
          <w:p>
            <w:pPr>
              <w:pStyle w:val="11"/>
            </w:pPr>
            <w:r>
              <w:t>140.92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140.92</w:t>
            </w:r>
          </w:p>
        </w:tc>
        <w:tc>
          <w:tcPr>
            <w:tcW w:w="1361" w:type="dxa"/>
            <w:vAlign w:val="center"/>
          </w:tcPr>
          <w:p>
            <w:pPr>
              <w:pStyle w:val="11"/>
            </w:pPr>
            <w:r>
              <w:t>140.92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140.92</w:t>
            </w:r>
          </w:p>
        </w:tc>
        <w:tc>
          <w:tcPr>
            <w:tcW w:w="1361" w:type="dxa"/>
            <w:vAlign w:val="center"/>
          </w:tcPr>
          <w:p>
            <w:pPr>
              <w:pStyle w:val="11"/>
            </w:pPr>
            <w:r>
              <w:t>140.92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47.03</w:t>
            </w:r>
          </w:p>
        </w:tc>
        <w:tc>
          <w:tcPr>
            <w:tcW w:w="1361" w:type="dxa"/>
            <w:vAlign w:val="center"/>
          </w:tcPr>
          <w:p>
            <w:pPr>
              <w:pStyle w:val="11"/>
            </w:pPr>
            <w:r>
              <w:t>47.03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44.05</w:t>
            </w:r>
          </w:p>
        </w:tc>
        <w:tc>
          <w:tcPr>
            <w:tcW w:w="1361" w:type="dxa"/>
            <w:vAlign w:val="center"/>
          </w:tcPr>
          <w:p>
            <w:pPr>
              <w:pStyle w:val="11"/>
            </w:pPr>
            <w:r>
              <w:t>44.05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27.51</w:t>
            </w:r>
          </w:p>
        </w:tc>
        <w:tc>
          <w:tcPr>
            <w:tcW w:w="1361" w:type="dxa"/>
            <w:vAlign w:val="center"/>
          </w:tcPr>
          <w:p>
            <w:pPr>
              <w:pStyle w:val="11"/>
            </w:pPr>
            <w:r>
              <w:t>27.51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16.54</w:t>
            </w:r>
          </w:p>
        </w:tc>
        <w:tc>
          <w:tcPr>
            <w:tcW w:w="1361" w:type="dxa"/>
            <w:vAlign w:val="center"/>
          </w:tcPr>
          <w:p>
            <w:pPr>
              <w:pStyle w:val="11"/>
            </w:pPr>
            <w:r>
              <w:t>16.54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2.33</w:t>
            </w:r>
          </w:p>
        </w:tc>
        <w:tc>
          <w:tcPr>
            <w:tcW w:w="1361" w:type="dxa"/>
            <w:vAlign w:val="center"/>
          </w:tcPr>
          <w:p>
            <w:pPr>
              <w:pStyle w:val="11"/>
            </w:pPr>
            <w:r>
              <w:t>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2.33</w:t>
            </w:r>
          </w:p>
        </w:tc>
        <w:tc>
          <w:tcPr>
            <w:tcW w:w="1361" w:type="dxa"/>
            <w:vAlign w:val="center"/>
          </w:tcPr>
          <w:p>
            <w:pPr>
              <w:pStyle w:val="11"/>
            </w:pPr>
            <w:r>
              <w:t>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0.65</w:t>
            </w:r>
          </w:p>
        </w:tc>
        <w:tc>
          <w:tcPr>
            <w:tcW w:w="1361" w:type="dxa"/>
            <w:vAlign w:val="center"/>
          </w:tcPr>
          <w:p>
            <w:pPr>
              <w:pStyle w:val="11"/>
            </w:pPr>
            <w:r>
              <w:t>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0.65</w:t>
            </w:r>
          </w:p>
        </w:tc>
        <w:tc>
          <w:tcPr>
            <w:tcW w:w="1361" w:type="dxa"/>
            <w:vAlign w:val="center"/>
          </w:tcPr>
          <w:p>
            <w:pPr>
              <w:pStyle w:val="11"/>
            </w:pPr>
            <w:r>
              <w:t>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7.71</w:t>
            </w:r>
          </w:p>
        </w:tc>
        <w:tc>
          <w:tcPr>
            <w:tcW w:w="1361" w:type="dxa"/>
            <w:vAlign w:val="center"/>
          </w:tcPr>
          <w:p>
            <w:pPr>
              <w:pStyle w:val="11"/>
            </w:pPr>
            <w:r>
              <w:t>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7.71</w:t>
            </w:r>
          </w:p>
        </w:tc>
        <w:tc>
          <w:tcPr>
            <w:tcW w:w="1361" w:type="dxa"/>
            <w:vAlign w:val="center"/>
          </w:tcPr>
          <w:p>
            <w:pPr>
              <w:pStyle w:val="11"/>
            </w:pPr>
            <w:r>
              <w:t>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7.71</w:t>
            </w:r>
          </w:p>
        </w:tc>
        <w:tc>
          <w:tcPr>
            <w:tcW w:w="1361" w:type="dxa"/>
            <w:vAlign w:val="center"/>
          </w:tcPr>
          <w:p>
            <w:pPr>
              <w:pStyle w:val="11"/>
            </w:pPr>
            <w:r>
              <w:t>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15.02</w:t>
            </w:r>
          </w:p>
        </w:tc>
        <w:tc>
          <w:tcPr>
            <w:tcW w:w="1361" w:type="dxa"/>
            <w:vAlign w:val="center"/>
          </w:tcPr>
          <w:p>
            <w:pPr>
              <w:pStyle w:val="11"/>
            </w:pPr>
            <w:r>
              <w:t>15.02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15.02</w:t>
            </w:r>
          </w:p>
        </w:tc>
        <w:tc>
          <w:tcPr>
            <w:tcW w:w="1361" w:type="dxa"/>
            <w:vAlign w:val="center"/>
          </w:tcPr>
          <w:p>
            <w:pPr>
              <w:pStyle w:val="11"/>
            </w:pPr>
            <w:r>
              <w:t>15.02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15.02</w:t>
            </w:r>
          </w:p>
        </w:tc>
        <w:tc>
          <w:tcPr>
            <w:tcW w:w="1361" w:type="dxa"/>
            <w:vAlign w:val="center"/>
          </w:tcPr>
          <w:p>
            <w:pPr>
              <w:pStyle w:val="11"/>
            </w:pPr>
            <w:r>
              <w:t>15.02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213001新乐市委统战部本级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210.68</w:t>
            </w:r>
          </w:p>
        </w:tc>
        <w:tc>
          <w:tcPr>
            <w:tcW w:w="3402" w:type="dxa"/>
            <w:vAlign w:val="center"/>
          </w:tcPr>
          <w:p>
            <w:pPr>
              <w:pStyle w:val="12"/>
            </w:pPr>
            <w:r>
              <w:t>一、一般公共服务支出</w:t>
            </w:r>
          </w:p>
        </w:tc>
        <w:tc>
          <w:tcPr>
            <w:tcW w:w="1474" w:type="dxa"/>
            <w:vAlign w:val="center"/>
          </w:tcPr>
          <w:p>
            <w:pPr>
              <w:pStyle w:val="11"/>
            </w:pPr>
            <w:r>
              <w:t>140.92</w:t>
            </w:r>
          </w:p>
        </w:tc>
        <w:tc>
          <w:tcPr>
            <w:tcW w:w="1474" w:type="dxa"/>
            <w:vAlign w:val="center"/>
          </w:tcPr>
          <w:p>
            <w:pPr>
              <w:pStyle w:val="11"/>
            </w:pPr>
            <w:r>
              <w:t>140.92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47.03</w:t>
            </w:r>
          </w:p>
        </w:tc>
        <w:tc>
          <w:tcPr>
            <w:tcW w:w="1474" w:type="dxa"/>
            <w:vAlign w:val="center"/>
          </w:tcPr>
          <w:p>
            <w:pPr>
              <w:pStyle w:val="11"/>
            </w:pPr>
            <w:r>
              <w:t>47.03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7.71</w:t>
            </w:r>
          </w:p>
        </w:tc>
        <w:tc>
          <w:tcPr>
            <w:tcW w:w="1474" w:type="dxa"/>
            <w:vAlign w:val="center"/>
          </w:tcPr>
          <w:p>
            <w:pPr>
              <w:pStyle w:val="11"/>
            </w:pPr>
            <w:r>
              <w:t>7.71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15.02</w:t>
            </w:r>
          </w:p>
        </w:tc>
        <w:tc>
          <w:tcPr>
            <w:tcW w:w="1474" w:type="dxa"/>
            <w:vAlign w:val="center"/>
          </w:tcPr>
          <w:p>
            <w:pPr>
              <w:pStyle w:val="11"/>
            </w:pPr>
            <w:r>
              <w:t>15.02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210.68</w:t>
            </w:r>
          </w:p>
        </w:tc>
        <w:tc>
          <w:tcPr>
            <w:tcW w:w="3402" w:type="dxa"/>
            <w:vAlign w:val="center"/>
          </w:tcPr>
          <w:p>
            <w:pPr>
              <w:pStyle w:val="14"/>
            </w:pPr>
            <w:r>
              <w:t>本年支出合计</w:t>
            </w:r>
          </w:p>
        </w:tc>
        <w:tc>
          <w:tcPr>
            <w:tcW w:w="1474" w:type="dxa"/>
            <w:vAlign w:val="center"/>
          </w:tcPr>
          <w:p>
            <w:pPr>
              <w:pStyle w:val="15"/>
            </w:pPr>
            <w:r>
              <w:t>210.68</w:t>
            </w:r>
          </w:p>
        </w:tc>
        <w:tc>
          <w:tcPr>
            <w:tcW w:w="1474" w:type="dxa"/>
            <w:vAlign w:val="center"/>
          </w:tcPr>
          <w:p>
            <w:pPr>
              <w:pStyle w:val="15"/>
            </w:pPr>
            <w:r>
              <w:t>210.68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210.68</w:t>
            </w:r>
          </w:p>
        </w:tc>
        <w:tc>
          <w:tcPr>
            <w:tcW w:w="3402" w:type="dxa"/>
            <w:vAlign w:val="center"/>
          </w:tcPr>
          <w:p>
            <w:pPr>
              <w:pStyle w:val="14"/>
            </w:pPr>
            <w:r>
              <w:t>支出总计</w:t>
            </w:r>
          </w:p>
        </w:tc>
        <w:tc>
          <w:tcPr>
            <w:tcW w:w="1474" w:type="dxa"/>
            <w:vAlign w:val="center"/>
          </w:tcPr>
          <w:p>
            <w:pPr>
              <w:pStyle w:val="15"/>
            </w:pPr>
            <w:r>
              <w:t>210.68</w:t>
            </w:r>
          </w:p>
        </w:tc>
        <w:tc>
          <w:tcPr>
            <w:tcW w:w="1474" w:type="dxa"/>
            <w:vAlign w:val="center"/>
          </w:tcPr>
          <w:p>
            <w:pPr>
              <w:pStyle w:val="15"/>
            </w:pPr>
            <w:r>
              <w:t>210.68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213001新乐市委统战部本级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210.68</w:t>
            </w:r>
          </w:p>
        </w:tc>
        <w:tc>
          <w:tcPr>
            <w:tcW w:w="2551" w:type="dxa"/>
            <w:vAlign w:val="center"/>
          </w:tcPr>
          <w:p>
            <w:pPr>
              <w:pStyle w:val="15"/>
            </w:pPr>
            <w:r>
              <w:t>210.68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140.92</w:t>
            </w:r>
          </w:p>
        </w:tc>
        <w:tc>
          <w:tcPr>
            <w:tcW w:w="2551" w:type="dxa"/>
            <w:vAlign w:val="center"/>
          </w:tcPr>
          <w:p>
            <w:pPr>
              <w:pStyle w:val="11"/>
            </w:pPr>
            <w:r>
              <w:t>140.92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140.92</w:t>
            </w:r>
          </w:p>
        </w:tc>
        <w:tc>
          <w:tcPr>
            <w:tcW w:w="2551" w:type="dxa"/>
            <w:vAlign w:val="center"/>
          </w:tcPr>
          <w:p>
            <w:pPr>
              <w:pStyle w:val="11"/>
            </w:pPr>
            <w:r>
              <w:t>140.92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140.92</w:t>
            </w:r>
          </w:p>
        </w:tc>
        <w:tc>
          <w:tcPr>
            <w:tcW w:w="2551" w:type="dxa"/>
            <w:vAlign w:val="center"/>
          </w:tcPr>
          <w:p>
            <w:pPr>
              <w:pStyle w:val="11"/>
            </w:pPr>
            <w:r>
              <w:t>140.92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47.03</w:t>
            </w:r>
          </w:p>
        </w:tc>
        <w:tc>
          <w:tcPr>
            <w:tcW w:w="2551" w:type="dxa"/>
            <w:vAlign w:val="center"/>
          </w:tcPr>
          <w:p>
            <w:pPr>
              <w:pStyle w:val="11"/>
            </w:pPr>
            <w:r>
              <w:t>47.03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44.05</w:t>
            </w:r>
          </w:p>
        </w:tc>
        <w:tc>
          <w:tcPr>
            <w:tcW w:w="2551" w:type="dxa"/>
            <w:vAlign w:val="center"/>
          </w:tcPr>
          <w:p>
            <w:pPr>
              <w:pStyle w:val="11"/>
            </w:pPr>
            <w:r>
              <w:t>44.05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27.51</w:t>
            </w:r>
          </w:p>
        </w:tc>
        <w:tc>
          <w:tcPr>
            <w:tcW w:w="2551" w:type="dxa"/>
            <w:vAlign w:val="center"/>
          </w:tcPr>
          <w:p>
            <w:pPr>
              <w:pStyle w:val="11"/>
            </w:pPr>
            <w:r>
              <w:t>27.51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16.54</w:t>
            </w:r>
          </w:p>
        </w:tc>
        <w:tc>
          <w:tcPr>
            <w:tcW w:w="2551" w:type="dxa"/>
            <w:vAlign w:val="center"/>
          </w:tcPr>
          <w:p>
            <w:pPr>
              <w:pStyle w:val="11"/>
            </w:pPr>
            <w:r>
              <w:t>16.54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2.33</w:t>
            </w:r>
          </w:p>
        </w:tc>
        <w:tc>
          <w:tcPr>
            <w:tcW w:w="2551" w:type="dxa"/>
            <w:vAlign w:val="center"/>
          </w:tcPr>
          <w:p>
            <w:pPr>
              <w:pStyle w:val="11"/>
            </w:pPr>
            <w:r>
              <w:t>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2.33</w:t>
            </w:r>
          </w:p>
        </w:tc>
        <w:tc>
          <w:tcPr>
            <w:tcW w:w="2551" w:type="dxa"/>
            <w:vAlign w:val="center"/>
          </w:tcPr>
          <w:p>
            <w:pPr>
              <w:pStyle w:val="11"/>
            </w:pPr>
            <w:r>
              <w:t>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7.71</w:t>
            </w:r>
          </w:p>
        </w:tc>
        <w:tc>
          <w:tcPr>
            <w:tcW w:w="2551" w:type="dxa"/>
            <w:vAlign w:val="center"/>
          </w:tcPr>
          <w:p>
            <w:pPr>
              <w:pStyle w:val="11"/>
            </w:pPr>
            <w:r>
              <w:t>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7.71</w:t>
            </w:r>
          </w:p>
        </w:tc>
        <w:tc>
          <w:tcPr>
            <w:tcW w:w="2551" w:type="dxa"/>
            <w:vAlign w:val="center"/>
          </w:tcPr>
          <w:p>
            <w:pPr>
              <w:pStyle w:val="11"/>
            </w:pPr>
            <w:r>
              <w:t>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7.71</w:t>
            </w:r>
          </w:p>
        </w:tc>
        <w:tc>
          <w:tcPr>
            <w:tcW w:w="2551" w:type="dxa"/>
            <w:vAlign w:val="center"/>
          </w:tcPr>
          <w:p>
            <w:pPr>
              <w:pStyle w:val="11"/>
            </w:pPr>
            <w:r>
              <w:t>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15.02</w:t>
            </w:r>
          </w:p>
        </w:tc>
        <w:tc>
          <w:tcPr>
            <w:tcW w:w="2551" w:type="dxa"/>
            <w:vAlign w:val="center"/>
          </w:tcPr>
          <w:p>
            <w:pPr>
              <w:pStyle w:val="11"/>
            </w:pPr>
            <w:r>
              <w:t>15.02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15.02</w:t>
            </w:r>
          </w:p>
        </w:tc>
        <w:tc>
          <w:tcPr>
            <w:tcW w:w="2551" w:type="dxa"/>
            <w:vAlign w:val="center"/>
          </w:tcPr>
          <w:p>
            <w:pPr>
              <w:pStyle w:val="11"/>
            </w:pPr>
            <w:r>
              <w:t>15.02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15.02</w:t>
            </w:r>
          </w:p>
        </w:tc>
        <w:tc>
          <w:tcPr>
            <w:tcW w:w="2551" w:type="dxa"/>
            <w:vAlign w:val="center"/>
          </w:tcPr>
          <w:p>
            <w:pPr>
              <w:pStyle w:val="11"/>
            </w:pPr>
            <w:r>
              <w:t>15.02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213001新乐市委统战部本级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210.68</w:t>
            </w:r>
          </w:p>
        </w:tc>
        <w:tc>
          <w:tcPr>
            <w:tcW w:w="2551" w:type="dxa"/>
            <w:vAlign w:val="center"/>
          </w:tcPr>
          <w:p>
            <w:pPr>
              <w:pStyle w:val="15"/>
            </w:pPr>
            <w:r>
              <w:t>193.24</w:t>
            </w:r>
          </w:p>
        </w:tc>
        <w:tc>
          <w:tcPr>
            <w:tcW w:w="2551" w:type="dxa"/>
            <w:vAlign w:val="center"/>
          </w:tcPr>
          <w:p>
            <w:pPr>
              <w:pStyle w:val="15"/>
            </w:pPr>
            <w:r>
              <w:t>17.44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163.40</w:t>
            </w:r>
          </w:p>
        </w:tc>
        <w:tc>
          <w:tcPr>
            <w:tcW w:w="2551" w:type="dxa"/>
            <w:vAlign w:val="center"/>
          </w:tcPr>
          <w:p>
            <w:pPr>
              <w:pStyle w:val="11"/>
            </w:pPr>
            <w:r>
              <w:t>163.40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61.21</w:t>
            </w:r>
          </w:p>
        </w:tc>
        <w:tc>
          <w:tcPr>
            <w:tcW w:w="2551" w:type="dxa"/>
            <w:vAlign w:val="center"/>
          </w:tcPr>
          <w:p>
            <w:pPr>
              <w:pStyle w:val="11"/>
            </w:pPr>
            <w:r>
              <w:t>61.21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22.64</w:t>
            </w:r>
          </w:p>
        </w:tc>
        <w:tc>
          <w:tcPr>
            <w:tcW w:w="2551" w:type="dxa"/>
            <w:vAlign w:val="center"/>
          </w:tcPr>
          <w:p>
            <w:pPr>
              <w:pStyle w:val="11"/>
            </w:pPr>
            <w:r>
              <w:t>22.64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18.20</w:t>
            </w:r>
          </w:p>
        </w:tc>
        <w:tc>
          <w:tcPr>
            <w:tcW w:w="2551" w:type="dxa"/>
            <w:vAlign w:val="center"/>
          </w:tcPr>
          <w:p>
            <w:pPr>
              <w:pStyle w:val="11"/>
            </w:pPr>
            <w:r>
              <w:t>18.20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21.43</w:t>
            </w:r>
          </w:p>
        </w:tc>
        <w:tc>
          <w:tcPr>
            <w:tcW w:w="2551" w:type="dxa"/>
            <w:vAlign w:val="center"/>
          </w:tcPr>
          <w:p>
            <w:pPr>
              <w:pStyle w:val="11"/>
            </w:pPr>
            <w:r>
              <w:t>21.43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16.54</w:t>
            </w:r>
          </w:p>
        </w:tc>
        <w:tc>
          <w:tcPr>
            <w:tcW w:w="2551" w:type="dxa"/>
            <w:vAlign w:val="center"/>
          </w:tcPr>
          <w:p>
            <w:pPr>
              <w:pStyle w:val="11"/>
            </w:pPr>
            <w:r>
              <w:t>16.54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7.71</w:t>
            </w:r>
          </w:p>
        </w:tc>
        <w:tc>
          <w:tcPr>
            <w:tcW w:w="2551" w:type="dxa"/>
            <w:vAlign w:val="center"/>
          </w:tcPr>
          <w:p>
            <w:pPr>
              <w:pStyle w:val="11"/>
            </w:pPr>
            <w:r>
              <w:t>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15.02</w:t>
            </w:r>
          </w:p>
        </w:tc>
        <w:tc>
          <w:tcPr>
            <w:tcW w:w="2551" w:type="dxa"/>
            <w:vAlign w:val="center"/>
          </w:tcPr>
          <w:p>
            <w:pPr>
              <w:pStyle w:val="11"/>
            </w:pPr>
            <w:r>
              <w:t>15.02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17.44</w:t>
            </w:r>
          </w:p>
        </w:tc>
        <w:tc>
          <w:tcPr>
            <w:tcW w:w="2551" w:type="dxa"/>
            <w:vAlign w:val="center"/>
          </w:tcPr>
          <w:p>
            <w:pPr>
              <w:pStyle w:val="11"/>
            </w:pPr>
          </w:p>
        </w:tc>
        <w:tc>
          <w:tcPr>
            <w:tcW w:w="2551" w:type="dxa"/>
            <w:vAlign w:val="center"/>
          </w:tcPr>
          <w:p>
            <w:pPr>
              <w:pStyle w:val="11"/>
            </w:pPr>
            <w:r>
              <w:t>17.44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1.24</w:t>
            </w:r>
          </w:p>
        </w:tc>
        <w:tc>
          <w:tcPr>
            <w:tcW w:w="2551" w:type="dxa"/>
            <w:vAlign w:val="center"/>
          </w:tcPr>
          <w:p>
            <w:pPr>
              <w:pStyle w:val="11"/>
            </w:pPr>
          </w:p>
        </w:tc>
        <w:tc>
          <w:tcPr>
            <w:tcW w:w="2551" w:type="dxa"/>
            <w:vAlign w:val="center"/>
          </w:tcPr>
          <w:p>
            <w:pPr>
              <w:pStyle w:val="11"/>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5.70</w:t>
            </w:r>
          </w:p>
        </w:tc>
        <w:tc>
          <w:tcPr>
            <w:tcW w:w="2551" w:type="dxa"/>
            <w:vAlign w:val="center"/>
          </w:tcPr>
          <w:p>
            <w:pPr>
              <w:pStyle w:val="11"/>
            </w:pPr>
          </w:p>
        </w:tc>
        <w:tc>
          <w:tcPr>
            <w:tcW w:w="2551" w:type="dxa"/>
            <w:vAlign w:val="center"/>
          </w:tcPr>
          <w:p>
            <w:pPr>
              <w:pStyle w:val="11"/>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2.86</w:t>
            </w:r>
          </w:p>
        </w:tc>
        <w:tc>
          <w:tcPr>
            <w:tcW w:w="2551" w:type="dxa"/>
            <w:vAlign w:val="center"/>
          </w:tcPr>
          <w:p>
            <w:pPr>
              <w:pStyle w:val="11"/>
            </w:pPr>
          </w:p>
        </w:tc>
        <w:tc>
          <w:tcPr>
            <w:tcW w:w="2551" w:type="dxa"/>
            <w:vAlign w:val="center"/>
          </w:tcPr>
          <w:p>
            <w:pPr>
              <w:pStyle w:val="11"/>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29.84</w:t>
            </w:r>
          </w:p>
        </w:tc>
        <w:tc>
          <w:tcPr>
            <w:tcW w:w="2551" w:type="dxa"/>
            <w:vAlign w:val="center"/>
          </w:tcPr>
          <w:p>
            <w:pPr>
              <w:pStyle w:val="11"/>
            </w:pPr>
            <w:r>
              <w:t>29.84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27.51</w:t>
            </w:r>
          </w:p>
        </w:tc>
        <w:tc>
          <w:tcPr>
            <w:tcW w:w="2551" w:type="dxa"/>
            <w:vAlign w:val="center"/>
          </w:tcPr>
          <w:p>
            <w:pPr>
              <w:pStyle w:val="11"/>
            </w:pPr>
            <w:r>
              <w:t>27.51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2.33</w:t>
            </w:r>
          </w:p>
        </w:tc>
        <w:tc>
          <w:tcPr>
            <w:tcW w:w="2551" w:type="dxa"/>
            <w:vAlign w:val="center"/>
          </w:tcPr>
          <w:p>
            <w:pPr>
              <w:pStyle w:val="11"/>
            </w:pPr>
            <w:r>
              <w:t>2.33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213001新乐市委统战部本级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213001新乐市委统战部本级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213001新乐市委统战部本级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新乐市委统战部本级2026年单位预算信息公开情况说明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按照《中华人民共和国预算法》、《地方预决算公开操作规程》和《关于进一步推进预算公开工作的实施意见》规定，现将新乐市委统战部本级2026年单位预算公开如下：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中央、省委、市委和新乐市委关于统一战线工作的方针、政策，并对统一战线的理论和方针政策调查研究；向上级统战部门和市委反映情况，提出开展统战工作的意见和建议；检查统战政策执行情况，协调统一战线各方面的关系。</w:t>
      </w:r>
    </w:p>
    <w:p>
      <w:pPr>
        <w:pStyle w:val="17"/>
      </w:pPr>
      <w:r>
        <w:t>（二）负责联系全市民主党派和无党派人士，及时通报情况，反映他们的意见和建议；研究、贯彻党领导的多党合作和政治协商制度以及对民主党派的方针、政策；落实中央和上级党委关于发挥民主党派和无党派人士参政议政和民主监督作用的方针政策和安排部署，为市委同民主党派进行政治协商做好组织联系工作。受市委委托，向民主党派、无党派代表人士通报市委的重要情况和重大决定；支持、帮助民主党派加强自身建设，培养选拔新一代代表人物；协助有关部门帮助民主党派改善工作条件。</w:t>
      </w:r>
    </w:p>
    <w:p>
      <w:pPr>
        <w:pStyle w:val="17"/>
      </w:pPr>
      <w:r>
        <w:t>（三）负责调查研究、督促检查有关民族和宗教工作重大方针、政策的贯彻落实情况，联系少数民族和宗教界代表人物。</w:t>
      </w:r>
    </w:p>
    <w:p>
      <w:pPr>
        <w:pStyle w:val="17"/>
      </w:pPr>
      <w:r>
        <w:t>（四）负责开展以祖国统一及促进我市经济发展为重点的海外统战工作，联系香港、澳门和海外有关社团及代表人士；做好台胞台属的有关工作；开展海内外统一战线的宣传工作。</w:t>
      </w:r>
    </w:p>
    <w:p>
      <w:pPr>
        <w:pStyle w:val="17"/>
      </w:pPr>
      <w:r>
        <w:t>（五）负责党外人士的政治安排；会同组织部门做好培养、考察、选拔、推荐党外人士担任人大机关、政府工作部门、政协机关和司法机关及乡镇领导职务的工作；做好党外后备干部和新的代表人物队伍的建设工作；负责市人大党外代表和市政协委员配备工作。</w:t>
      </w:r>
    </w:p>
    <w:p>
      <w:pPr>
        <w:pStyle w:val="17"/>
      </w:pPr>
      <w:r>
        <w:t>（六）调查研究并反映我市非公有制经济代表人士情况，协调关系、提出政策建议；协助有关部门做好非公有制经济组织中党、团和工会组织建设；团结、帮助、教育、引导非公有制经济代表人士，积极开展思想政治工作；参与有关规范性文件的研究制定，为促进我市非公有制经济的发展提供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新乐市委统战部本级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210.68万元，其中：一般公共预算收入210.68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委统战部本级年度单位预算中支出预算的总体情况。2026年支出预算210.68万元，其中基本支出210.68万元，包括人员经费193.24万元和日常公用经费17.44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210.68万元，较2025年预算减少15.15万元，其中：基本支出减少0.15万元，主要为人员经费减少0.26万元，公用经费增加0.11万元。项目支出减少15.00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2026年，我单位机关运行经费共计安排17.44万元，主要用于日常维修、办公用房水电费、办公用房取暖费、办公用房物业管理费等日常运行支出。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公务用车运维费减少0.07万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213001新乐市委统战部本级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新乐市委统战部本级上年末固定资产金额为</w:t>
      </w:r>
      <w:r>
        <w:rPr>
          <w:rFonts w:hint="eastAsia" w:eastAsia="方正仿宋_GBK" w:cs="Times New Roman"/>
          <w:b w:val="0"/>
          <w:color w:val="000000"/>
          <w:sz w:val="28"/>
          <w:lang w:val="en-US" w:eastAsia="zh-CN"/>
        </w:rPr>
        <w:t>45.62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213001新乐市委统战部本级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资产总额</w:t>
            </w:r>
          </w:p>
        </w:tc>
        <w:tc>
          <w:tcPr>
            <w:tcW w:w="2835" w:type="dxa"/>
            <w:vAlign w:val="center"/>
          </w:tcPr>
          <w:p>
            <w:pPr>
              <w:pStyle w:val="13"/>
              <w:ind w:firstLine="0" w:firstLineChars="0"/>
            </w:pPr>
          </w:p>
        </w:tc>
        <w:tc>
          <w:tcPr>
            <w:tcW w:w="2835" w:type="dxa"/>
            <w:vAlign w:val="center"/>
          </w:tcPr>
          <w:p>
            <w:pPr>
              <w:pStyle w:val="11"/>
              <w:ind w:firstLine="0" w:firstLineChars="0"/>
            </w:pPr>
            <w:r>
              <w:rPr>
                <w:rFonts w:hint="eastAsia"/>
                <w:lang w:val="en-US" w:eastAsia="zh-CN"/>
              </w:rPr>
              <w:t>45.62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1、房屋（平方米）</w:t>
            </w:r>
          </w:p>
        </w:tc>
        <w:tc>
          <w:tcPr>
            <w:tcW w:w="2835" w:type="dxa"/>
            <w:vAlign w:val="center"/>
          </w:tcPr>
          <w:p>
            <w:pPr>
              <w:pStyle w:val="13"/>
              <w:ind w:firstLine="0" w:firstLineChars="0"/>
            </w:pPr>
            <w:bookmarkStart w:id="1" w:name="_GoBack"/>
            <w:bookmarkEnd w:id="1"/>
          </w:p>
        </w:tc>
        <w:tc>
          <w:tcPr>
            <w:tcW w:w="2835"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　　其中：办公用房（平方米）</w:t>
            </w:r>
          </w:p>
        </w:tc>
        <w:tc>
          <w:tcPr>
            <w:tcW w:w="2835"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2、车辆（台、辆）</w:t>
            </w:r>
          </w:p>
        </w:tc>
        <w:tc>
          <w:tcPr>
            <w:tcW w:w="2835" w:type="dxa"/>
            <w:vAlign w:val="center"/>
          </w:tcPr>
          <w:p>
            <w:pPr>
              <w:pStyle w:val="13"/>
              <w:ind w:firstLine="0" w:firstLineChars="0"/>
            </w:pPr>
            <w:r>
              <w:t>1</w:t>
            </w:r>
          </w:p>
        </w:tc>
        <w:tc>
          <w:tcPr>
            <w:tcW w:w="2835" w:type="dxa"/>
            <w:vAlign w:val="center"/>
          </w:tcPr>
          <w:p>
            <w:pPr>
              <w:pStyle w:val="11"/>
              <w:ind w:firstLine="0" w:firstLineChars="0"/>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3、单价在20万元以上的设备</w:t>
            </w:r>
          </w:p>
        </w:tc>
        <w:tc>
          <w:tcPr>
            <w:tcW w:w="2835"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t>4、其他固定资产</w:t>
            </w:r>
          </w:p>
        </w:tc>
        <w:tc>
          <w:tcPr>
            <w:tcW w:w="2835" w:type="dxa"/>
            <w:vAlign w:val="center"/>
          </w:tcPr>
          <w:p>
            <w:pPr>
              <w:pStyle w:val="13"/>
              <w:ind w:firstLine="0" w:firstLineChars="0"/>
            </w:pPr>
            <w:r>
              <w:t>1</w:t>
            </w:r>
            <w:r>
              <w:rPr>
                <w:rFonts w:hint="eastAsia"/>
                <w:lang w:val="en-US" w:eastAsia="zh-CN"/>
              </w:rPr>
              <w:t>42</w:t>
            </w:r>
          </w:p>
        </w:tc>
        <w:tc>
          <w:tcPr>
            <w:tcW w:w="2835" w:type="dxa"/>
            <w:vAlign w:val="center"/>
          </w:tcPr>
          <w:p>
            <w:pPr>
              <w:pStyle w:val="11"/>
              <w:ind w:firstLine="0" w:firstLineChars="0"/>
            </w:pPr>
            <w:r>
              <w:rPr>
                <w:rFonts w:hint="eastAsia"/>
                <w:lang w:val="en-US" w:eastAsia="zh-CN"/>
              </w:rPr>
              <w:t>28.47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0100B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Office_10.8.2.6613_F1E327BC-269C-435d-A152-05C5408002CA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2026-03-04T10:06:00Z</dcterms:created>
  <dc:creator>Administrator</dc:creator>
  <cp:lastModifiedBy>Administrator</cp:lastModifiedBy>
  <dcterms:modified xsi:type="dcterms:W3CDTF">2026-03-04T02:25:13Z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2052-10.8.2.6613</vt:lpwstr>
  </property>
</Properties>
</file>