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部门</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rPr>
          <w:rFonts w:ascii="方正楷体_GBK" w:hAnsi="方正楷体_GBK" w:eastAsia="方正楷体_GBK" w:cs="方正楷体_GBK"/>
          <w:b/>
          <w:color w:val="000000"/>
          <w:sz w:val="28"/>
        </w:rPr>
      </w:pPr>
      <w:r>
        <w:rPr>
          <w:rFonts w:ascii="方正楷体_GBK" w:hAnsi="方正楷体_GBK" w:eastAsia="方正楷体_GBK" w:cs="方正楷体_GBK"/>
          <w:b/>
          <w:color w:val="000000"/>
          <w:sz w:val="28"/>
        </w:rPr>
        <w:t>部门预算公开表</w:t>
      </w:r>
    </w:p>
    <w:p>
      <w:pPr>
        <w:pStyle w:val="2"/>
        <w:tabs>
          <w:tab w:val="right" w:leader="dot" w:pos="14562"/>
        </w:tabs>
        <w:rPr>
          <w:rFonts w:hint="eastAsia"/>
        </w:rPr>
      </w:pPr>
      <w:r>
        <w:rPr>
          <w:rFonts w:hint="eastAsia"/>
        </w:rPr>
        <w:t>部门预算收支总表</w:t>
      </w:r>
      <w:bookmarkStart w:id="3" w:name="_GoBack"/>
      <w:bookmarkEnd w:id="3"/>
      <w:r>
        <w:rPr>
          <w:rFonts w:hint="eastAsia"/>
        </w:rPr>
        <w:tab/>
      </w:r>
      <w:r>
        <w:rPr>
          <w:rFonts w:hint="eastAsia"/>
        </w:rPr>
        <w:t>1</w:t>
      </w:r>
    </w:p>
    <w:p>
      <w:pPr>
        <w:pStyle w:val="2"/>
        <w:tabs>
          <w:tab w:val="right" w:leader="dot" w:pos="14562"/>
        </w:tabs>
        <w:rPr>
          <w:rFonts w:hint="eastAsia"/>
        </w:rPr>
      </w:pPr>
      <w:r>
        <w:rPr>
          <w:rFonts w:hint="eastAsia"/>
        </w:rPr>
        <w:t>部门预算收入总表</w:t>
      </w:r>
      <w:r>
        <w:rPr>
          <w:rFonts w:hint="eastAsia"/>
        </w:rPr>
        <w:tab/>
      </w:r>
      <w:r>
        <w:rPr>
          <w:rFonts w:hint="eastAsia"/>
        </w:rPr>
        <w:t>3</w:t>
      </w:r>
    </w:p>
    <w:p>
      <w:pPr>
        <w:pStyle w:val="2"/>
        <w:tabs>
          <w:tab w:val="right" w:leader="dot" w:pos="14562"/>
        </w:tabs>
        <w:rPr>
          <w:rFonts w:hint="eastAsia"/>
        </w:rPr>
      </w:pPr>
      <w:r>
        <w:rPr>
          <w:rFonts w:hint="eastAsia"/>
        </w:rPr>
        <w:t>部门预算支出总表</w:t>
      </w:r>
      <w:r>
        <w:rPr>
          <w:rFonts w:hint="eastAsia"/>
        </w:rPr>
        <w:tab/>
      </w:r>
      <w:r>
        <w:rPr>
          <w:rFonts w:hint="eastAsia"/>
        </w:rPr>
        <w:t>5</w:t>
      </w:r>
    </w:p>
    <w:p>
      <w:pPr>
        <w:pStyle w:val="2"/>
        <w:tabs>
          <w:tab w:val="right" w:leader="dot" w:pos="14562"/>
        </w:tabs>
        <w:rPr>
          <w:rFonts w:hint="eastAsia"/>
        </w:rPr>
      </w:pPr>
      <w:r>
        <w:rPr>
          <w:rFonts w:hint="eastAsia"/>
        </w:rPr>
        <w:t>部门预算财政拨款收支总表</w:t>
      </w:r>
      <w:r>
        <w:rPr>
          <w:rFonts w:hint="eastAsia"/>
        </w:rPr>
        <w:tab/>
      </w:r>
      <w:r>
        <w:rPr>
          <w:rFonts w:hint="eastAsia"/>
        </w:rPr>
        <w:t>6</w:t>
      </w:r>
    </w:p>
    <w:p>
      <w:pPr>
        <w:pStyle w:val="2"/>
        <w:tabs>
          <w:tab w:val="right" w:leader="dot" w:pos="14562"/>
        </w:tabs>
        <w:rPr>
          <w:rFonts w:hint="eastAsia"/>
        </w:rPr>
      </w:pPr>
      <w:r>
        <w:rPr>
          <w:rFonts w:hint="eastAsia"/>
        </w:rPr>
        <w:t>部门预算一般公共预算财政拨款支出表</w:t>
      </w:r>
      <w:r>
        <w:rPr>
          <w:rFonts w:hint="eastAsia"/>
        </w:rPr>
        <w:tab/>
      </w:r>
      <w:r>
        <w:rPr>
          <w:rFonts w:hint="eastAsia"/>
        </w:rPr>
        <w:t>8</w:t>
      </w:r>
    </w:p>
    <w:p>
      <w:pPr>
        <w:pStyle w:val="2"/>
        <w:tabs>
          <w:tab w:val="right" w:leader="dot" w:pos="14562"/>
        </w:tabs>
        <w:rPr>
          <w:rFonts w:hint="eastAsia"/>
        </w:rPr>
      </w:pPr>
      <w:r>
        <w:rPr>
          <w:rFonts w:hint="eastAsia"/>
        </w:rPr>
        <w:t>部门预算一般公共预算财政拨款基本支出表</w:t>
      </w:r>
      <w:r>
        <w:rPr>
          <w:rFonts w:hint="eastAsia"/>
        </w:rPr>
        <w:tab/>
      </w:r>
      <w:r>
        <w:rPr>
          <w:rFonts w:hint="eastAsia"/>
        </w:rPr>
        <w:t>9</w:t>
      </w:r>
    </w:p>
    <w:p>
      <w:pPr>
        <w:pStyle w:val="2"/>
        <w:tabs>
          <w:tab w:val="right" w:leader="dot" w:pos="14562"/>
        </w:tabs>
        <w:rPr>
          <w:rFonts w:hint="eastAsia"/>
        </w:rPr>
      </w:pPr>
      <w:r>
        <w:rPr>
          <w:rFonts w:hint="eastAsia"/>
        </w:rPr>
        <w:t>部门预算政府性基金预算财政拨款支出表</w:t>
      </w:r>
      <w:r>
        <w:rPr>
          <w:rFonts w:hint="eastAsia"/>
        </w:rPr>
        <w:tab/>
      </w:r>
      <w:r>
        <w:rPr>
          <w:rFonts w:hint="eastAsia"/>
        </w:rPr>
        <w:t>11</w:t>
      </w:r>
    </w:p>
    <w:p>
      <w:pPr>
        <w:pStyle w:val="2"/>
        <w:tabs>
          <w:tab w:val="right" w:leader="dot" w:pos="14562"/>
        </w:tabs>
        <w:rPr>
          <w:rFonts w:hint="eastAsia"/>
        </w:rPr>
      </w:pPr>
      <w:r>
        <w:rPr>
          <w:rFonts w:hint="eastAsia"/>
        </w:rPr>
        <w:t>部门预算国有资本经营预算财政拨款支出表</w:t>
      </w:r>
      <w:r>
        <w:rPr>
          <w:rFonts w:hint="eastAsia"/>
        </w:rPr>
        <w:tab/>
      </w:r>
      <w:r>
        <w:rPr>
          <w:rFonts w:hint="eastAsia"/>
        </w:rPr>
        <w:t>12</w:t>
      </w:r>
    </w:p>
    <w:p>
      <w:pPr>
        <w:pStyle w:val="2"/>
        <w:tabs>
          <w:tab w:val="right" w:leader="dot" w:pos="14562"/>
        </w:tabs>
      </w:pPr>
      <w:r>
        <w:rPr>
          <w:rFonts w:hint="eastAsia"/>
        </w:rPr>
        <w:t>部门预算财政拨款“三公”经费支出表</w:t>
      </w:r>
      <w:r>
        <w:rPr>
          <w:rFonts w:hint="eastAsia"/>
        </w:rPr>
        <w:tab/>
      </w:r>
      <w:r>
        <w:rPr>
          <w:rFonts w:hint="eastAsia"/>
        </w:rPr>
        <w:t>13</w:t>
      </w:r>
      <w:r>
        <w:fldChar w:fldCharType="begin"/>
      </w:r>
      <w:r>
        <w:instrText xml:space="preserve">TOC \o "2-2" \h \z \u</w:instrText>
      </w:r>
      <w:r>
        <w:fldChar w:fldCharType="separate"/>
      </w:r>
    </w:p>
    <w:p>
      <w:r>
        <w:fldChar w:fldCharType="end"/>
      </w:r>
    </w:p>
    <w:p>
      <w:pPr>
        <w:rPr>
          <w:rFonts w:ascii="方正楷体_GBK" w:hAnsi="方正楷体_GBK" w:eastAsia="方正楷体_GBK" w:cs="方正楷体_GBK"/>
          <w:b/>
          <w:color w:val="000000"/>
          <w:sz w:val="28"/>
        </w:rPr>
      </w:pPr>
    </w:p>
    <w:p>
      <w:r>
        <w:rPr>
          <w:rFonts w:ascii="方正楷体_GBK" w:hAnsi="方正楷体_GBK" w:eastAsia="方正楷体_GBK" w:cs="方正楷体_GBK"/>
          <w:b/>
          <w:color w:val="000000"/>
          <w:sz w:val="28"/>
        </w:rPr>
        <w:t>部门预算信息公开情况说明</w:t>
      </w:r>
    </w:p>
    <w:p>
      <w:pPr>
        <w:pStyle w:val="2"/>
        <w:tabs>
          <w:tab w:val="right" w:leader="dot" w:pos="14562"/>
        </w:tabs>
        <w:rPr>
          <w:rFonts w:hint="eastAsia"/>
        </w:rPr>
      </w:pPr>
      <w:r>
        <w:rPr>
          <w:rFonts w:hint="eastAsia"/>
        </w:rPr>
        <w:t>一、部门职责及机构设置情况</w:t>
      </w:r>
      <w:r>
        <w:rPr>
          <w:rFonts w:hint="eastAsia"/>
        </w:rPr>
        <w:tab/>
      </w:r>
      <w:r>
        <w:rPr>
          <w:rFonts w:hint="eastAsia"/>
        </w:rPr>
        <w:t>15</w:t>
      </w:r>
    </w:p>
    <w:p>
      <w:pPr>
        <w:pStyle w:val="2"/>
        <w:tabs>
          <w:tab w:val="right" w:leader="dot" w:pos="14562"/>
        </w:tabs>
        <w:rPr>
          <w:rFonts w:hint="eastAsia"/>
        </w:rPr>
      </w:pPr>
      <w:r>
        <w:rPr>
          <w:rFonts w:hint="eastAsia"/>
        </w:rPr>
        <w:t>二、部门预算安排的总体情况</w:t>
      </w:r>
      <w:r>
        <w:rPr>
          <w:rFonts w:hint="eastAsia"/>
        </w:rPr>
        <w:tab/>
      </w:r>
      <w:r>
        <w:rPr>
          <w:rFonts w:hint="eastAsia"/>
        </w:rPr>
        <w:t>17</w:t>
      </w:r>
    </w:p>
    <w:p>
      <w:pPr>
        <w:pStyle w:val="2"/>
        <w:tabs>
          <w:tab w:val="right" w:leader="dot" w:pos="14562"/>
        </w:tabs>
        <w:rPr>
          <w:rFonts w:hint="eastAsia"/>
        </w:rPr>
      </w:pPr>
      <w:r>
        <w:rPr>
          <w:rFonts w:hint="eastAsia"/>
        </w:rPr>
        <w:t>三、机关运行经费安排情况</w:t>
      </w:r>
      <w:r>
        <w:rPr>
          <w:rFonts w:hint="eastAsia"/>
        </w:rPr>
        <w:tab/>
      </w:r>
      <w:r>
        <w:rPr>
          <w:rFonts w:hint="eastAsia"/>
        </w:rPr>
        <w:t>17</w:t>
      </w:r>
    </w:p>
    <w:p>
      <w:pPr>
        <w:pStyle w:val="2"/>
        <w:tabs>
          <w:tab w:val="right" w:leader="dot" w:pos="14562"/>
        </w:tabs>
        <w:rPr>
          <w:rFonts w:hint="eastAsia"/>
        </w:rPr>
      </w:pPr>
      <w:r>
        <w:rPr>
          <w:rFonts w:hint="eastAsia"/>
        </w:rPr>
        <w:t>四、财政拨款“三公”经费预算情况及增减变化原因</w:t>
      </w:r>
      <w:r>
        <w:rPr>
          <w:rFonts w:hint="eastAsia"/>
        </w:rPr>
        <w:tab/>
      </w:r>
      <w:r>
        <w:rPr>
          <w:rFonts w:hint="eastAsia"/>
        </w:rPr>
        <w:t>18</w:t>
      </w:r>
    </w:p>
    <w:p>
      <w:pPr>
        <w:pStyle w:val="2"/>
        <w:tabs>
          <w:tab w:val="right" w:leader="dot" w:pos="14562"/>
        </w:tabs>
        <w:rPr>
          <w:rFonts w:hint="eastAsia"/>
        </w:rPr>
      </w:pPr>
      <w:r>
        <w:rPr>
          <w:rFonts w:hint="eastAsia"/>
        </w:rPr>
        <w:t>五、部门整体绩效目标</w:t>
      </w:r>
      <w:r>
        <w:rPr>
          <w:rFonts w:hint="eastAsia"/>
        </w:rPr>
        <w:tab/>
      </w:r>
      <w:r>
        <w:rPr>
          <w:rFonts w:hint="eastAsia"/>
        </w:rPr>
        <w:t>18</w:t>
      </w:r>
    </w:p>
    <w:p>
      <w:pPr>
        <w:pStyle w:val="2"/>
        <w:tabs>
          <w:tab w:val="right" w:leader="dot" w:pos="14562"/>
        </w:tabs>
        <w:rPr>
          <w:rFonts w:hint="eastAsia"/>
        </w:rPr>
      </w:pPr>
      <w:r>
        <w:rPr>
          <w:rFonts w:hint="eastAsia"/>
        </w:rPr>
        <w:t>六、部门主管专项资金预算安排情况及绩效目标</w:t>
      </w:r>
      <w:r>
        <w:rPr>
          <w:rFonts w:hint="eastAsia"/>
        </w:rPr>
        <w:tab/>
      </w:r>
      <w:r>
        <w:rPr>
          <w:rFonts w:hint="eastAsia"/>
        </w:rPr>
        <w:t>22</w:t>
      </w:r>
    </w:p>
    <w:p>
      <w:pPr>
        <w:pStyle w:val="2"/>
        <w:tabs>
          <w:tab w:val="right" w:leader="dot" w:pos="14562"/>
        </w:tabs>
        <w:rPr>
          <w:rFonts w:hint="eastAsia"/>
        </w:rPr>
      </w:pPr>
      <w:r>
        <w:rPr>
          <w:rFonts w:hint="eastAsia"/>
        </w:rPr>
        <w:t>七、部门项目预算安排情况及绩效目标</w:t>
      </w:r>
      <w:r>
        <w:rPr>
          <w:rFonts w:hint="eastAsia"/>
        </w:rPr>
        <w:tab/>
      </w:r>
      <w:r>
        <w:rPr>
          <w:rFonts w:hint="eastAsia"/>
        </w:rPr>
        <w:t>23</w:t>
      </w:r>
    </w:p>
    <w:p>
      <w:pPr>
        <w:pStyle w:val="2"/>
        <w:tabs>
          <w:tab w:val="right" w:leader="dot" w:pos="14562"/>
        </w:tabs>
        <w:rPr>
          <w:rFonts w:hint="eastAsia"/>
        </w:rPr>
      </w:pPr>
      <w:r>
        <w:rPr>
          <w:rFonts w:hint="eastAsia"/>
        </w:rPr>
        <w:t>八、政府采购预算情况</w:t>
      </w:r>
      <w:r>
        <w:rPr>
          <w:rFonts w:hint="eastAsia"/>
        </w:rPr>
        <w:tab/>
      </w:r>
      <w:r>
        <w:rPr>
          <w:rFonts w:hint="eastAsia"/>
        </w:rPr>
        <w:t>24</w:t>
      </w:r>
    </w:p>
    <w:p>
      <w:pPr>
        <w:pStyle w:val="2"/>
        <w:tabs>
          <w:tab w:val="right" w:leader="dot" w:pos="14562"/>
        </w:tabs>
        <w:rPr>
          <w:rFonts w:hint="eastAsia"/>
        </w:rPr>
      </w:pPr>
      <w:r>
        <w:rPr>
          <w:rFonts w:hint="eastAsia"/>
        </w:rPr>
        <w:t>九、国有资产信息</w:t>
      </w:r>
      <w:r>
        <w:rPr>
          <w:rFonts w:hint="eastAsia"/>
        </w:rPr>
        <w:tab/>
      </w:r>
      <w:r>
        <w:rPr>
          <w:rFonts w:hint="eastAsia"/>
        </w:rPr>
        <w:t>24</w:t>
      </w:r>
    </w:p>
    <w:p>
      <w:pPr>
        <w:pStyle w:val="2"/>
        <w:tabs>
          <w:tab w:val="right" w:leader="dot" w:pos="14562"/>
        </w:tabs>
        <w:rPr>
          <w:rFonts w:hint="eastAsia"/>
        </w:rPr>
      </w:pPr>
      <w:r>
        <w:rPr>
          <w:rFonts w:hint="eastAsia"/>
        </w:rPr>
        <w:t>十、名词解释</w:t>
      </w:r>
      <w:r>
        <w:rPr>
          <w:rFonts w:hint="eastAsia"/>
        </w:rPr>
        <w:tab/>
      </w:r>
      <w:r>
        <w:rPr>
          <w:rFonts w:hint="eastAsia"/>
        </w:rPr>
        <w:t>24</w:t>
      </w:r>
    </w:p>
    <w:p>
      <w:pPr>
        <w:pStyle w:val="2"/>
        <w:tabs>
          <w:tab w:val="right" w:leader="dot" w:pos="14562"/>
        </w:tabs>
      </w:pPr>
      <w:r>
        <w:rPr>
          <w:rFonts w:hint="eastAsia"/>
        </w:rPr>
        <w:t>十一、其他需要说明的事项</w:t>
      </w:r>
      <w:r>
        <w:rPr>
          <w:rFonts w:hint="eastAsia"/>
        </w:rPr>
        <w:tab/>
      </w:r>
      <w:r>
        <w:rPr>
          <w:rFonts w:hint="eastAsia"/>
        </w:rPr>
        <w:t>25</w:t>
      </w:r>
      <w:r>
        <w:fldChar w:fldCharType="begin"/>
      </w:r>
      <w:r>
        <w:instrText xml:space="preserve">TOC \o "3-3" \h \z \u</w:instrText>
      </w:r>
      <w:r>
        <w:fldChar w:fldCharType="separate"/>
      </w:r>
    </w:p>
    <w:p>
      <w:pPr>
        <w:sectPr>
          <w:pgSz w:w="16840" w:h="11900" w:orient="landscape"/>
          <w:pgMar w:top="1587" w:right="1134" w:bottom="1361" w:left="1134" w:header="720" w:footer="720" w:gutter="0"/>
          <w:pgNumType w:start="1"/>
          <w:cols w:space="720" w:num="1"/>
        </w:sectPr>
      </w:pPr>
      <w:r>
        <w:fldChar w:fldCharType="end"/>
      </w:r>
    </w:p>
    <w:p>
      <w:pPr>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319新乐市审计局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476.94</w:t>
            </w:r>
          </w:p>
        </w:tc>
        <w:tc>
          <w:tcPr>
            <w:tcW w:w="4535" w:type="dxa"/>
            <w:vAlign w:val="center"/>
          </w:tcPr>
          <w:p>
            <w:pPr>
              <w:pStyle w:val="12"/>
            </w:pPr>
            <w:r>
              <w:t>一、一般公共服务支出</w:t>
            </w:r>
          </w:p>
        </w:tc>
        <w:tc>
          <w:tcPr>
            <w:tcW w:w="2126" w:type="dxa"/>
            <w:vAlign w:val="center"/>
          </w:tcPr>
          <w:p>
            <w:pPr>
              <w:pStyle w:val="11"/>
            </w:pPr>
            <w:r>
              <w:t>319.88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476.94</w:t>
            </w:r>
          </w:p>
        </w:tc>
        <w:tc>
          <w:tcPr>
            <w:tcW w:w="4535" w:type="dxa"/>
            <w:vAlign w:val="center"/>
          </w:tcPr>
          <w:p>
            <w:pPr>
              <w:pStyle w:val="14"/>
            </w:pPr>
            <w:r>
              <w:t>本年支出合计</w:t>
            </w:r>
          </w:p>
        </w:tc>
        <w:tc>
          <w:tcPr>
            <w:tcW w:w="2126" w:type="dxa"/>
            <w:vAlign w:val="center"/>
          </w:tcPr>
          <w:p>
            <w:pPr>
              <w:pStyle w:val="15"/>
            </w:pPr>
            <w:r>
              <w:t>476.94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476.94</w:t>
            </w:r>
          </w:p>
        </w:tc>
        <w:tc>
          <w:tcPr>
            <w:tcW w:w="4535" w:type="dxa"/>
            <w:vAlign w:val="center"/>
          </w:tcPr>
          <w:p>
            <w:pPr>
              <w:pStyle w:val="14"/>
            </w:pPr>
            <w:r>
              <w:t>支出总计</w:t>
            </w:r>
          </w:p>
        </w:tc>
        <w:tc>
          <w:tcPr>
            <w:tcW w:w="2126" w:type="dxa"/>
            <w:vAlign w:val="center"/>
          </w:tcPr>
          <w:p>
            <w:pPr>
              <w:pStyle w:val="15"/>
            </w:pPr>
            <w:r>
              <w:t>476.94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319新乐市审计局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476.94</w:t>
            </w:r>
          </w:p>
        </w:tc>
        <w:tc>
          <w:tcPr>
            <w:tcW w:w="1134" w:type="dxa"/>
            <w:vAlign w:val="center"/>
          </w:tcPr>
          <w:p>
            <w:pPr>
              <w:pStyle w:val="15"/>
            </w:pPr>
            <w:r>
              <w:t>476.94</w:t>
            </w:r>
          </w:p>
        </w:tc>
        <w:tc>
          <w:tcPr>
            <w:tcW w:w="1134" w:type="dxa"/>
            <w:vAlign w:val="center"/>
          </w:tcPr>
          <w:p>
            <w:pPr>
              <w:pStyle w:val="15"/>
            </w:pPr>
            <w:r>
              <w:t>476.94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319.88</w:t>
            </w:r>
          </w:p>
        </w:tc>
        <w:tc>
          <w:tcPr>
            <w:tcW w:w="1134" w:type="dxa"/>
            <w:vAlign w:val="center"/>
          </w:tcPr>
          <w:p>
            <w:pPr>
              <w:pStyle w:val="11"/>
            </w:pPr>
            <w:r>
              <w:t>319.88</w:t>
            </w:r>
          </w:p>
        </w:tc>
        <w:tc>
          <w:tcPr>
            <w:tcW w:w="1134" w:type="dxa"/>
            <w:vAlign w:val="center"/>
          </w:tcPr>
          <w:p>
            <w:pPr>
              <w:pStyle w:val="11"/>
            </w:pPr>
            <w:r>
              <w:t>319.88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20108</w:t>
            </w:r>
          </w:p>
        </w:tc>
        <w:tc>
          <w:tcPr>
            <w:tcW w:w="1559" w:type="dxa"/>
            <w:vAlign w:val="center"/>
          </w:tcPr>
          <w:p>
            <w:pPr>
              <w:pStyle w:val="12"/>
            </w:pPr>
            <w:r>
              <w:t>审计事务</w:t>
            </w:r>
          </w:p>
        </w:tc>
        <w:tc>
          <w:tcPr>
            <w:tcW w:w="1134" w:type="dxa"/>
            <w:vAlign w:val="center"/>
          </w:tcPr>
          <w:p>
            <w:pPr>
              <w:pStyle w:val="11"/>
            </w:pPr>
            <w:r>
              <w:t>319.88</w:t>
            </w:r>
          </w:p>
        </w:tc>
        <w:tc>
          <w:tcPr>
            <w:tcW w:w="1134" w:type="dxa"/>
            <w:vAlign w:val="center"/>
          </w:tcPr>
          <w:p>
            <w:pPr>
              <w:pStyle w:val="11"/>
            </w:pPr>
            <w:r>
              <w:t>319.88</w:t>
            </w:r>
          </w:p>
        </w:tc>
        <w:tc>
          <w:tcPr>
            <w:tcW w:w="1134" w:type="dxa"/>
            <w:vAlign w:val="center"/>
          </w:tcPr>
          <w:p>
            <w:pPr>
              <w:pStyle w:val="11"/>
            </w:pPr>
            <w:r>
              <w:t>319.88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2010801</w:t>
            </w:r>
          </w:p>
        </w:tc>
        <w:tc>
          <w:tcPr>
            <w:tcW w:w="1559" w:type="dxa"/>
            <w:vAlign w:val="center"/>
          </w:tcPr>
          <w:p>
            <w:pPr>
              <w:pStyle w:val="12"/>
            </w:pPr>
            <w:r>
              <w:t>行政运行</w:t>
            </w:r>
          </w:p>
        </w:tc>
        <w:tc>
          <w:tcPr>
            <w:tcW w:w="1134" w:type="dxa"/>
            <w:vAlign w:val="center"/>
          </w:tcPr>
          <w:p>
            <w:pPr>
              <w:pStyle w:val="11"/>
            </w:pPr>
            <w:r>
              <w:t>319.88</w:t>
            </w:r>
          </w:p>
        </w:tc>
        <w:tc>
          <w:tcPr>
            <w:tcW w:w="1134" w:type="dxa"/>
            <w:vAlign w:val="center"/>
          </w:tcPr>
          <w:p>
            <w:pPr>
              <w:pStyle w:val="11"/>
            </w:pPr>
            <w:r>
              <w:t>319.88</w:t>
            </w:r>
          </w:p>
        </w:tc>
        <w:tc>
          <w:tcPr>
            <w:tcW w:w="1134" w:type="dxa"/>
            <w:vAlign w:val="center"/>
          </w:tcPr>
          <w:p>
            <w:pPr>
              <w:pStyle w:val="11"/>
            </w:pPr>
            <w:r>
              <w:t>319.88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103.85</w:t>
            </w:r>
          </w:p>
        </w:tc>
        <w:tc>
          <w:tcPr>
            <w:tcW w:w="1134" w:type="dxa"/>
            <w:vAlign w:val="center"/>
          </w:tcPr>
          <w:p>
            <w:pPr>
              <w:pStyle w:val="11"/>
            </w:pPr>
            <w:r>
              <w:t>103.85</w:t>
            </w:r>
          </w:p>
        </w:tc>
        <w:tc>
          <w:tcPr>
            <w:tcW w:w="1134" w:type="dxa"/>
            <w:vAlign w:val="center"/>
          </w:tcPr>
          <w:p>
            <w:pPr>
              <w:pStyle w:val="11"/>
            </w:pPr>
            <w:r>
              <w:t>103.85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101.65</w:t>
            </w:r>
          </w:p>
        </w:tc>
        <w:tc>
          <w:tcPr>
            <w:tcW w:w="1134" w:type="dxa"/>
            <w:vAlign w:val="center"/>
          </w:tcPr>
          <w:p>
            <w:pPr>
              <w:pStyle w:val="11"/>
            </w:pPr>
            <w:r>
              <w:t>101.65</w:t>
            </w:r>
          </w:p>
        </w:tc>
        <w:tc>
          <w:tcPr>
            <w:tcW w:w="1134" w:type="dxa"/>
            <w:vAlign w:val="center"/>
          </w:tcPr>
          <w:p>
            <w:pPr>
              <w:pStyle w:val="11"/>
            </w:pPr>
            <w:r>
              <w:t>101.65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46.54</w:t>
            </w:r>
          </w:p>
        </w:tc>
        <w:tc>
          <w:tcPr>
            <w:tcW w:w="1134" w:type="dxa"/>
            <w:vAlign w:val="center"/>
          </w:tcPr>
          <w:p>
            <w:pPr>
              <w:pStyle w:val="11"/>
            </w:pPr>
            <w:r>
              <w:t>46.54</w:t>
            </w:r>
          </w:p>
        </w:tc>
        <w:tc>
          <w:tcPr>
            <w:tcW w:w="1134" w:type="dxa"/>
            <w:vAlign w:val="center"/>
          </w:tcPr>
          <w:p>
            <w:pPr>
              <w:pStyle w:val="11"/>
            </w:pPr>
            <w:r>
              <w:t>46.54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40.17</w:t>
            </w:r>
          </w:p>
        </w:tc>
        <w:tc>
          <w:tcPr>
            <w:tcW w:w="1134" w:type="dxa"/>
            <w:vAlign w:val="center"/>
          </w:tcPr>
          <w:p>
            <w:pPr>
              <w:pStyle w:val="11"/>
            </w:pPr>
            <w:r>
              <w:t>40.17</w:t>
            </w:r>
          </w:p>
        </w:tc>
        <w:tc>
          <w:tcPr>
            <w:tcW w:w="1134" w:type="dxa"/>
            <w:vAlign w:val="center"/>
          </w:tcPr>
          <w:p>
            <w:pPr>
              <w:pStyle w:val="11"/>
            </w:pPr>
            <w:r>
              <w:t>40.17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14.94</w:t>
            </w:r>
          </w:p>
        </w:tc>
        <w:tc>
          <w:tcPr>
            <w:tcW w:w="1134" w:type="dxa"/>
            <w:vAlign w:val="center"/>
          </w:tcPr>
          <w:p>
            <w:pPr>
              <w:pStyle w:val="11"/>
            </w:pPr>
            <w:r>
              <w:t>14.94</w:t>
            </w:r>
          </w:p>
        </w:tc>
        <w:tc>
          <w:tcPr>
            <w:tcW w:w="1134" w:type="dxa"/>
            <w:vAlign w:val="center"/>
          </w:tcPr>
          <w:p>
            <w:pPr>
              <w:pStyle w:val="11"/>
            </w:pPr>
            <w:r>
              <w:t>14.94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18.12</w:t>
            </w:r>
          </w:p>
        </w:tc>
        <w:tc>
          <w:tcPr>
            <w:tcW w:w="1134" w:type="dxa"/>
            <w:vAlign w:val="center"/>
          </w:tcPr>
          <w:p>
            <w:pPr>
              <w:pStyle w:val="11"/>
            </w:pPr>
            <w:r>
              <w:t>18.12</w:t>
            </w:r>
          </w:p>
        </w:tc>
        <w:tc>
          <w:tcPr>
            <w:tcW w:w="1134" w:type="dxa"/>
            <w:vAlign w:val="center"/>
          </w:tcPr>
          <w:p>
            <w:pPr>
              <w:pStyle w:val="11"/>
            </w:pPr>
            <w:r>
              <w:t>18.12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18.12</w:t>
            </w:r>
          </w:p>
        </w:tc>
        <w:tc>
          <w:tcPr>
            <w:tcW w:w="1134" w:type="dxa"/>
            <w:vAlign w:val="center"/>
          </w:tcPr>
          <w:p>
            <w:pPr>
              <w:pStyle w:val="11"/>
            </w:pPr>
            <w:r>
              <w:t>18.12</w:t>
            </w:r>
          </w:p>
        </w:tc>
        <w:tc>
          <w:tcPr>
            <w:tcW w:w="1134" w:type="dxa"/>
            <w:vAlign w:val="center"/>
          </w:tcPr>
          <w:p>
            <w:pPr>
              <w:pStyle w:val="11"/>
            </w:pPr>
            <w:r>
              <w:t>18.12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18.12</w:t>
            </w:r>
          </w:p>
        </w:tc>
        <w:tc>
          <w:tcPr>
            <w:tcW w:w="1134" w:type="dxa"/>
            <w:vAlign w:val="center"/>
          </w:tcPr>
          <w:p>
            <w:pPr>
              <w:pStyle w:val="11"/>
            </w:pPr>
            <w:r>
              <w:t>18.12</w:t>
            </w:r>
          </w:p>
        </w:tc>
        <w:tc>
          <w:tcPr>
            <w:tcW w:w="1134" w:type="dxa"/>
            <w:vAlign w:val="center"/>
          </w:tcPr>
          <w:p>
            <w:pPr>
              <w:pStyle w:val="11"/>
            </w:pPr>
            <w:r>
              <w:t>18.12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35.09</w:t>
            </w:r>
          </w:p>
        </w:tc>
        <w:tc>
          <w:tcPr>
            <w:tcW w:w="1134" w:type="dxa"/>
            <w:vAlign w:val="center"/>
          </w:tcPr>
          <w:p>
            <w:pPr>
              <w:pStyle w:val="11"/>
            </w:pPr>
            <w:r>
              <w:t>35.09</w:t>
            </w:r>
          </w:p>
        </w:tc>
        <w:tc>
          <w:tcPr>
            <w:tcW w:w="1134" w:type="dxa"/>
            <w:vAlign w:val="center"/>
          </w:tcPr>
          <w:p>
            <w:pPr>
              <w:pStyle w:val="11"/>
            </w:pPr>
            <w:r>
              <w:t>35.09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35.09</w:t>
            </w:r>
          </w:p>
        </w:tc>
        <w:tc>
          <w:tcPr>
            <w:tcW w:w="1134" w:type="dxa"/>
            <w:vAlign w:val="center"/>
          </w:tcPr>
          <w:p>
            <w:pPr>
              <w:pStyle w:val="11"/>
            </w:pPr>
            <w:r>
              <w:t>35.09</w:t>
            </w:r>
          </w:p>
        </w:tc>
        <w:tc>
          <w:tcPr>
            <w:tcW w:w="1134" w:type="dxa"/>
            <w:vAlign w:val="center"/>
          </w:tcPr>
          <w:p>
            <w:pPr>
              <w:pStyle w:val="11"/>
            </w:pPr>
            <w:r>
              <w:t>35.09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35.09</w:t>
            </w:r>
          </w:p>
        </w:tc>
        <w:tc>
          <w:tcPr>
            <w:tcW w:w="1134" w:type="dxa"/>
            <w:vAlign w:val="center"/>
          </w:tcPr>
          <w:p>
            <w:pPr>
              <w:pStyle w:val="11"/>
            </w:pPr>
            <w:r>
              <w:t>35.09</w:t>
            </w:r>
          </w:p>
        </w:tc>
        <w:tc>
          <w:tcPr>
            <w:tcW w:w="1134" w:type="dxa"/>
            <w:vAlign w:val="center"/>
          </w:tcPr>
          <w:p>
            <w:pPr>
              <w:pStyle w:val="11"/>
            </w:pPr>
            <w:r>
              <w:t>35.09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319新乐市审计局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476.94</w:t>
            </w:r>
          </w:p>
        </w:tc>
        <w:tc>
          <w:tcPr>
            <w:tcW w:w="1361" w:type="dxa"/>
            <w:vAlign w:val="center"/>
          </w:tcPr>
          <w:p>
            <w:pPr>
              <w:pStyle w:val="15"/>
            </w:pPr>
            <w:r>
              <w:t>476.94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319.88</w:t>
            </w:r>
          </w:p>
        </w:tc>
        <w:tc>
          <w:tcPr>
            <w:tcW w:w="1361" w:type="dxa"/>
            <w:vAlign w:val="center"/>
          </w:tcPr>
          <w:p>
            <w:pPr>
              <w:pStyle w:val="11"/>
            </w:pPr>
            <w:r>
              <w:t>319.88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20108</w:t>
            </w:r>
          </w:p>
        </w:tc>
        <w:tc>
          <w:tcPr>
            <w:tcW w:w="4535" w:type="dxa"/>
            <w:vAlign w:val="center"/>
          </w:tcPr>
          <w:p>
            <w:pPr>
              <w:pStyle w:val="12"/>
            </w:pPr>
            <w:r>
              <w:t>审计事务</w:t>
            </w:r>
          </w:p>
        </w:tc>
        <w:tc>
          <w:tcPr>
            <w:tcW w:w="1361" w:type="dxa"/>
            <w:vAlign w:val="center"/>
          </w:tcPr>
          <w:p>
            <w:pPr>
              <w:pStyle w:val="11"/>
            </w:pPr>
            <w:r>
              <w:t>319.88</w:t>
            </w:r>
          </w:p>
        </w:tc>
        <w:tc>
          <w:tcPr>
            <w:tcW w:w="1361" w:type="dxa"/>
            <w:vAlign w:val="center"/>
          </w:tcPr>
          <w:p>
            <w:pPr>
              <w:pStyle w:val="11"/>
            </w:pPr>
            <w:r>
              <w:t>319.88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2010801</w:t>
            </w:r>
          </w:p>
        </w:tc>
        <w:tc>
          <w:tcPr>
            <w:tcW w:w="4535" w:type="dxa"/>
            <w:vAlign w:val="center"/>
          </w:tcPr>
          <w:p>
            <w:pPr>
              <w:pStyle w:val="12"/>
            </w:pPr>
            <w:r>
              <w:t>行政运行</w:t>
            </w:r>
          </w:p>
        </w:tc>
        <w:tc>
          <w:tcPr>
            <w:tcW w:w="1361" w:type="dxa"/>
            <w:vAlign w:val="center"/>
          </w:tcPr>
          <w:p>
            <w:pPr>
              <w:pStyle w:val="11"/>
            </w:pPr>
            <w:r>
              <w:t>319.88</w:t>
            </w:r>
          </w:p>
        </w:tc>
        <w:tc>
          <w:tcPr>
            <w:tcW w:w="1361" w:type="dxa"/>
            <w:vAlign w:val="center"/>
          </w:tcPr>
          <w:p>
            <w:pPr>
              <w:pStyle w:val="11"/>
            </w:pPr>
            <w:r>
              <w:t>319.88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103.85</w:t>
            </w:r>
          </w:p>
        </w:tc>
        <w:tc>
          <w:tcPr>
            <w:tcW w:w="1361" w:type="dxa"/>
            <w:vAlign w:val="center"/>
          </w:tcPr>
          <w:p>
            <w:pPr>
              <w:pStyle w:val="11"/>
            </w:pPr>
            <w:r>
              <w:t>103.85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101.65</w:t>
            </w:r>
          </w:p>
        </w:tc>
        <w:tc>
          <w:tcPr>
            <w:tcW w:w="1361" w:type="dxa"/>
            <w:vAlign w:val="center"/>
          </w:tcPr>
          <w:p>
            <w:pPr>
              <w:pStyle w:val="11"/>
            </w:pPr>
            <w:r>
              <w:t>101.65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46.54</w:t>
            </w:r>
          </w:p>
        </w:tc>
        <w:tc>
          <w:tcPr>
            <w:tcW w:w="1361" w:type="dxa"/>
            <w:vAlign w:val="center"/>
          </w:tcPr>
          <w:p>
            <w:pPr>
              <w:pStyle w:val="11"/>
            </w:pPr>
            <w:r>
              <w:t>46.54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40.17</w:t>
            </w:r>
          </w:p>
        </w:tc>
        <w:tc>
          <w:tcPr>
            <w:tcW w:w="1361" w:type="dxa"/>
            <w:vAlign w:val="center"/>
          </w:tcPr>
          <w:p>
            <w:pPr>
              <w:pStyle w:val="11"/>
            </w:pPr>
            <w:r>
              <w:t>40.17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14.94</w:t>
            </w:r>
          </w:p>
        </w:tc>
        <w:tc>
          <w:tcPr>
            <w:tcW w:w="1361" w:type="dxa"/>
            <w:vAlign w:val="center"/>
          </w:tcPr>
          <w:p>
            <w:pPr>
              <w:pStyle w:val="11"/>
            </w:pPr>
            <w:r>
              <w:t>14.94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2.20</w:t>
            </w:r>
          </w:p>
        </w:tc>
        <w:tc>
          <w:tcPr>
            <w:tcW w:w="1361" w:type="dxa"/>
            <w:vAlign w:val="center"/>
          </w:tcPr>
          <w:p>
            <w:pPr>
              <w:pStyle w:val="11"/>
            </w:pPr>
            <w:r>
              <w:t>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2.20</w:t>
            </w:r>
          </w:p>
        </w:tc>
        <w:tc>
          <w:tcPr>
            <w:tcW w:w="1361" w:type="dxa"/>
            <w:vAlign w:val="center"/>
          </w:tcPr>
          <w:p>
            <w:pPr>
              <w:pStyle w:val="11"/>
            </w:pPr>
            <w:r>
              <w:t>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18.12</w:t>
            </w:r>
          </w:p>
        </w:tc>
        <w:tc>
          <w:tcPr>
            <w:tcW w:w="1361" w:type="dxa"/>
            <w:vAlign w:val="center"/>
          </w:tcPr>
          <w:p>
            <w:pPr>
              <w:pStyle w:val="11"/>
            </w:pPr>
            <w:r>
              <w:t>18.12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18.12</w:t>
            </w:r>
          </w:p>
        </w:tc>
        <w:tc>
          <w:tcPr>
            <w:tcW w:w="1361" w:type="dxa"/>
            <w:vAlign w:val="center"/>
          </w:tcPr>
          <w:p>
            <w:pPr>
              <w:pStyle w:val="11"/>
            </w:pPr>
            <w:r>
              <w:t>18.12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18.12</w:t>
            </w:r>
          </w:p>
        </w:tc>
        <w:tc>
          <w:tcPr>
            <w:tcW w:w="1361" w:type="dxa"/>
            <w:vAlign w:val="center"/>
          </w:tcPr>
          <w:p>
            <w:pPr>
              <w:pStyle w:val="11"/>
            </w:pPr>
            <w:r>
              <w:t>18.12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35.09</w:t>
            </w:r>
          </w:p>
        </w:tc>
        <w:tc>
          <w:tcPr>
            <w:tcW w:w="1361" w:type="dxa"/>
            <w:vAlign w:val="center"/>
          </w:tcPr>
          <w:p>
            <w:pPr>
              <w:pStyle w:val="11"/>
            </w:pPr>
            <w:r>
              <w:t>35.09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35.09</w:t>
            </w:r>
          </w:p>
        </w:tc>
        <w:tc>
          <w:tcPr>
            <w:tcW w:w="1361" w:type="dxa"/>
            <w:vAlign w:val="center"/>
          </w:tcPr>
          <w:p>
            <w:pPr>
              <w:pStyle w:val="11"/>
            </w:pPr>
            <w:r>
              <w:t>35.09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35.09</w:t>
            </w:r>
          </w:p>
        </w:tc>
        <w:tc>
          <w:tcPr>
            <w:tcW w:w="1361" w:type="dxa"/>
            <w:vAlign w:val="center"/>
          </w:tcPr>
          <w:p>
            <w:pPr>
              <w:pStyle w:val="11"/>
            </w:pPr>
            <w:r>
              <w:t>35.09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319新乐市审计局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476.94</w:t>
            </w:r>
          </w:p>
        </w:tc>
        <w:tc>
          <w:tcPr>
            <w:tcW w:w="3402" w:type="dxa"/>
            <w:vAlign w:val="center"/>
          </w:tcPr>
          <w:p>
            <w:pPr>
              <w:pStyle w:val="12"/>
            </w:pPr>
            <w:r>
              <w:t>一、一般公共服务支出</w:t>
            </w:r>
          </w:p>
        </w:tc>
        <w:tc>
          <w:tcPr>
            <w:tcW w:w="1474" w:type="dxa"/>
            <w:vAlign w:val="center"/>
          </w:tcPr>
          <w:p>
            <w:pPr>
              <w:pStyle w:val="11"/>
            </w:pPr>
            <w:r>
              <w:t>319.88</w:t>
            </w:r>
          </w:p>
        </w:tc>
        <w:tc>
          <w:tcPr>
            <w:tcW w:w="1474" w:type="dxa"/>
            <w:vAlign w:val="center"/>
          </w:tcPr>
          <w:p>
            <w:pPr>
              <w:pStyle w:val="11"/>
            </w:pPr>
            <w:r>
              <w:t>319.88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103.85</w:t>
            </w:r>
          </w:p>
        </w:tc>
        <w:tc>
          <w:tcPr>
            <w:tcW w:w="1474" w:type="dxa"/>
            <w:vAlign w:val="center"/>
          </w:tcPr>
          <w:p>
            <w:pPr>
              <w:pStyle w:val="11"/>
            </w:pPr>
            <w:r>
              <w:t>103.85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18.12</w:t>
            </w:r>
          </w:p>
        </w:tc>
        <w:tc>
          <w:tcPr>
            <w:tcW w:w="1474" w:type="dxa"/>
            <w:vAlign w:val="center"/>
          </w:tcPr>
          <w:p>
            <w:pPr>
              <w:pStyle w:val="11"/>
            </w:pPr>
            <w:r>
              <w:t>18.12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35.09</w:t>
            </w:r>
          </w:p>
        </w:tc>
        <w:tc>
          <w:tcPr>
            <w:tcW w:w="1474" w:type="dxa"/>
            <w:vAlign w:val="center"/>
          </w:tcPr>
          <w:p>
            <w:pPr>
              <w:pStyle w:val="11"/>
            </w:pPr>
            <w:r>
              <w:t>35.09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476.94</w:t>
            </w:r>
          </w:p>
        </w:tc>
        <w:tc>
          <w:tcPr>
            <w:tcW w:w="3402" w:type="dxa"/>
            <w:vAlign w:val="center"/>
          </w:tcPr>
          <w:p>
            <w:pPr>
              <w:pStyle w:val="14"/>
            </w:pPr>
            <w:r>
              <w:t>本年支出合计</w:t>
            </w:r>
          </w:p>
        </w:tc>
        <w:tc>
          <w:tcPr>
            <w:tcW w:w="1474" w:type="dxa"/>
            <w:vAlign w:val="center"/>
          </w:tcPr>
          <w:p>
            <w:pPr>
              <w:pStyle w:val="15"/>
            </w:pPr>
            <w:r>
              <w:t>476.94</w:t>
            </w:r>
          </w:p>
        </w:tc>
        <w:tc>
          <w:tcPr>
            <w:tcW w:w="1474" w:type="dxa"/>
            <w:vAlign w:val="center"/>
          </w:tcPr>
          <w:p>
            <w:pPr>
              <w:pStyle w:val="15"/>
            </w:pPr>
            <w:r>
              <w:t>476.94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476.94</w:t>
            </w:r>
          </w:p>
        </w:tc>
        <w:tc>
          <w:tcPr>
            <w:tcW w:w="3402" w:type="dxa"/>
            <w:vAlign w:val="center"/>
          </w:tcPr>
          <w:p>
            <w:pPr>
              <w:pStyle w:val="14"/>
            </w:pPr>
            <w:r>
              <w:t>支出总计</w:t>
            </w:r>
          </w:p>
        </w:tc>
        <w:tc>
          <w:tcPr>
            <w:tcW w:w="1474" w:type="dxa"/>
            <w:vAlign w:val="center"/>
          </w:tcPr>
          <w:p>
            <w:pPr>
              <w:pStyle w:val="15"/>
            </w:pPr>
            <w:r>
              <w:t>476.94</w:t>
            </w:r>
          </w:p>
        </w:tc>
        <w:tc>
          <w:tcPr>
            <w:tcW w:w="1474" w:type="dxa"/>
            <w:vAlign w:val="center"/>
          </w:tcPr>
          <w:p>
            <w:pPr>
              <w:pStyle w:val="15"/>
            </w:pPr>
            <w:r>
              <w:t>476.94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319新乐市审计局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476.94</w:t>
            </w:r>
          </w:p>
        </w:tc>
        <w:tc>
          <w:tcPr>
            <w:tcW w:w="2551" w:type="dxa"/>
            <w:vAlign w:val="center"/>
          </w:tcPr>
          <w:p>
            <w:pPr>
              <w:pStyle w:val="15"/>
            </w:pPr>
            <w:r>
              <w:t>476.94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319.88</w:t>
            </w:r>
          </w:p>
        </w:tc>
        <w:tc>
          <w:tcPr>
            <w:tcW w:w="2551" w:type="dxa"/>
            <w:vAlign w:val="center"/>
          </w:tcPr>
          <w:p>
            <w:pPr>
              <w:pStyle w:val="11"/>
            </w:pPr>
            <w:r>
              <w:t>319.88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20108</w:t>
            </w:r>
          </w:p>
        </w:tc>
        <w:tc>
          <w:tcPr>
            <w:tcW w:w="4535" w:type="dxa"/>
            <w:vAlign w:val="center"/>
          </w:tcPr>
          <w:p>
            <w:pPr>
              <w:pStyle w:val="12"/>
            </w:pPr>
            <w:r>
              <w:t>审计事务</w:t>
            </w:r>
          </w:p>
        </w:tc>
        <w:tc>
          <w:tcPr>
            <w:tcW w:w="2551" w:type="dxa"/>
            <w:vAlign w:val="center"/>
          </w:tcPr>
          <w:p>
            <w:pPr>
              <w:pStyle w:val="11"/>
            </w:pPr>
            <w:r>
              <w:t>319.88</w:t>
            </w:r>
          </w:p>
        </w:tc>
        <w:tc>
          <w:tcPr>
            <w:tcW w:w="2551" w:type="dxa"/>
            <w:vAlign w:val="center"/>
          </w:tcPr>
          <w:p>
            <w:pPr>
              <w:pStyle w:val="11"/>
            </w:pPr>
            <w:r>
              <w:t>319.88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2010801</w:t>
            </w:r>
          </w:p>
        </w:tc>
        <w:tc>
          <w:tcPr>
            <w:tcW w:w="4535" w:type="dxa"/>
            <w:vAlign w:val="center"/>
          </w:tcPr>
          <w:p>
            <w:pPr>
              <w:pStyle w:val="12"/>
            </w:pPr>
            <w:r>
              <w:t>行政运行</w:t>
            </w:r>
          </w:p>
        </w:tc>
        <w:tc>
          <w:tcPr>
            <w:tcW w:w="2551" w:type="dxa"/>
            <w:vAlign w:val="center"/>
          </w:tcPr>
          <w:p>
            <w:pPr>
              <w:pStyle w:val="11"/>
            </w:pPr>
            <w:r>
              <w:t>319.88</w:t>
            </w:r>
          </w:p>
        </w:tc>
        <w:tc>
          <w:tcPr>
            <w:tcW w:w="2551" w:type="dxa"/>
            <w:vAlign w:val="center"/>
          </w:tcPr>
          <w:p>
            <w:pPr>
              <w:pStyle w:val="11"/>
            </w:pPr>
            <w:r>
              <w:t>319.88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103.85</w:t>
            </w:r>
          </w:p>
        </w:tc>
        <w:tc>
          <w:tcPr>
            <w:tcW w:w="2551" w:type="dxa"/>
            <w:vAlign w:val="center"/>
          </w:tcPr>
          <w:p>
            <w:pPr>
              <w:pStyle w:val="11"/>
            </w:pPr>
            <w:r>
              <w:t>103.85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101.65</w:t>
            </w:r>
          </w:p>
        </w:tc>
        <w:tc>
          <w:tcPr>
            <w:tcW w:w="2551" w:type="dxa"/>
            <w:vAlign w:val="center"/>
          </w:tcPr>
          <w:p>
            <w:pPr>
              <w:pStyle w:val="11"/>
            </w:pPr>
            <w:r>
              <w:t>101.65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46.54</w:t>
            </w:r>
          </w:p>
        </w:tc>
        <w:tc>
          <w:tcPr>
            <w:tcW w:w="2551" w:type="dxa"/>
            <w:vAlign w:val="center"/>
          </w:tcPr>
          <w:p>
            <w:pPr>
              <w:pStyle w:val="11"/>
            </w:pPr>
            <w:r>
              <w:t>46.54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40.17</w:t>
            </w:r>
          </w:p>
        </w:tc>
        <w:tc>
          <w:tcPr>
            <w:tcW w:w="2551" w:type="dxa"/>
            <w:vAlign w:val="center"/>
          </w:tcPr>
          <w:p>
            <w:pPr>
              <w:pStyle w:val="11"/>
            </w:pPr>
            <w:r>
              <w:t>40.17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14.94</w:t>
            </w:r>
          </w:p>
        </w:tc>
        <w:tc>
          <w:tcPr>
            <w:tcW w:w="2551" w:type="dxa"/>
            <w:vAlign w:val="center"/>
          </w:tcPr>
          <w:p>
            <w:pPr>
              <w:pStyle w:val="11"/>
            </w:pPr>
            <w:r>
              <w:t>14.94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18.12</w:t>
            </w:r>
          </w:p>
        </w:tc>
        <w:tc>
          <w:tcPr>
            <w:tcW w:w="2551" w:type="dxa"/>
            <w:vAlign w:val="center"/>
          </w:tcPr>
          <w:p>
            <w:pPr>
              <w:pStyle w:val="11"/>
            </w:pPr>
            <w:r>
              <w:t>18.12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18.12</w:t>
            </w:r>
          </w:p>
        </w:tc>
        <w:tc>
          <w:tcPr>
            <w:tcW w:w="2551" w:type="dxa"/>
            <w:vAlign w:val="center"/>
          </w:tcPr>
          <w:p>
            <w:pPr>
              <w:pStyle w:val="11"/>
            </w:pPr>
            <w:r>
              <w:t>18.12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18.12</w:t>
            </w:r>
          </w:p>
        </w:tc>
        <w:tc>
          <w:tcPr>
            <w:tcW w:w="2551" w:type="dxa"/>
            <w:vAlign w:val="center"/>
          </w:tcPr>
          <w:p>
            <w:pPr>
              <w:pStyle w:val="11"/>
            </w:pPr>
            <w:r>
              <w:t>18.12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35.09</w:t>
            </w:r>
          </w:p>
        </w:tc>
        <w:tc>
          <w:tcPr>
            <w:tcW w:w="2551" w:type="dxa"/>
            <w:vAlign w:val="center"/>
          </w:tcPr>
          <w:p>
            <w:pPr>
              <w:pStyle w:val="11"/>
            </w:pPr>
            <w:r>
              <w:t>35.09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35.09</w:t>
            </w:r>
          </w:p>
        </w:tc>
        <w:tc>
          <w:tcPr>
            <w:tcW w:w="2551" w:type="dxa"/>
            <w:vAlign w:val="center"/>
          </w:tcPr>
          <w:p>
            <w:pPr>
              <w:pStyle w:val="11"/>
            </w:pPr>
            <w:r>
              <w:t>35.09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35.09</w:t>
            </w:r>
          </w:p>
        </w:tc>
        <w:tc>
          <w:tcPr>
            <w:tcW w:w="2551" w:type="dxa"/>
            <w:vAlign w:val="center"/>
          </w:tcPr>
          <w:p>
            <w:pPr>
              <w:pStyle w:val="11"/>
            </w:pPr>
            <w:r>
              <w:t>35.09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319新乐市审计局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476.94</w:t>
            </w:r>
          </w:p>
        </w:tc>
        <w:tc>
          <w:tcPr>
            <w:tcW w:w="2551" w:type="dxa"/>
            <w:vAlign w:val="center"/>
          </w:tcPr>
          <w:p>
            <w:pPr>
              <w:pStyle w:val="15"/>
            </w:pPr>
            <w:r>
              <w:t>448.47</w:t>
            </w:r>
          </w:p>
        </w:tc>
        <w:tc>
          <w:tcPr>
            <w:tcW w:w="2551" w:type="dxa"/>
            <w:vAlign w:val="center"/>
          </w:tcPr>
          <w:p>
            <w:pPr>
              <w:pStyle w:val="15"/>
            </w:pPr>
            <w:r>
              <w:t>28.47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401.93</w:t>
            </w:r>
          </w:p>
        </w:tc>
        <w:tc>
          <w:tcPr>
            <w:tcW w:w="2551" w:type="dxa"/>
            <w:vAlign w:val="center"/>
          </w:tcPr>
          <w:p>
            <w:pPr>
              <w:pStyle w:val="11"/>
            </w:pPr>
            <w:r>
              <w:t>401.93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144.23</w:t>
            </w:r>
          </w:p>
        </w:tc>
        <w:tc>
          <w:tcPr>
            <w:tcW w:w="2551" w:type="dxa"/>
            <w:vAlign w:val="center"/>
          </w:tcPr>
          <w:p>
            <w:pPr>
              <w:pStyle w:val="11"/>
            </w:pPr>
            <w:r>
              <w:t>144.23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44.28</w:t>
            </w:r>
          </w:p>
        </w:tc>
        <w:tc>
          <w:tcPr>
            <w:tcW w:w="2551" w:type="dxa"/>
            <w:vAlign w:val="center"/>
          </w:tcPr>
          <w:p>
            <w:pPr>
              <w:pStyle w:val="11"/>
            </w:pPr>
            <w:r>
              <w:t>44.28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28.34</w:t>
            </w:r>
          </w:p>
        </w:tc>
        <w:tc>
          <w:tcPr>
            <w:tcW w:w="2551" w:type="dxa"/>
            <w:vAlign w:val="center"/>
          </w:tcPr>
          <w:p>
            <w:pPr>
              <w:pStyle w:val="11"/>
            </w:pPr>
            <w:r>
              <w:t>28.34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58.71</w:t>
            </w:r>
          </w:p>
        </w:tc>
        <w:tc>
          <w:tcPr>
            <w:tcW w:w="2551" w:type="dxa"/>
            <w:vAlign w:val="center"/>
          </w:tcPr>
          <w:p>
            <w:pPr>
              <w:pStyle w:val="11"/>
            </w:pPr>
            <w:r>
              <w:t>58.71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40.17</w:t>
            </w:r>
          </w:p>
        </w:tc>
        <w:tc>
          <w:tcPr>
            <w:tcW w:w="2551" w:type="dxa"/>
            <w:vAlign w:val="center"/>
          </w:tcPr>
          <w:p>
            <w:pPr>
              <w:pStyle w:val="11"/>
            </w:pPr>
            <w:r>
              <w:t>40.17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14.94</w:t>
            </w:r>
          </w:p>
        </w:tc>
        <w:tc>
          <w:tcPr>
            <w:tcW w:w="2551" w:type="dxa"/>
            <w:vAlign w:val="center"/>
          </w:tcPr>
          <w:p>
            <w:pPr>
              <w:pStyle w:val="11"/>
            </w:pPr>
            <w:r>
              <w:t>14.94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18.12</w:t>
            </w:r>
          </w:p>
        </w:tc>
        <w:tc>
          <w:tcPr>
            <w:tcW w:w="2551" w:type="dxa"/>
            <w:vAlign w:val="center"/>
          </w:tcPr>
          <w:p>
            <w:pPr>
              <w:pStyle w:val="11"/>
            </w:pPr>
            <w:r>
              <w:t>18.12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35.09</w:t>
            </w:r>
          </w:p>
        </w:tc>
        <w:tc>
          <w:tcPr>
            <w:tcW w:w="2551" w:type="dxa"/>
            <w:vAlign w:val="center"/>
          </w:tcPr>
          <w:p>
            <w:pPr>
              <w:pStyle w:val="11"/>
            </w:pPr>
            <w:r>
              <w:t>35.09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15.85</w:t>
            </w:r>
          </w:p>
        </w:tc>
        <w:tc>
          <w:tcPr>
            <w:tcW w:w="2551" w:type="dxa"/>
            <w:vAlign w:val="center"/>
          </w:tcPr>
          <w:p>
            <w:pPr>
              <w:pStyle w:val="11"/>
            </w:pPr>
            <w:r>
              <w:t>15.85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28.47</w:t>
            </w:r>
          </w:p>
        </w:tc>
        <w:tc>
          <w:tcPr>
            <w:tcW w:w="2551" w:type="dxa"/>
            <w:vAlign w:val="center"/>
          </w:tcPr>
          <w:p>
            <w:pPr>
              <w:pStyle w:val="11"/>
            </w:pPr>
          </w:p>
        </w:tc>
        <w:tc>
          <w:tcPr>
            <w:tcW w:w="2551" w:type="dxa"/>
            <w:vAlign w:val="center"/>
          </w:tcPr>
          <w:p>
            <w:pPr>
              <w:pStyle w:val="11"/>
            </w:pPr>
            <w:r>
              <w:t>28.47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1.25</w:t>
            </w:r>
          </w:p>
        </w:tc>
        <w:tc>
          <w:tcPr>
            <w:tcW w:w="2551" w:type="dxa"/>
            <w:vAlign w:val="center"/>
          </w:tcPr>
          <w:p>
            <w:pPr>
              <w:pStyle w:val="11"/>
            </w:pPr>
          </w:p>
        </w:tc>
        <w:tc>
          <w:tcPr>
            <w:tcW w:w="2551" w:type="dxa"/>
            <w:vAlign w:val="center"/>
          </w:tcPr>
          <w:p>
            <w:pPr>
              <w:pStyle w:val="11"/>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6.62</w:t>
            </w:r>
          </w:p>
        </w:tc>
        <w:tc>
          <w:tcPr>
            <w:tcW w:w="2551" w:type="dxa"/>
            <w:vAlign w:val="center"/>
          </w:tcPr>
          <w:p>
            <w:pPr>
              <w:pStyle w:val="11"/>
            </w:pPr>
          </w:p>
        </w:tc>
        <w:tc>
          <w:tcPr>
            <w:tcW w:w="2551" w:type="dxa"/>
            <w:vAlign w:val="center"/>
          </w:tcPr>
          <w:p>
            <w:pPr>
              <w:pStyle w:val="11"/>
            </w:pPr>
            <w:r>
              <w:t>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0.22</w:t>
            </w:r>
          </w:p>
        </w:tc>
        <w:tc>
          <w:tcPr>
            <w:tcW w:w="2551" w:type="dxa"/>
            <w:vAlign w:val="center"/>
          </w:tcPr>
          <w:p>
            <w:pPr>
              <w:pStyle w:val="11"/>
            </w:pPr>
          </w:p>
        </w:tc>
        <w:tc>
          <w:tcPr>
            <w:tcW w:w="2551" w:type="dxa"/>
            <w:vAlign w:val="center"/>
          </w:tcPr>
          <w:p>
            <w:pPr>
              <w:pStyle w:val="11"/>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2.07</w:t>
            </w:r>
          </w:p>
        </w:tc>
        <w:tc>
          <w:tcPr>
            <w:tcW w:w="2551" w:type="dxa"/>
            <w:vAlign w:val="center"/>
          </w:tcPr>
          <w:p>
            <w:pPr>
              <w:pStyle w:val="11"/>
            </w:pPr>
          </w:p>
        </w:tc>
        <w:tc>
          <w:tcPr>
            <w:tcW w:w="2551" w:type="dxa"/>
            <w:vAlign w:val="center"/>
          </w:tcPr>
          <w:p>
            <w:pPr>
              <w:pStyle w:val="11"/>
            </w:pPr>
            <w:r>
              <w:t>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2.33</w:t>
            </w:r>
          </w:p>
        </w:tc>
        <w:tc>
          <w:tcPr>
            <w:tcW w:w="2551" w:type="dxa"/>
            <w:vAlign w:val="center"/>
          </w:tcPr>
          <w:p>
            <w:pPr>
              <w:pStyle w:val="11"/>
            </w:pPr>
          </w:p>
        </w:tc>
        <w:tc>
          <w:tcPr>
            <w:tcW w:w="2551" w:type="dxa"/>
            <w:vAlign w:val="center"/>
          </w:tcPr>
          <w:p>
            <w:pPr>
              <w:pStyle w:val="11"/>
            </w:pPr>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9.18</w:t>
            </w:r>
          </w:p>
        </w:tc>
        <w:tc>
          <w:tcPr>
            <w:tcW w:w="2551" w:type="dxa"/>
            <w:vAlign w:val="center"/>
          </w:tcPr>
          <w:p>
            <w:pPr>
              <w:pStyle w:val="11"/>
            </w:pPr>
          </w:p>
        </w:tc>
        <w:tc>
          <w:tcPr>
            <w:tcW w:w="2551" w:type="dxa"/>
            <w:vAlign w:val="center"/>
          </w:tcPr>
          <w:p>
            <w:pPr>
              <w:pStyle w:val="11"/>
            </w:pPr>
            <w:r>
              <w:t>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46.54</w:t>
            </w:r>
          </w:p>
        </w:tc>
        <w:tc>
          <w:tcPr>
            <w:tcW w:w="2551" w:type="dxa"/>
            <w:vAlign w:val="center"/>
          </w:tcPr>
          <w:p>
            <w:pPr>
              <w:pStyle w:val="11"/>
            </w:pPr>
            <w:r>
              <w:t>46.54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46.54</w:t>
            </w:r>
          </w:p>
        </w:tc>
        <w:tc>
          <w:tcPr>
            <w:tcW w:w="2551" w:type="dxa"/>
            <w:vAlign w:val="center"/>
          </w:tcPr>
          <w:p>
            <w:pPr>
              <w:pStyle w:val="11"/>
            </w:pPr>
            <w:r>
              <w:t>46.54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319新乐市审计局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319新乐市审计局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319新乐市审计局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2.33</w:t>
            </w:r>
          </w:p>
        </w:tc>
        <w:tc>
          <w:tcPr>
            <w:tcW w:w="2381" w:type="dxa"/>
            <w:vAlign w:val="center"/>
          </w:tcPr>
          <w:p>
            <w:pPr>
              <w:pStyle w:val="15"/>
            </w:pPr>
            <w:r>
              <w:t>2.33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2.33</w:t>
            </w:r>
          </w:p>
        </w:tc>
        <w:tc>
          <w:tcPr>
            <w:tcW w:w="2381" w:type="dxa"/>
            <w:vAlign w:val="center"/>
          </w:tcPr>
          <w:p>
            <w:pPr>
              <w:pStyle w:val="11"/>
            </w:pPr>
            <w:r>
              <w:t>2.33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2.33</w:t>
            </w:r>
          </w:p>
        </w:tc>
        <w:tc>
          <w:tcPr>
            <w:tcW w:w="2381" w:type="dxa"/>
            <w:vAlign w:val="center"/>
          </w:tcPr>
          <w:p>
            <w:pPr>
              <w:pStyle w:val="11"/>
            </w:pPr>
            <w:r>
              <w:t>2.33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新乐市审计局2026年</w:t>
      </w:r>
      <w:r>
        <w:rPr>
          <w:rFonts w:hint="eastAsia" w:ascii="方正小标宋_GBK" w:hAnsi="方正小标宋_GBK" w:eastAsia="方正小标宋_GBK" w:cs="方正小标宋_GBK"/>
          <w:color w:val="000000"/>
          <w:sz w:val="44"/>
          <w:lang w:eastAsia="zh-CN"/>
        </w:rPr>
        <w:t>部门</w:t>
      </w:r>
      <w:r>
        <w:rPr>
          <w:rFonts w:ascii="方正小标宋_GBK" w:hAnsi="方正小标宋_GBK" w:eastAsia="方正小标宋_GBK" w:cs="方正小标宋_GBK"/>
          <w:color w:val="000000"/>
          <w:sz w:val="44"/>
        </w:rPr>
        <w:t>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按照《中华人民共和国预算法》、《地方预决算公开操作规程》和《关于进一步推进预算公开工作的实施意见》规定，现将新乐市审计局本级2026年单位预算公开如下：</w:t>
      </w:r>
    </w:p>
    <w:p>
      <w:pPr>
        <w:spacing w:before="10" w:after="10"/>
        <w:ind w:firstLine="640"/>
        <w:outlineLvl w:val="5"/>
      </w:pPr>
      <w:r>
        <w:rPr>
          <w:rFonts w:ascii="黑体" w:hAnsi="黑体" w:eastAsia="黑体" w:cs="黑体"/>
          <w:color w:val="000000"/>
          <w:sz w:val="32"/>
        </w:rPr>
        <w:t>一、</w:t>
      </w:r>
      <w:r>
        <w:rPr>
          <w:rFonts w:hint="eastAsia" w:ascii="黑体" w:hAnsi="黑体" w:eastAsia="黑体" w:cs="黑体"/>
          <w:color w:val="000000"/>
          <w:sz w:val="32"/>
          <w:lang w:eastAsia="zh-CN"/>
        </w:rPr>
        <w:t>部门</w:t>
      </w:r>
      <w:r>
        <w:rPr>
          <w:rFonts w:ascii="黑体" w:hAnsi="黑体" w:eastAsia="黑体" w:cs="黑体"/>
          <w:color w:val="000000"/>
          <w:sz w:val="32"/>
        </w:rPr>
        <w:t>职责及机构设置情况</w:t>
      </w:r>
    </w:p>
    <w:p>
      <w:pPr>
        <w:ind w:firstLine="640"/>
      </w:pPr>
      <w:r>
        <w:rPr>
          <w:rFonts w:hint="eastAsia" w:ascii="方正楷体_GBK" w:hAnsi="方正楷体_GBK" w:eastAsia="方正楷体_GBK" w:cs="方正楷体_GBK"/>
          <w:b/>
          <w:color w:val="000000"/>
          <w:sz w:val="32"/>
          <w:lang w:eastAsia="zh-CN"/>
        </w:rPr>
        <w:t>部门</w:t>
      </w:r>
      <w:r>
        <w:rPr>
          <w:rFonts w:ascii="方正楷体_GBK" w:hAnsi="方正楷体_GBK" w:eastAsia="方正楷体_GBK" w:cs="方正楷体_GBK"/>
          <w:b/>
          <w:color w:val="000000"/>
          <w:sz w:val="32"/>
        </w:rPr>
        <w:t>职责：</w:t>
      </w:r>
    </w:p>
    <w:p>
      <w:pPr>
        <w:pStyle w:val="17"/>
      </w:pPr>
      <w:r>
        <w:t>（1）主管全市审计工作。负责对全市财政收支和依法属于审计监督范围的财务收支的真实、合法和效益进行审计监督，对公共资金、国有资产、国有资源和领导干部履行经济责任情况实行审计全覆盖，对领导干部实行自然资源资产离任审计，对国家、省、石家庄市和新乐市有关重大政策措施贯彻落实情况进行跟踪审计。对审计、专项审计调查和核查社会审计机构相关审计报告的结果承担责任，并负有督促被审计单位整改的责任。</w:t>
      </w:r>
    </w:p>
    <w:p>
      <w:pPr>
        <w:pStyle w:val="17"/>
      </w:pPr>
      <w:r>
        <w:t xml:space="preserve">（2）贯彻执行审计法律、法规和方针、政策。组织起草审计规定草案；拟订审计工作发展规划、专业领域审计工作规划，以及年度审计计划并组织实施，对直接审计、调查和核查的事项依法进行审计评价，作出审计决定或提出审计建议。   </w:t>
      </w:r>
    </w:p>
    <w:p>
      <w:pPr>
        <w:pStyle w:val="17"/>
      </w:pPr>
      <w:r>
        <w:t>（3）向中共新乐市委审计委员会提出年度市本级预算执行和其他财政收支情况审计报告。向市长提出年度市本级预算执行和其他财政收支情况的审计结果报告。组织起草市政府向市人大常委会提出市本级预算执行和其他财政收支情况的审计工作报告、审计查出问题整改情况报告。向市委、市政府报告对其他事项的审计和专项审计调查情况及结果。依法向社会公布审计结果。向被审计单位通报审计情况和审计结果。</w:t>
      </w:r>
    </w:p>
    <w:p>
      <w:pPr>
        <w:pStyle w:val="17"/>
      </w:pPr>
      <w:r>
        <w:t>（4）直接审计下列事项，出具审计报告，在法定职权范围内作出审计决定，包括国家、省、石家庄市和新乐市有关重大政策措施贯彻落实情况；市本级预算执行情况和其他财政收支，市直各部门（含所属单位）预算执行情况、决算草案和其他财政收支；中央和省、石家庄市财政转移支付资金；使用市本级财政资金的事业单位和社会团体的财务收支；市投资和以市投资为主的建设项目的预算执行情况和决算，市重大公共工程项目的资金管理使用和建设运营情况；自然资源管理、污染防治和生态保护与修复情况；市属国有企业、市属国有资本占控股或主导地位的企业，上级授权审计的金融机构的境内外资产、负债和损益，市驻外非经营性机构的财务收支；有关社会保障基金、社会捐赠资金和其他基金、资金的财务收支；上级授权审计的国际组织和外国政府援助、贷款项目的财务收支；法律法规规定的其他事项。</w:t>
      </w:r>
    </w:p>
    <w:p>
      <w:pPr>
        <w:pStyle w:val="17"/>
      </w:pPr>
      <w:r>
        <w:t>（5）按规定对市管党政主要领导干部及其他单位主要负责人实施经济责任审计和自然资源资产离任审计。</w:t>
      </w:r>
    </w:p>
    <w:p>
      <w:pPr>
        <w:pStyle w:val="17"/>
      </w:pPr>
      <w:r>
        <w:t>（6）组织实施对财经法律法规、规章、政策和宏观调控措施执行情况、财政预算管理及国有资产管理使用等与财政收支有关的特定事项进行专项审计调查。</w:t>
      </w:r>
    </w:p>
    <w:p>
      <w:pPr>
        <w:pStyle w:val="17"/>
      </w:pPr>
      <w:r>
        <w:t>（7）依法检查审计决定执行情况，督促整改审计查出的问题，依法办理被审计单位对审计决定提请行政复议、行政诉讼或市政府裁决中的有关事项；协助配合有关部门查处相关重大案件。   （8）指导和监督内部审计工作，核查社会审计机构对依法属于审计监督对象的单位出具的相关审计报告。</w:t>
      </w:r>
    </w:p>
    <w:p>
      <w:pPr>
        <w:pStyle w:val="17"/>
      </w:pPr>
      <w:r>
        <w:t>（9）会同市委机构编制委员会办公室，对党政机关和所属事业单位的机构设置、编制使用，以及有关机构编制规定的执行情况进行审计调查。</w:t>
      </w:r>
    </w:p>
    <w:p>
      <w:pPr>
        <w:pStyle w:val="17"/>
      </w:pPr>
      <w:r>
        <w:t>（10）组织开展审计领域的交流与合作，负责审计信息系统建设，推广信息技术在审计领域的应用。</w:t>
      </w:r>
    </w:p>
    <w:p>
      <w:pPr>
        <w:pStyle w:val="17"/>
      </w:pPr>
      <w:r>
        <w:t>（11）完成市委、市政府和上级审计机关交办的其他任务。</w:t>
      </w:r>
    </w:p>
    <w:p>
      <w:pPr>
        <w:ind w:firstLine="640"/>
      </w:pPr>
      <w:r>
        <w:rPr>
          <w:rFonts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lang w:eastAsia="zh-CN"/>
        </w:rPr>
        <w:t>部门</w:t>
      </w:r>
      <w:r>
        <w:rPr>
          <w:rFonts w:ascii="方正小标宋_GBK" w:hAnsi="方正小标宋_GBK" w:eastAsia="方正小标宋_GBK" w:cs="方正小标宋_GBK"/>
          <w:color w:val="000000"/>
          <w:sz w:val="32"/>
        </w:rPr>
        <w:t>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新乐市审计局本级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w:t>
      </w:r>
      <w:r>
        <w:rPr>
          <w:rFonts w:hint="eastAsia" w:ascii="黑体" w:hAnsi="黑体" w:eastAsia="黑体" w:cs="黑体"/>
          <w:color w:val="000000"/>
          <w:sz w:val="32"/>
          <w:lang w:eastAsia="zh-CN"/>
        </w:rPr>
        <w:t>部门</w:t>
      </w:r>
      <w:r>
        <w:rPr>
          <w:rFonts w:ascii="黑体" w:hAnsi="黑体" w:eastAsia="黑体" w:cs="黑体"/>
          <w:color w:val="000000"/>
          <w:sz w:val="32"/>
        </w:rPr>
        <w:t>预算安排的总体情况</w:t>
      </w:r>
    </w:p>
    <w:p>
      <w:pPr>
        <w:pStyle w:val="18"/>
      </w:pPr>
      <w:r>
        <w:t>按照预算管理有关规定，目前</w:t>
      </w:r>
      <w:r>
        <w:rPr>
          <w:rFonts w:hint="eastAsia"/>
        </w:rPr>
        <w:t>部门</w:t>
      </w:r>
      <w:r>
        <w:t>预算的编制实行综合预算管理，即全部收入和支出都反映在预算中。新乐市审计局机关及所属事业单位的收支包含在部门预算中。</w:t>
      </w:r>
    </w:p>
    <w:p>
      <w:pPr>
        <w:pStyle w:val="18"/>
      </w:pPr>
      <w:r>
        <w:t>1、收入说明</w:t>
      </w:r>
    </w:p>
    <w:p>
      <w:pPr>
        <w:pStyle w:val="18"/>
      </w:pPr>
      <w:r>
        <w:t>反映本</w:t>
      </w:r>
      <w:r>
        <w:rPr>
          <w:rFonts w:hint="eastAsia"/>
        </w:rPr>
        <w:t>部门</w:t>
      </w:r>
      <w:r>
        <w:t>当年全部收入。2026年预算收入476.94万元，其中：一般公共预算收入476.94万元，基金预算收入0.00万元，国有资本经营预算收入0.00万元，财政专户核拨收入0.00万元，单位资金收入0.00万元，上年结转结余0.00万元。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收支预算总表支出栏、基本支出表、项目支出表按经济分类和支出功能分类科目编制，反映新乐市审计局年度</w:t>
      </w:r>
      <w:r>
        <w:rPr>
          <w:rFonts w:hint="eastAsia"/>
        </w:rPr>
        <w:t>部门</w:t>
      </w:r>
      <w:r>
        <w:t>预算中支出预算的总体情况。2026年支出预算476.94万元，其中基本支出476.94万元，包括人员经费448.47万元和日常公用经费28.47万元；项目支出0.00万元，主要为本</w:t>
      </w:r>
      <w:r>
        <w:rPr>
          <w:rFonts w:hint="eastAsia"/>
        </w:rPr>
        <w:t>部门</w:t>
      </w:r>
      <w:r>
        <w:t>2026年度未安排项目支出预算。；预计下年使用的单位资金结余0.00万元。委托业务费共计安排0.00万元，主要用于因技术原因确需对外委托的辅助性工作和确有必要对外委托开展咨询、评审、规划等工作。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2026年预算收支安排476.94万元，较2025年预算增加13.37万元，其中：基本支出增加13.37万元，主要为人员经费自然增长。项目支出增加0.00万元，主要为本</w:t>
      </w:r>
      <w:r>
        <w:rPr>
          <w:rFonts w:hint="eastAsia"/>
        </w:rPr>
        <w:t>部门</w:t>
      </w:r>
      <w:r>
        <w:t>2026年度未安排项目支出预算。预计下年使用的单位资金结余增加0.00万元。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19"/>
      </w:pPr>
      <w:r>
        <w:t>2026年，我</w:t>
      </w:r>
      <w:r>
        <w:rPr>
          <w:rFonts w:hint="eastAsia"/>
        </w:rPr>
        <w:t>部门</w:t>
      </w:r>
      <w:r>
        <w:t>机关运行经费共计安排28.47万元，主要用于日常维修、办公用房水电费、办公用房取暖费、办公用房物业管理费等日常运行支出。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2026年，我</w:t>
      </w:r>
      <w:r>
        <w:rPr>
          <w:rFonts w:hint="eastAsia"/>
        </w:rPr>
        <w:t>部门</w:t>
      </w:r>
      <w:r>
        <w:t>财政拨款“三公”经费预算安排2.33万元，其中因公出国（境）费0.00万元；公务用车购置及运维费2.33万元（其中：公务用车购置费为0.00万元，公务用车运维费2.33万元)；公务接待费0.00万元。与2025年相比减少0.07万元，增减变化的主要原因是公务用车严格执行相关制度，厉行节约。</w:t>
      </w:r>
    </w:p>
    <w:p>
      <w:pPr>
        <w:spacing w:before="10" w:after="10" w:line="360" w:lineRule="auto"/>
        <w:ind w:firstLine="640"/>
        <w:outlineLvl w:val="2"/>
      </w:pPr>
      <w:bookmarkStart w:id="0" w:name="_Toc_3_3_0000000014"/>
      <w:r>
        <w:rPr>
          <w:rFonts w:ascii="黑体" w:hAnsi="黑体" w:eastAsia="黑体" w:cs="黑体"/>
          <w:color w:val="000000"/>
          <w:sz w:val="32"/>
        </w:rPr>
        <w:t>五、部门整体绩效目标</w:t>
      </w:r>
      <w:bookmarkEnd w:id="0"/>
    </w:p>
    <w:p>
      <w:pPr>
        <w:pStyle w:val="22"/>
      </w:pPr>
      <w:r>
        <w:t>（一）总体绩效目标</w:t>
      </w:r>
    </w:p>
    <w:p>
      <w:pPr>
        <w:pStyle w:val="22"/>
      </w:pPr>
      <w:r>
        <w:t>一是把学习贯彻习近平总书记关于审计工作“如臂使指、如影随形、如雷贯耳”的重要要求与学习贯彻习近平总书记视察河北、视察石家庄重要讲话和重要指示精神结合起来，与贯彻落实省委、石家庄市委和新乐市委部署要求结合起来，准确把握新时代审计职责定位和使命任务，切实把党的领导落实到谋划审计工作、履行审计职责、实施审计项目的全过程、各环节，以实际行动忠诚捍卫“两个确立”、坚决做到“两个维护”。</w:t>
      </w:r>
    </w:p>
    <w:p>
      <w:pPr>
        <w:pStyle w:val="22"/>
      </w:pPr>
      <w:r>
        <w:t>二是围绕市委、市政府中心工作，充分发挥审计监督作用。聚焦主责主业，加大对政府“钱袋子”的审计力度，做好国有资产的“看门人”，财政资金的“守护者”；加强分析研判、持续开展政策跟踪审计;加强对市管党政主要领导干部和国有企事业单位主要领导人员的审计监督，加大任中审计力度；扎实组织开展就业、教育、医疗、住房、社保、养老等重点民生政策落实、民生资金使用等审计;扎实做好跟踪审计和项目竣工决算审计,切实牢牢守好政府“钱袋子”，做到应审尽审、凡审必严，切实形成常态化、动态化震慑。  三是深入贯彻落实习近平总书记关于审计整改工作的重要指示批示精神，加强审计发现问题整改工作的统筹谋划，严格落实审计整改跟踪督促检查责任，健全审计查出问题整改长效机制督促审计查出问题全面整改落实，切实发挥审计整改监督作用，对审计发现的问题，坚持一盯到底，逐条逐项拉出清单，定责任、定时限、定标准，完成一个、销号一个，确保审计发现的问题条条有整改、件件有着落。    四是加强审计队伍建设，扎实做好业务培训和实践锻炼，不断提升审计人员业务能力和综合素质。坚持不懈用习近平新时代中国特色社会主义思想凝心铸魂，筑牢廉洁审计防线，发扬审计优良斗争精神，坚持敢审敢严、真审真严，在职责范围内依法监督，更好发挥审计在推进党的自我革命中的独特作用。深入开展主题教育和审计队伍教育整顿，建设忠诚干净担当的高素质专业化审计干部队伍。</w:t>
      </w:r>
    </w:p>
    <w:p>
      <w:pPr>
        <w:pStyle w:val="22"/>
      </w:pPr>
    </w:p>
    <w:p>
      <w:pPr>
        <w:spacing w:line="500" w:lineRule="exact"/>
        <w:ind w:firstLine="560"/>
      </w:pPr>
      <w:r>
        <w:rPr>
          <w:rFonts w:eastAsia="方正仿宋_GBK"/>
          <w:color w:val="000000"/>
          <w:sz w:val="28"/>
        </w:rPr>
        <w:t>（二）分项绩效目标</w:t>
      </w:r>
    </w:p>
    <w:p>
      <w:pPr>
        <w:pStyle w:val="23"/>
      </w:pPr>
      <w:r>
        <w:t>1、审计业务方面绩效目标</w:t>
      </w:r>
    </w:p>
    <w:p>
      <w:pPr>
        <w:pStyle w:val="23"/>
      </w:pPr>
      <w:r>
        <w:t>绩效目标：做好国家重大政策措施落实情况跟踪审计、预算执行审计、领导干部经济责任审计、建设项目、信息化建设、自然资源离任审计、有关机构编制规定的执行及使用情况以及上级审计机关，市委、市政府安排的其他审计等工作，通过审计调查，综合分析，向有关部门反映情况，揭露问题、提出解决问题的建议，为政府决策提供依据。</w:t>
      </w:r>
      <w:r>
        <w:tab/>
      </w:r>
    </w:p>
    <w:p>
      <w:pPr>
        <w:pStyle w:val="23"/>
      </w:pPr>
      <w:r>
        <w:t>绩效指标：审计计划完成情况≥100%；审计决定落实情况≥95%、专项审计工作完成率≥100%。</w:t>
      </w:r>
    </w:p>
    <w:p>
      <w:pPr>
        <w:pStyle w:val="23"/>
      </w:pPr>
      <w:r>
        <w:t>2、审计管理方面绩效目标</w:t>
      </w:r>
    </w:p>
    <w:p>
      <w:pPr>
        <w:pStyle w:val="23"/>
      </w:pPr>
      <w:r>
        <w:t>绩效目标：进行内部审计管理和审计法制管理。贯彻落实相关法律法规及内部审计管理制度提高审计质量和审计机关法制管理水平；通过审计项目审理来保障审计质量，提高县级审计法制管理水平。</w:t>
      </w:r>
    </w:p>
    <w:p>
      <w:pPr>
        <w:pStyle w:val="23"/>
      </w:pPr>
      <w:r>
        <w:t>绩效指标：内审业务指导、监督检查率≥95%，审计项目审理覆盖率≥100%</w:t>
      </w:r>
    </w:p>
    <w:p>
      <w:pPr>
        <w:pStyle w:val="23"/>
      </w:pPr>
      <w:r>
        <w:t>3、审计政务管理方面绩效目标</w:t>
      </w:r>
    </w:p>
    <w:p>
      <w:pPr>
        <w:pStyle w:val="23"/>
      </w:pPr>
      <w:r>
        <w:t>绩效目标：充分发挥参谋助手作用和综合协调作用，推进审计事业科学协调发展，信息保障安全有效，信息化建设稳步推进，加强宣传引导；提高审计人员业务水平，保障机关正常运行，推动审计事业发展。</w:t>
      </w:r>
    </w:p>
    <w:p>
      <w:pPr>
        <w:pStyle w:val="23"/>
      </w:pPr>
      <w:r>
        <w:t>绩效指标：综合业务管理工作完成率≥95%，综合事务管理工作完成率≥95%。</w:t>
      </w:r>
    </w:p>
    <w:p>
      <w:pPr>
        <w:spacing w:line="500" w:lineRule="exact"/>
        <w:ind w:firstLine="560"/>
      </w:pPr>
      <w:r>
        <w:rPr>
          <w:rFonts w:eastAsia="方正仿宋_GBK"/>
          <w:color w:val="000000"/>
          <w:sz w:val="28"/>
        </w:rPr>
        <w:t>（三）工作保障措施</w:t>
      </w:r>
    </w:p>
    <w:p>
      <w:pPr>
        <w:pStyle w:val="24"/>
      </w:pPr>
      <w:r>
        <w:t>1、完善管理制度建设。制定各类资金使用和管理办法，确保资金支出有序进行，为全年预算绩效目标的实现奠定制度基础。</w:t>
      </w:r>
    </w:p>
    <w:p>
      <w:pPr>
        <w:pStyle w:val="24"/>
      </w:pPr>
      <w:r>
        <w:t>2、加强日常支出管理。按照“谁花钱、谁负责、谁举证”的原则，实现花钱必问效，确保财务与业务工作紧密衔接。按要求积极开展预算绩效中期评估、终极绩效评价，根据评价结果进行整改，确保绩效目标顺利实现。</w:t>
      </w:r>
    </w:p>
    <w:p>
      <w:pPr>
        <w:pStyle w:val="24"/>
      </w:pPr>
      <w:r>
        <w:t>3、加强绩效运行监控。按要求开展绩效运行监控，全程跟踪预算执行进度，对执行中发现问题及时采取措施，确保绩效目标如期保质实现。</w:t>
      </w:r>
    </w:p>
    <w:p>
      <w:pPr>
        <w:pStyle w:val="24"/>
      </w:pPr>
      <w:r>
        <w:t>4、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pPr>
        <w:pStyle w:val="24"/>
      </w:pPr>
      <w:r>
        <w:t>5、加强内部监督管理。注重内部监督制度建设，确保财政资金安全有效，最大限度发挥财政资金使用效益。</w:t>
      </w:r>
    </w:p>
    <w:p>
      <w:pPr>
        <w:pStyle w:val="24"/>
        <w:sectPr>
          <w:pgSz w:w="16840" w:h="11900" w:orient="landscape"/>
          <w:pgMar w:top="1361" w:right="1020" w:bottom="1361" w:left="1020" w:header="720" w:footer="720" w:gutter="0"/>
          <w:cols w:space="720" w:num="1"/>
        </w:sectPr>
      </w:pPr>
      <w:r>
        <w:t>6、加强审计干部队伍建设。强化对审计干部的日常教育和监督，持续转变工作作风，加大培训力度，扩大培训覆盖面，提高培训效率，努力建设学习型审计机关，打造信念坚定、业务精通、作风务实、清正廉洁的高素质专业化审计队伍。</w:t>
      </w:r>
    </w:p>
    <w:p>
      <w:pPr>
        <w:spacing w:before="10" w:after="10" w:line="360" w:lineRule="auto"/>
        <w:ind w:firstLine="640"/>
        <w:outlineLvl w:val="2"/>
        <w:rPr>
          <w:rFonts w:hint="eastAsia" w:ascii="黑体" w:hAnsi="黑体" w:eastAsia="黑体" w:cs="黑体"/>
          <w:color w:val="000000"/>
          <w:sz w:val="32"/>
          <w:lang w:eastAsia="zh-CN"/>
        </w:rPr>
      </w:pPr>
      <w:bookmarkStart w:id="1" w:name="_Toc_3_3_0000000015"/>
      <w:r>
        <w:rPr>
          <w:rFonts w:ascii="黑体" w:hAnsi="黑体" w:eastAsia="黑体" w:cs="黑体"/>
          <w:color w:val="000000"/>
          <w:sz w:val="32"/>
        </w:rPr>
        <w:t>六、部门主管专项资金预算安排情况及绩效目标</w:t>
      </w:r>
      <w:bookmarkEnd w:id="1"/>
    </w:p>
    <w:p>
      <w:pPr>
        <w:spacing w:before="10" w:after="10" w:line="360" w:lineRule="auto"/>
        <w:outlineLvl w:val="2"/>
        <w:rPr>
          <w:rFonts w:hint="eastAsia" w:ascii="黑体" w:hAnsi="黑体" w:eastAsia="黑体" w:cs="黑体"/>
          <w:color w:val="000000"/>
          <w:sz w:val="32"/>
          <w:lang w:eastAsia="zh-CN"/>
        </w:rPr>
      </w:pPr>
    </w:p>
    <w:p>
      <w:pPr>
        <w:spacing w:before="10" w:after="10" w:line="360" w:lineRule="auto"/>
        <w:outlineLvl w:val="2"/>
        <w:rPr>
          <w:rFonts w:hint="eastAsia"/>
          <w:lang w:eastAsia="zh-CN"/>
        </w:rPr>
        <w:sectPr>
          <w:pgSz w:w="16840" w:h="11900" w:orient="landscape"/>
          <w:pgMar w:top="1361" w:right="1020" w:bottom="1134" w:left="1020" w:header="720" w:footer="720" w:gutter="0"/>
          <w:cols w:space="720" w:num="1"/>
        </w:sectPr>
      </w:pP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2" w:name="_Toc_3_3_0000000016"/>
      <w:r>
        <w:rPr>
          <w:rFonts w:ascii="黑体" w:hAnsi="黑体" w:eastAsia="黑体" w:cs="黑体"/>
          <w:color w:val="000000"/>
          <w:sz w:val="32"/>
        </w:rPr>
        <w:t>七、部门项目预算安排情况及绩效目标</w:t>
      </w:r>
      <w:bookmarkEnd w:id="2"/>
    </w:p>
    <w:p>
      <w:pPr>
        <w:spacing w:before="10" w:after="10"/>
        <w:ind w:firstLine="640"/>
        <w:outlineLvl w:val="5"/>
      </w:pPr>
      <w:r>
        <w:rPr>
          <w:rFonts w:hint="eastAsia" w:ascii="黑体" w:hAnsi="黑体" w:eastAsia="黑体" w:cs="黑体"/>
          <w:color w:val="000000"/>
          <w:sz w:val="32"/>
          <w:lang w:eastAsia="zh-CN"/>
        </w:rPr>
        <w:t>八</w:t>
      </w:r>
      <w:r>
        <w:rPr>
          <w:rFonts w:ascii="黑体" w:hAnsi="黑体" w:eastAsia="黑体" w:cs="黑体"/>
          <w:color w:val="000000"/>
          <w:sz w:val="32"/>
        </w:rPr>
        <w:t>、政府采购预算情况</w:t>
      </w:r>
    </w:p>
    <w:p>
      <w:pPr>
        <w:jc w:val="center"/>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319新乐市审计局</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lang w:eastAsia="zh-CN"/>
        </w:rPr>
        <w:t>九</w:t>
      </w:r>
      <w:r>
        <w:rPr>
          <w:rFonts w:ascii="黑体" w:hAnsi="黑体" w:eastAsia="黑体" w:cs="黑体"/>
          <w:color w:val="000000"/>
          <w:sz w:val="32"/>
        </w:rPr>
        <w:t>、国有资产信息</w:t>
      </w:r>
    </w:p>
    <w:p>
      <w:pPr>
        <w:spacing w:line="500" w:lineRule="exact"/>
        <w:ind w:firstLine="560"/>
      </w:pPr>
      <w:r>
        <w:rPr>
          <w:rFonts w:eastAsia="方正仿宋_GBK"/>
          <w:color w:val="000000"/>
          <w:sz w:val="28"/>
        </w:rPr>
        <w:t>新乐市审计局（含所属单位）上年末固定资产金额为</w:t>
      </w:r>
      <w:r>
        <w:rPr>
          <w:rFonts w:hint="eastAsia"/>
          <w:color w:val="000000"/>
          <w:sz w:val="28"/>
          <w:lang w:eastAsia="zh-CN"/>
        </w:rPr>
        <w:t>75.96</w:t>
      </w:r>
      <w:r>
        <w:rPr>
          <w:rFonts w:eastAsia="方正仿宋_GBK"/>
          <w:color w:val="000000"/>
          <w:sz w:val="28"/>
        </w:rPr>
        <w:t>万元（详见下表）。本年度拟购置固定资产总额为0.00万元，已按要求列入政府采购预算，详见政府采购预算表。</w:t>
      </w:r>
    </w:p>
    <w:p>
      <w:pPr>
        <w:jc w:val="center"/>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319新乐市审计局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263</w:t>
            </w:r>
          </w:p>
        </w:tc>
        <w:tc>
          <w:tcPr>
            <w:tcW w:w="2835" w:type="dxa"/>
            <w:vAlign w:val="center"/>
          </w:tcPr>
          <w:p>
            <w:pPr>
              <w:pStyle w:val="11"/>
            </w:pPr>
            <w:r>
              <w:t>57.87</w:t>
            </w:r>
          </w:p>
        </w:tc>
      </w:tr>
    </w:tbl>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lang w:eastAsia="zh-CN"/>
        </w:rPr>
        <w:t>十</w:t>
      </w:r>
      <w:r>
        <w:rPr>
          <w:rFonts w:ascii="黑体" w:hAnsi="黑体" w:eastAsia="黑体" w:cs="黑体"/>
          <w:color w:val="000000"/>
          <w:sz w:val="32"/>
        </w:rPr>
        <w:t>、名词解释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hint="eastAsia" w:eastAsia="方正仿宋_GBK"/>
          <w:b/>
          <w:color w:val="000000"/>
          <w:sz w:val="28"/>
          <w:lang w:eastAsia="zh-CN"/>
        </w:rPr>
        <w:t>部门</w:t>
      </w:r>
      <w:r>
        <w:rPr>
          <w:rFonts w:eastAsia="方正仿宋_GBK"/>
          <w:b/>
          <w:color w:val="000000"/>
          <w:sz w:val="28"/>
        </w:rPr>
        <w:t>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hint="eastAsia" w:ascii="黑体" w:hAnsi="黑体" w:eastAsia="黑体" w:cs="黑体"/>
          <w:color w:val="000000"/>
          <w:sz w:val="32"/>
          <w:lang w:eastAsia="zh-CN"/>
        </w:rPr>
        <w:t>十一</w:t>
      </w:r>
      <w:r>
        <w:rPr>
          <w:rFonts w:ascii="黑体" w:hAnsi="黑体" w:eastAsia="黑体" w:cs="黑体"/>
          <w:color w:val="000000"/>
          <w:sz w:val="32"/>
        </w:rPr>
        <w:t>、其他需要说明的事项</w:t>
      </w:r>
    </w:p>
    <w:p>
      <w:pPr>
        <w:spacing w:line="500" w:lineRule="exact"/>
        <w:ind w:firstLine="560"/>
      </w:pPr>
      <w:r>
        <w:rPr>
          <w:rFonts w:eastAsia="方正仿宋_GBK"/>
          <w:color w:val="000000"/>
          <w:sz w:val="28"/>
        </w:rPr>
        <w:t>我</w:t>
      </w:r>
      <w:r>
        <w:rPr>
          <w:rFonts w:hint="eastAsia" w:eastAsia="方正仿宋_GBK"/>
          <w:color w:val="000000"/>
          <w:sz w:val="28"/>
          <w:lang w:eastAsia="zh-CN"/>
        </w:rPr>
        <w:t>部门</w:t>
      </w:r>
      <w:r>
        <w:rPr>
          <w:rFonts w:eastAsia="方正仿宋_GBK"/>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3000509000000000000"/>
    <w:charset w:val="86"/>
    <w:family w:val="script"/>
    <w:pitch w:val="default"/>
    <w:sig w:usb0="00000000" w:usb1="00000000" w:usb2="00000010" w:usb3="00000000" w:csb0="00040000" w:csb1="00000000"/>
  </w:font>
  <w:font w:name="方正书宋_GBK">
    <w:altName w:val="宋体"/>
    <w:panose1 w:val="03000509000000000000"/>
    <w:charset w:val="86"/>
    <w:family w:val="script"/>
    <w:pitch w:val="default"/>
    <w:sig w:usb0="00000000" w:usb1="00000000" w:usb2="00000010" w:usb3="00000000" w:csb0="00040000" w:csb1="00000000"/>
  </w:font>
  <w:font w:name="方正仿宋_GBK">
    <w:altName w:val="宋体"/>
    <w:panose1 w:val="03000509000000000000"/>
    <w:charset w:val="86"/>
    <w:family w:val="script"/>
    <w:pitch w:val="default"/>
    <w:sig w:usb0="00000000" w:usb1="00000000" w:usb2="0000001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7390"/>
    <w:rsid w:val="0054741F"/>
    <w:rsid w:val="005638AE"/>
    <w:rsid w:val="005D3A13"/>
    <w:rsid w:val="00654816"/>
    <w:rsid w:val="00697390"/>
    <w:rsid w:val="00757C80"/>
    <w:rsid w:val="00822CA8"/>
    <w:rsid w:val="00E36217"/>
    <w:rsid w:val="00F75108"/>
    <w:rsid w:val="0FF4039F"/>
    <w:rsid w:val="1F014A98"/>
    <w:rsid w:val="28BC211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olor w:val="000000"/>
      <w:sz w:val="28"/>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27</Pages>
  <Words>1918</Words>
  <Characters>10938</Characters>
  <Lines>91</Lines>
  <Paragraphs>25</Paragraphs>
  <TotalTime>3</TotalTime>
  <ScaleCrop>false</ScaleCrop>
  <LinksUpToDate>false</LinksUpToDate>
  <CharactersWithSpaces>12831</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2026-03-04T06:34:00Z</dcterms:created>
  <dc:creator>Administrator</dc:creator>
  <cp:lastModifiedBy>Lenovo-pc</cp:lastModifiedBy>
  <cp:lastPrinted>2026-03-16T07:54:32Z</cp:lastPrinted>
  <dcterms:modified xsi:type="dcterms:W3CDTF">2026-03-16T07:55:20Z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0CF426ECF4064EE09DE9B90DEBDB4827</vt:lpwstr>
  </property>
</Properties>
</file>