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2857.49</w:t>
            </w:r>
          </w:p>
        </w:tc>
        <w:tc>
          <w:tcPr>
            <w:tcW w:w="4535" w:type="dxa"/>
            <w:vAlign w:val="center"/>
          </w:tcPr>
          <w:p>
            <w:pPr>
              <w:pStyle w:val="12"/>
            </w:pPr>
            <w:r>
              <w:t>一、一般公共服务支出</w:t>
            </w:r>
          </w:p>
        </w:tc>
        <w:tc>
          <w:tcPr>
            <w:tcW w:w="2126" w:type="dxa"/>
            <w:vAlign w:val="center"/>
          </w:tcPr>
          <w:p>
            <w:pPr>
              <w:pStyle w:val="11"/>
            </w:pPr>
            <w:r>
              <w:t>1932.10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669.38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2857.49</w:t>
            </w:r>
          </w:p>
        </w:tc>
        <w:tc>
          <w:tcPr>
            <w:tcW w:w="4535" w:type="dxa"/>
            <w:vAlign w:val="center"/>
          </w:tcPr>
          <w:p>
            <w:pPr>
              <w:pStyle w:val="14"/>
            </w:pPr>
            <w:r>
              <w:t>本年支出合计</w:t>
            </w:r>
          </w:p>
        </w:tc>
        <w:tc>
          <w:tcPr>
            <w:tcW w:w="2126" w:type="dxa"/>
            <w:vAlign w:val="center"/>
          </w:tcPr>
          <w:p>
            <w:pPr>
              <w:pStyle w:val="15"/>
            </w:pPr>
            <w:r>
              <w:t>2857.49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2857.49</w:t>
            </w:r>
          </w:p>
        </w:tc>
        <w:tc>
          <w:tcPr>
            <w:tcW w:w="4535" w:type="dxa"/>
            <w:vAlign w:val="center"/>
          </w:tcPr>
          <w:p>
            <w:pPr>
              <w:pStyle w:val="14"/>
            </w:pPr>
            <w:r>
              <w:t>支出总计</w:t>
            </w:r>
          </w:p>
        </w:tc>
        <w:tc>
          <w:tcPr>
            <w:tcW w:w="2126" w:type="dxa"/>
            <w:vAlign w:val="center"/>
          </w:tcPr>
          <w:p>
            <w:pPr>
              <w:pStyle w:val="15"/>
            </w:pPr>
            <w:r>
              <w:t>2857.49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2857.49</w:t>
            </w:r>
          </w:p>
        </w:tc>
        <w:tc>
          <w:tcPr>
            <w:tcW w:w="1134" w:type="dxa"/>
            <w:vAlign w:val="center"/>
          </w:tcPr>
          <w:p>
            <w:pPr>
              <w:pStyle w:val="15"/>
            </w:pPr>
            <w:r>
              <w:t>2857.49</w:t>
            </w:r>
          </w:p>
        </w:tc>
        <w:tc>
          <w:tcPr>
            <w:tcW w:w="1134" w:type="dxa"/>
            <w:vAlign w:val="center"/>
          </w:tcPr>
          <w:p>
            <w:pPr>
              <w:pStyle w:val="15"/>
            </w:pPr>
            <w:r>
              <w:t>2857.49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1932.10</w:t>
            </w:r>
          </w:p>
        </w:tc>
        <w:tc>
          <w:tcPr>
            <w:tcW w:w="1134" w:type="dxa"/>
            <w:vAlign w:val="center"/>
          </w:tcPr>
          <w:p>
            <w:pPr>
              <w:pStyle w:val="11"/>
            </w:pPr>
            <w:r>
              <w:t>1932.10</w:t>
            </w:r>
          </w:p>
        </w:tc>
        <w:tc>
          <w:tcPr>
            <w:tcW w:w="1134" w:type="dxa"/>
            <w:vAlign w:val="center"/>
          </w:tcPr>
          <w:p>
            <w:pPr>
              <w:pStyle w:val="11"/>
            </w:pPr>
            <w:r>
              <w:t>1932.10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1932.10</w:t>
            </w:r>
          </w:p>
        </w:tc>
        <w:tc>
          <w:tcPr>
            <w:tcW w:w="1134" w:type="dxa"/>
            <w:vAlign w:val="center"/>
          </w:tcPr>
          <w:p>
            <w:pPr>
              <w:pStyle w:val="11"/>
            </w:pPr>
            <w:r>
              <w:t>1932.10</w:t>
            </w:r>
          </w:p>
        </w:tc>
        <w:tc>
          <w:tcPr>
            <w:tcW w:w="1134" w:type="dxa"/>
            <w:vAlign w:val="center"/>
          </w:tcPr>
          <w:p>
            <w:pPr>
              <w:pStyle w:val="11"/>
            </w:pPr>
            <w:r>
              <w:t>1932.10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1892.10</w:t>
            </w:r>
          </w:p>
        </w:tc>
        <w:tc>
          <w:tcPr>
            <w:tcW w:w="1134" w:type="dxa"/>
            <w:vAlign w:val="center"/>
          </w:tcPr>
          <w:p>
            <w:pPr>
              <w:pStyle w:val="11"/>
            </w:pPr>
            <w:r>
              <w:t>1892.10</w:t>
            </w:r>
          </w:p>
        </w:tc>
        <w:tc>
          <w:tcPr>
            <w:tcW w:w="1134" w:type="dxa"/>
            <w:vAlign w:val="center"/>
          </w:tcPr>
          <w:p>
            <w:pPr>
              <w:pStyle w:val="11"/>
            </w:pPr>
            <w:r>
              <w:t>1892.10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669.38</w:t>
            </w:r>
          </w:p>
        </w:tc>
        <w:tc>
          <w:tcPr>
            <w:tcW w:w="1134" w:type="dxa"/>
            <w:vAlign w:val="center"/>
          </w:tcPr>
          <w:p>
            <w:pPr>
              <w:pStyle w:val="11"/>
            </w:pPr>
            <w:r>
              <w:t>669.38</w:t>
            </w:r>
          </w:p>
        </w:tc>
        <w:tc>
          <w:tcPr>
            <w:tcW w:w="1134" w:type="dxa"/>
            <w:vAlign w:val="center"/>
          </w:tcPr>
          <w:p>
            <w:pPr>
              <w:pStyle w:val="11"/>
            </w:pPr>
            <w:r>
              <w:t>669.38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629.33</w:t>
            </w:r>
          </w:p>
        </w:tc>
        <w:tc>
          <w:tcPr>
            <w:tcW w:w="1134" w:type="dxa"/>
            <w:vAlign w:val="center"/>
          </w:tcPr>
          <w:p>
            <w:pPr>
              <w:pStyle w:val="11"/>
            </w:pPr>
            <w:r>
              <w:t>629.33</w:t>
            </w:r>
          </w:p>
        </w:tc>
        <w:tc>
          <w:tcPr>
            <w:tcW w:w="1134" w:type="dxa"/>
            <w:vAlign w:val="center"/>
          </w:tcPr>
          <w:p>
            <w:pPr>
              <w:pStyle w:val="11"/>
            </w:pPr>
            <w:r>
              <w:t>629.33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387.93</w:t>
            </w:r>
          </w:p>
        </w:tc>
        <w:tc>
          <w:tcPr>
            <w:tcW w:w="1134" w:type="dxa"/>
            <w:vAlign w:val="center"/>
          </w:tcPr>
          <w:p>
            <w:pPr>
              <w:pStyle w:val="11"/>
            </w:pPr>
            <w:r>
              <w:t>387.93</w:t>
            </w:r>
          </w:p>
        </w:tc>
        <w:tc>
          <w:tcPr>
            <w:tcW w:w="1134" w:type="dxa"/>
            <w:vAlign w:val="center"/>
          </w:tcPr>
          <w:p>
            <w:pPr>
              <w:pStyle w:val="11"/>
            </w:pPr>
            <w:r>
              <w:t>387.93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205.99</w:t>
            </w:r>
          </w:p>
        </w:tc>
        <w:tc>
          <w:tcPr>
            <w:tcW w:w="1134" w:type="dxa"/>
            <w:vAlign w:val="center"/>
          </w:tcPr>
          <w:p>
            <w:pPr>
              <w:pStyle w:val="11"/>
            </w:pPr>
            <w:r>
              <w:t>205.99</w:t>
            </w:r>
          </w:p>
        </w:tc>
        <w:tc>
          <w:tcPr>
            <w:tcW w:w="1134" w:type="dxa"/>
            <w:vAlign w:val="center"/>
          </w:tcPr>
          <w:p>
            <w:pPr>
              <w:pStyle w:val="11"/>
            </w:pPr>
            <w:r>
              <w:t>205.99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r>
              <w:t>35.41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27.74</w:t>
            </w:r>
          </w:p>
        </w:tc>
        <w:tc>
          <w:tcPr>
            <w:tcW w:w="1134" w:type="dxa"/>
            <w:vAlign w:val="center"/>
          </w:tcPr>
          <w:p>
            <w:pPr>
              <w:pStyle w:val="11"/>
            </w:pPr>
            <w:r>
              <w:t>27.74</w:t>
            </w:r>
          </w:p>
        </w:tc>
        <w:tc>
          <w:tcPr>
            <w:tcW w:w="1134" w:type="dxa"/>
            <w:vAlign w:val="center"/>
          </w:tcPr>
          <w:p>
            <w:pPr>
              <w:pStyle w:val="11"/>
            </w:pPr>
            <w:r>
              <w:t>27.74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25.27</w:t>
            </w:r>
          </w:p>
        </w:tc>
        <w:tc>
          <w:tcPr>
            <w:tcW w:w="1134" w:type="dxa"/>
            <w:vAlign w:val="center"/>
          </w:tcPr>
          <w:p>
            <w:pPr>
              <w:pStyle w:val="11"/>
            </w:pPr>
            <w:r>
              <w:t>25.27</w:t>
            </w:r>
          </w:p>
        </w:tc>
        <w:tc>
          <w:tcPr>
            <w:tcW w:w="1134" w:type="dxa"/>
            <w:vAlign w:val="center"/>
          </w:tcPr>
          <w:p>
            <w:pPr>
              <w:pStyle w:val="11"/>
            </w:pPr>
            <w:r>
              <w:t>25.27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2080802</w:t>
            </w:r>
          </w:p>
        </w:tc>
        <w:tc>
          <w:tcPr>
            <w:tcW w:w="1559" w:type="dxa"/>
            <w:vAlign w:val="center"/>
          </w:tcPr>
          <w:p>
            <w:pPr>
              <w:pStyle w:val="12"/>
            </w:pPr>
            <w:r>
              <w:t>伤残抚恤</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r>
              <w:t>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r>
              <w:t>12.31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r>
              <w:t>85.35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r>
              <w:t>170.66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2857.49</w:t>
            </w:r>
          </w:p>
        </w:tc>
        <w:tc>
          <w:tcPr>
            <w:tcW w:w="1361" w:type="dxa"/>
            <w:vAlign w:val="center"/>
          </w:tcPr>
          <w:p>
            <w:pPr>
              <w:pStyle w:val="15"/>
            </w:pPr>
            <w:r>
              <w:t>2817.49</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1932.10</w:t>
            </w:r>
          </w:p>
        </w:tc>
        <w:tc>
          <w:tcPr>
            <w:tcW w:w="1361" w:type="dxa"/>
            <w:vAlign w:val="center"/>
          </w:tcPr>
          <w:p>
            <w:pPr>
              <w:pStyle w:val="11"/>
            </w:pPr>
            <w:r>
              <w:t>1892.10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1932.10</w:t>
            </w:r>
          </w:p>
        </w:tc>
        <w:tc>
          <w:tcPr>
            <w:tcW w:w="1361" w:type="dxa"/>
            <w:vAlign w:val="center"/>
          </w:tcPr>
          <w:p>
            <w:pPr>
              <w:pStyle w:val="11"/>
            </w:pPr>
            <w:r>
              <w:t>1892.10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1892.10</w:t>
            </w:r>
          </w:p>
        </w:tc>
        <w:tc>
          <w:tcPr>
            <w:tcW w:w="1361" w:type="dxa"/>
            <w:vAlign w:val="center"/>
          </w:tcPr>
          <w:p>
            <w:pPr>
              <w:pStyle w:val="11"/>
            </w:pPr>
            <w:r>
              <w:t>1892.10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669.38</w:t>
            </w:r>
          </w:p>
        </w:tc>
        <w:tc>
          <w:tcPr>
            <w:tcW w:w="1361" w:type="dxa"/>
            <w:vAlign w:val="center"/>
          </w:tcPr>
          <w:p>
            <w:pPr>
              <w:pStyle w:val="11"/>
            </w:pPr>
            <w:r>
              <w:t>669.38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629.33</w:t>
            </w:r>
          </w:p>
        </w:tc>
        <w:tc>
          <w:tcPr>
            <w:tcW w:w="1361" w:type="dxa"/>
            <w:vAlign w:val="center"/>
          </w:tcPr>
          <w:p>
            <w:pPr>
              <w:pStyle w:val="11"/>
            </w:pPr>
            <w:r>
              <w:t>629.33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387.93</w:t>
            </w:r>
          </w:p>
        </w:tc>
        <w:tc>
          <w:tcPr>
            <w:tcW w:w="1361" w:type="dxa"/>
            <w:vAlign w:val="center"/>
          </w:tcPr>
          <w:p>
            <w:pPr>
              <w:pStyle w:val="11"/>
            </w:pPr>
            <w:r>
              <w:t>387.93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205.99</w:t>
            </w:r>
          </w:p>
        </w:tc>
        <w:tc>
          <w:tcPr>
            <w:tcW w:w="1361" w:type="dxa"/>
            <w:vAlign w:val="center"/>
          </w:tcPr>
          <w:p>
            <w:pPr>
              <w:pStyle w:val="11"/>
            </w:pPr>
            <w:r>
              <w:t>205.99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35.41</w:t>
            </w:r>
          </w:p>
        </w:tc>
        <w:tc>
          <w:tcPr>
            <w:tcW w:w="1361" w:type="dxa"/>
            <w:vAlign w:val="center"/>
          </w:tcPr>
          <w:p>
            <w:pPr>
              <w:pStyle w:val="11"/>
            </w:pPr>
            <w:r>
              <w:t>35.41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27.74</w:t>
            </w:r>
          </w:p>
        </w:tc>
        <w:tc>
          <w:tcPr>
            <w:tcW w:w="1361" w:type="dxa"/>
            <w:vAlign w:val="center"/>
          </w:tcPr>
          <w:p>
            <w:pPr>
              <w:pStyle w:val="11"/>
            </w:pPr>
            <w:r>
              <w:t>27.74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25.27</w:t>
            </w:r>
          </w:p>
        </w:tc>
        <w:tc>
          <w:tcPr>
            <w:tcW w:w="1361" w:type="dxa"/>
            <w:vAlign w:val="center"/>
          </w:tcPr>
          <w:p>
            <w:pPr>
              <w:pStyle w:val="11"/>
            </w:pPr>
            <w:r>
              <w:t>25.27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2080802</w:t>
            </w:r>
          </w:p>
        </w:tc>
        <w:tc>
          <w:tcPr>
            <w:tcW w:w="4535" w:type="dxa"/>
            <w:vAlign w:val="center"/>
          </w:tcPr>
          <w:p>
            <w:pPr>
              <w:pStyle w:val="12"/>
            </w:pPr>
            <w:r>
              <w:t>伤残抚恤</w:t>
            </w:r>
          </w:p>
        </w:tc>
        <w:tc>
          <w:tcPr>
            <w:tcW w:w="1361" w:type="dxa"/>
            <w:vAlign w:val="center"/>
          </w:tcPr>
          <w:p>
            <w:pPr>
              <w:pStyle w:val="11"/>
            </w:pPr>
            <w:r>
              <w:t>2.47</w:t>
            </w:r>
          </w:p>
        </w:tc>
        <w:tc>
          <w:tcPr>
            <w:tcW w:w="1361" w:type="dxa"/>
            <w:vAlign w:val="center"/>
          </w:tcPr>
          <w:p>
            <w:pPr>
              <w:pStyle w:val="11"/>
            </w:pPr>
            <w:r>
              <w:t>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12.31</w:t>
            </w: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12.31</w:t>
            </w:r>
          </w:p>
        </w:tc>
        <w:tc>
          <w:tcPr>
            <w:tcW w:w="1361" w:type="dxa"/>
            <w:vAlign w:val="center"/>
          </w:tcPr>
          <w:p>
            <w:pPr>
              <w:pStyle w:val="11"/>
            </w:pPr>
            <w:r>
              <w:t>12.31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85.35</w:t>
            </w:r>
          </w:p>
        </w:tc>
        <w:tc>
          <w:tcPr>
            <w:tcW w:w="1361" w:type="dxa"/>
            <w:vAlign w:val="center"/>
          </w:tcPr>
          <w:p>
            <w:pPr>
              <w:pStyle w:val="11"/>
            </w:pPr>
            <w:r>
              <w:t>85.35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85.35</w:t>
            </w:r>
          </w:p>
        </w:tc>
        <w:tc>
          <w:tcPr>
            <w:tcW w:w="1361" w:type="dxa"/>
            <w:vAlign w:val="center"/>
          </w:tcPr>
          <w:p>
            <w:pPr>
              <w:pStyle w:val="11"/>
            </w:pPr>
            <w:r>
              <w:t>85.35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85.35</w:t>
            </w:r>
          </w:p>
        </w:tc>
        <w:tc>
          <w:tcPr>
            <w:tcW w:w="1361" w:type="dxa"/>
            <w:vAlign w:val="center"/>
          </w:tcPr>
          <w:p>
            <w:pPr>
              <w:pStyle w:val="11"/>
            </w:pPr>
            <w:r>
              <w:t>85.35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170.66</w:t>
            </w:r>
          </w:p>
        </w:tc>
        <w:tc>
          <w:tcPr>
            <w:tcW w:w="1361" w:type="dxa"/>
            <w:vAlign w:val="center"/>
          </w:tcPr>
          <w:p>
            <w:pPr>
              <w:pStyle w:val="11"/>
            </w:pPr>
            <w:r>
              <w:t>170.66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170.66</w:t>
            </w:r>
          </w:p>
        </w:tc>
        <w:tc>
          <w:tcPr>
            <w:tcW w:w="1361" w:type="dxa"/>
            <w:vAlign w:val="center"/>
          </w:tcPr>
          <w:p>
            <w:pPr>
              <w:pStyle w:val="11"/>
            </w:pPr>
            <w:r>
              <w:t>170.66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170.66</w:t>
            </w:r>
          </w:p>
        </w:tc>
        <w:tc>
          <w:tcPr>
            <w:tcW w:w="1361" w:type="dxa"/>
            <w:vAlign w:val="center"/>
          </w:tcPr>
          <w:p>
            <w:pPr>
              <w:pStyle w:val="11"/>
            </w:pPr>
            <w:r>
              <w:t>170.66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2857.49</w:t>
            </w:r>
          </w:p>
        </w:tc>
        <w:tc>
          <w:tcPr>
            <w:tcW w:w="3402" w:type="dxa"/>
            <w:vAlign w:val="center"/>
          </w:tcPr>
          <w:p>
            <w:pPr>
              <w:pStyle w:val="12"/>
            </w:pPr>
            <w:r>
              <w:t>一、一般公共服务支出</w:t>
            </w:r>
          </w:p>
        </w:tc>
        <w:tc>
          <w:tcPr>
            <w:tcW w:w="1474" w:type="dxa"/>
            <w:vAlign w:val="center"/>
          </w:tcPr>
          <w:p>
            <w:pPr>
              <w:pStyle w:val="11"/>
            </w:pPr>
            <w:r>
              <w:t>1932.10</w:t>
            </w:r>
          </w:p>
        </w:tc>
        <w:tc>
          <w:tcPr>
            <w:tcW w:w="1474" w:type="dxa"/>
            <w:vAlign w:val="center"/>
          </w:tcPr>
          <w:p>
            <w:pPr>
              <w:pStyle w:val="11"/>
            </w:pPr>
            <w:r>
              <w:t>1932.10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669.38</w:t>
            </w:r>
          </w:p>
        </w:tc>
        <w:tc>
          <w:tcPr>
            <w:tcW w:w="1474" w:type="dxa"/>
            <w:vAlign w:val="center"/>
          </w:tcPr>
          <w:p>
            <w:pPr>
              <w:pStyle w:val="11"/>
            </w:pPr>
            <w:r>
              <w:t>669.38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85.35</w:t>
            </w:r>
          </w:p>
        </w:tc>
        <w:tc>
          <w:tcPr>
            <w:tcW w:w="1474" w:type="dxa"/>
            <w:vAlign w:val="center"/>
          </w:tcPr>
          <w:p>
            <w:pPr>
              <w:pStyle w:val="11"/>
            </w:pPr>
            <w:r>
              <w:t>85.35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170.66</w:t>
            </w:r>
          </w:p>
        </w:tc>
        <w:tc>
          <w:tcPr>
            <w:tcW w:w="1474" w:type="dxa"/>
            <w:vAlign w:val="center"/>
          </w:tcPr>
          <w:p>
            <w:pPr>
              <w:pStyle w:val="11"/>
            </w:pPr>
            <w:r>
              <w:t>170.66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2857.49</w:t>
            </w:r>
          </w:p>
        </w:tc>
        <w:tc>
          <w:tcPr>
            <w:tcW w:w="3402" w:type="dxa"/>
            <w:vAlign w:val="center"/>
          </w:tcPr>
          <w:p>
            <w:pPr>
              <w:pStyle w:val="14"/>
            </w:pPr>
            <w:r>
              <w:t>本年支出合计</w:t>
            </w:r>
          </w:p>
        </w:tc>
        <w:tc>
          <w:tcPr>
            <w:tcW w:w="1474" w:type="dxa"/>
            <w:vAlign w:val="center"/>
          </w:tcPr>
          <w:p>
            <w:pPr>
              <w:pStyle w:val="15"/>
            </w:pPr>
            <w:r>
              <w:t>2857.49</w:t>
            </w:r>
          </w:p>
        </w:tc>
        <w:tc>
          <w:tcPr>
            <w:tcW w:w="1474" w:type="dxa"/>
            <w:vAlign w:val="center"/>
          </w:tcPr>
          <w:p>
            <w:pPr>
              <w:pStyle w:val="15"/>
            </w:pPr>
            <w:r>
              <w:t>2857.49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2857.49</w:t>
            </w:r>
          </w:p>
        </w:tc>
        <w:tc>
          <w:tcPr>
            <w:tcW w:w="3402" w:type="dxa"/>
            <w:vAlign w:val="center"/>
          </w:tcPr>
          <w:p>
            <w:pPr>
              <w:pStyle w:val="14"/>
            </w:pPr>
            <w:r>
              <w:t>支出总计</w:t>
            </w:r>
          </w:p>
        </w:tc>
        <w:tc>
          <w:tcPr>
            <w:tcW w:w="1474" w:type="dxa"/>
            <w:vAlign w:val="center"/>
          </w:tcPr>
          <w:p>
            <w:pPr>
              <w:pStyle w:val="15"/>
            </w:pPr>
            <w:r>
              <w:t>2857.49</w:t>
            </w:r>
          </w:p>
        </w:tc>
        <w:tc>
          <w:tcPr>
            <w:tcW w:w="1474" w:type="dxa"/>
            <w:vAlign w:val="center"/>
          </w:tcPr>
          <w:p>
            <w:pPr>
              <w:pStyle w:val="15"/>
            </w:pPr>
            <w:r>
              <w:t>2857.49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2857.49</w:t>
            </w:r>
          </w:p>
        </w:tc>
        <w:tc>
          <w:tcPr>
            <w:tcW w:w="2551" w:type="dxa"/>
            <w:vAlign w:val="center"/>
          </w:tcPr>
          <w:p>
            <w:pPr>
              <w:pStyle w:val="15"/>
            </w:pPr>
            <w:r>
              <w:t>2817.49</w:t>
            </w: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1932.10</w:t>
            </w:r>
          </w:p>
        </w:tc>
        <w:tc>
          <w:tcPr>
            <w:tcW w:w="2551" w:type="dxa"/>
            <w:vAlign w:val="center"/>
          </w:tcPr>
          <w:p>
            <w:pPr>
              <w:pStyle w:val="11"/>
            </w:pPr>
            <w:r>
              <w:t>1892.10</w:t>
            </w: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1932.10</w:t>
            </w:r>
          </w:p>
        </w:tc>
        <w:tc>
          <w:tcPr>
            <w:tcW w:w="2551" w:type="dxa"/>
            <w:vAlign w:val="center"/>
          </w:tcPr>
          <w:p>
            <w:pPr>
              <w:pStyle w:val="11"/>
            </w:pPr>
            <w:r>
              <w:t>1892.10</w:t>
            </w: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1892.10</w:t>
            </w:r>
          </w:p>
        </w:tc>
        <w:tc>
          <w:tcPr>
            <w:tcW w:w="2551" w:type="dxa"/>
            <w:vAlign w:val="center"/>
          </w:tcPr>
          <w:p>
            <w:pPr>
              <w:pStyle w:val="11"/>
            </w:pPr>
            <w:r>
              <w:t>1892.10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669.38</w:t>
            </w:r>
          </w:p>
        </w:tc>
        <w:tc>
          <w:tcPr>
            <w:tcW w:w="2551" w:type="dxa"/>
            <w:vAlign w:val="center"/>
          </w:tcPr>
          <w:p>
            <w:pPr>
              <w:pStyle w:val="11"/>
            </w:pPr>
            <w:r>
              <w:t>669.38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629.33</w:t>
            </w:r>
          </w:p>
        </w:tc>
        <w:tc>
          <w:tcPr>
            <w:tcW w:w="2551" w:type="dxa"/>
            <w:vAlign w:val="center"/>
          </w:tcPr>
          <w:p>
            <w:pPr>
              <w:pStyle w:val="11"/>
            </w:pPr>
            <w:r>
              <w:t>629.33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387.93</w:t>
            </w:r>
          </w:p>
        </w:tc>
        <w:tc>
          <w:tcPr>
            <w:tcW w:w="2551" w:type="dxa"/>
            <w:vAlign w:val="center"/>
          </w:tcPr>
          <w:p>
            <w:pPr>
              <w:pStyle w:val="11"/>
            </w:pPr>
            <w:r>
              <w:t>387.93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205.99</w:t>
            </w:r>
          </w:p>
        </w:tc>
        <w:tc>
          <w:tcPr>
            <w:tcW w:w="2551" w:type="dxa"/>
            <w:vAlign w:val="center"/>
          </w:tcPr>
          <w:p>
            <w:pPr>
              <w:pStyle w:val="11"/>
            </w:pPr>
            <w:r>
              <w:t>205.99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35.41</w:t>
            </w:r>
          </w:p>
        </w:tc>
        <w:tc>
          <w:tcPr>
            <w:tcW w:w="2551" w:type="dxa"/>
            <w:vAlign w:val="center"/>
          </w:tcPr>
          <w:p>
            <w:pPr>
              <w:pStyle w:val="11"/>
            </w:pPr>
            <w:r>
              <w:t>35.41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27.74</w:t>
            </w:r>
          </w:p>
        </w:tc>
        <w:tc>
          <w:tcPr>
            <w:tcW w:w="2551" w:type="dxa"/>
            <w:vAlign w:val="center"/>
          </w:tcPr>
          <w:p>
            <w:pPr>
              <w:pStyle w:val="11"/>
            </w:pPr>
            <w:r>
              <w:t>27.74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25.27</w:t>
            </w:r>
          </w:p>
        </w:tc>
        <w:tc>
          <w:tcPr>
            <w:tcW w:w="2551" w:type="dxa"/>
            <w:vAlign w:val="center"/>
          </w:tcPr>
          <w:p>
            <w:pPr>
              <w:pStyle w:val="11"/>
            </w:pPr>
            <w:r>
              <w:t>25.27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2080802</w:t>
            </w:r>
          </w:p>
        </w:tc>
        <w:tc>
          <w:tcPr>
            <w:tcW w:w="4535" w:type="dxa"/>
            <w:vAlign w:val="center"/>
          </w:tcPr>
          <w:p>
            <w:pPr>
              <w:pStyle w:val="12"/>
            </w:pPr>
            <w:r>
              <w:t>伤残抚恤</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12.31</w:t>
            </w:r>
          </w:p>
        </w:tc>
        <w:tc>
          <w:tcPr>
            <w:tcW w:w="2551" w:type="dxa"/>
            <w:vAlign w:val="center"/>
          </w:tcPr>
          <w:p>
            <w:pPr>
              <w:pStyle w:val="11"/>
            </w:pPr>
            <w:r>
              <w:t>12.31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12.31</w:t>
            </w:r>
          </w:p>
        </w:tc>
        <w:tc>
          <w:tcPr>
            <w:tcW w:w="2551" w:type="dxa"/>
            <w:vAlign w:val="center"/>
          </w:tcPr>
          <w:p>
            <w:pPr>
              <w:pStyle w:val="11"/>
            </w:pPr>
            <w:r>
              <w:t>12.31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85.35</w:t>
            </w:r>
          </w:p>
        </w:tc>
        <w:tc>
          <w:tcPr>
            <w:tcW w:w="2551" w:type="dxa"/>
            <w:vAlign w:val="center"/>
          </w:tcPr>
          <w:p>
            <w:pPr>
              <w:pStyle w:val="11"/>
            </w:pPr>
            <w:r>
              <w:t>85.35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85.35</w:t>
            </w:r>
          </w:p>
        </w:tc>
        <w:tc>
          <w:tcPr>
            <w:tcW w:w="2551" w:type="dxa"/>
            <w:vAlign w:val="center"/>
          </w:tcPr>
          <w:p>
            <w:pPr>
              <w:pStyle w:val="11"/>
            </w:pPr>
            <w:r>
              <w:t>85.35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85.35</w:t>
            </w:r>
          </w:p>
        </w:tc>
        <w:tc>
          <w:tcPr>
            <w:tcW w:w="2551" w:type="dxa"/>
            <w:vAlign w:val="center"/>
          </w:tcPr>
          <w:p>
            <w:pPr>
              <w:pStyle w:val="11"/>
            </w:pPr>
            <w:r>
              <w:t>85.35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170.66</w:t>
            </w:r>
          </w:p>
        </w:tc>
        <w:tc>
          <w:tcPr>
            <w:tcW w:w="2551" w:type="dxa"/>
            <w:vAlign w:val="center"/>
          </w:tcPr>
          <w:p>
            <w:pPr>
              <w:pStyle w:val="11"/>
            </w:pPr>
            <w:r>
              <w:t>170.66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170.66</w:t>
            </w:r>
          </w:p>
        </w:tc>
        <w:tc>
          <w:tcPr>
            <w:tcW w:w="2551" w:type="dxa"/>
            <w:vAlign w:val="center"/>
          </w:tcPr>
          <w:p>
            <w:pPr>
              <w:pStyle w:val="11"/>
            </w:pPr>
            <w:r>
              <w:t>170.66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170.66</w:t>
            </w:r>
          </w:p>
        </w:tc>
        <w:tc>
          <w:tcPr>
            <w:tcW w:w="2551" w:type="dxa"/>
            <w:vAlign w:val="center"/>
          </w:tcPr>
          <w:p>
            <w:pPr>
              <w:pStyle w:val="11"/>
            </w:pPr>
            <w:r>
              <w:t>170.66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2817.49</w:t>
            </w:r>
          </w:p>
        </w:tc>
        <w:tc>
          <w:tcPr>
            <w:tcW w:w="2551" w:type="dxa"/>
            <w:vAlign w:val="center"/>
          </w:tcPr>
          <w:p>
            <w:pPr>
              <w:pStyle w:val="15"/>
            </w:pPr>
            <w:r>
              <w:t>2487.70</w:t>
            </w:r>
          </w:p>
        </w:tc>
        <w:tc>
          <w:tcPr>
            <w:tcW w:w="2551" w:type="dxa"/>
            <w:vAlign w:val="center"/>
          </w:tcPr>
          <w:p>
            <w:pPr>
              <w:pStyle w:val="15"/>
            </w:pPr>
            <w:r>
              <w:t>329.79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2072.03</w:t>
            </w:r>
          </w:p>
        </w:tc>
        <w:tc>
          <w:tcPr>
            <w:tcW w:w="2551" w:type="dxa"/>
            <w:vAlign w:val="center"/>
          </w:tcPr>
          <w:p>
            <w:pPr>
              <w:pStyle w:val="11"/>
            </w:pPr>
            <w:r>
              <w:t>2072.03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745.92</w:t>
            </w:r>
          </w:p>
        </w:tc>
        <w:tc>
          <w:tcPr>
            <w:tcW w:w="2551" w:type="dxa"/>
            <w:vAlign w:val="center"/>
          </w:tcPr>
          <w:p>
            <w:pPr>
              <w:pStyle w:val="11"/>
            </w:pPr>
            <w:r>
              <w:t>745.92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249.71</w:t>
            </w:r>
          </w:p>
        </w:tc>
        <w:tc>
          <w:tcPr>
            <w:tcW w:w="2551" w:type="dxa"/>
            <w:vAlign w:val="center"/>
          </w:tcPr>
          <w:p>
            <w:pPr>
              <w:pStyle w:val="11"/>
            </w:pPr>
            <w:r>
              <w:t>249.71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187.32</w:t>
            </w:r>
          </w:p>
        </w:tc>
        <w:tc>
          <w:tcPr>
            <w:tcW w:w="2551" w:type="dxa"/>
            <w:vAlign w:val="center"/>
          </w:tcPr>
          <w:p>
            <w:pPr>
              <w:pStyle w:val="11"/>
            </w:pPr>
            <w:r>
              <w:t>187.32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230.62</w:t>
            </w:r>
          </w:p>
        </w:tc>
        <w:tc>
          <w:tcPr>
            <w:tcW w:w="2551" w:type="dxa"/>
            <w:vAlign w:val="center"/>
          </w:tcPr>
          <w:p>
            <w:pPr>
              <w:pStyle w:val="11"/>
            </w:pPr>
            <w:r>
              <w:t>230.62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205.99</w:t>
            </w:r>
          </w:p>
        </w:tc>
        <w:tc>
          <w:tcPr>
            <w:tcW w:w="2551" w:type="dxa"/>
            <w:vAlign w:val="center"/>
          </w:tcPr>
          <w:p>
            <w:pPr>
              <w:pStyle w:val="11"/>
            </w:pPr>
            <w:r>
              <w:t>205.99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35.41</w:t>
            </w:r>
          </w:p>
        </w:tc>
        <w:tc>
          <w:tcPr>
            <w:tcW w:w="2551" w:type="dxa"/>
            <w:vAlign w:val="center"/>
          </w:tcPr>
          <w:p>
            <w:pPr>
              <w:pStyle w:val="11"/>
            </w:pPr>
            <w:r>
              <w:t>35.41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85.35</w:t>
            </w:r>
          </w:p>
        </w:tc>
        <w:tc>
          <w:tcPr>
            <w:tcW w:w="2551" w:type="dxa"/>
            <w:vAlign w:val="center"/>
          </w:tcPr>
          <w:p>
            <w:pPr>
              <w:pStyle w:val="11"/>
            </w:pPr>
            <w:r>
              <w:t>85.35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12.31</w:t>
            </w:r>
          </w:p>
        </w:tc>
        <w:tc>
          <w:tcPr>
            <w:tcW w:w="2551" w:type="dxa"/>
            <w:vAlign w:val="center"/>
          </w:tcPr>
          <w:p>
            <w:pPr>
              <w:pStyle w:val="11"/>
            </w:pPr>
            <w:r>
              <w:t>12.31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170.66</w:t>
            </w:r>
          </w:p>
        </w:tc>
        <w:tc>
          <w:tcPr>
            <w:tcW w:w="2551" w:type="dxa"/>
            <w:vAlign w:val="center"/>
          </w:tcPr>
          <w:p>
            <w:pPr>
              <w:pStyle w:val="11"/>
            </w:pPr>
            <w:r>
              <w:t>170.66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148.74</w:t>
            </w:r>
          </w:p>
        </w:tc>
        <w:tc>
          <w:tcPr>
            <w:tcW w:w="2551" w:type="dxa"/>
            <w:vAlign w:val="center"/>
          </w:tcPr>
          <w:p>
            <w:pPr>
              <w:pStyle w:val="11"/>
            </w:pPr>
            <w:r>
              <w:t>148.74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329.79</w:t>
            </w:r>
          </w:p>
        </w:tc>
        <w:tc>
          <w:tcPr>
            <w:tcW w:w="2551" w:type="dxa"/>
            <w:vAlign w:val="center"/>
          </w:tcPr>
          <w:p>
            <w:pPr>
              <w:pStyle w:val="11"/>
            </w:pPr>
          </w:p>
        </w:tc>
        <w:tc>
          <w:tcPr>
            <w:tcW w:w="2551" w:type="dxa"/>
            <w:vAlign w:val="center"/>
          </w:tcPr>
          <w:p>
            <w:pPr>
              <w:pStyle w:val="11"/>
            </w:pPr>
            <w:r>
              <w:t>329.79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30.68</w:t>
            </w:r>
          </w:p>
        </w:tc>
        <w:tc>
          <w:tcPr>
            <w:tcW w:w="2551" w:type="dxa"/>
            <w:vAlign w:val="center"/>
          </w:tcPr>
          <w:p>
            <w:pPr>
              <w:pStyle w:val="11"/>
            </w:pPr>
          </w:p>
        </w:tc>
        <w:tc>
          <w:tcPr>
            <w:tcW w:w="2551" w:type="dxa"/>
            <w:vAlign w:val="center"/>
          </w:tcPr>
          <w:p>
            <w:pPr>
              <w:pStyle w:val="11"/>
            </w:pPr>
            <w:r>
              <w:t>30.68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55.25</w:t>
            </w:r>
          </w:p>
        </w:tc>
        <w:tc>
          <w:tcPr>
            <w:tcW w:w="2551" w:type="dxa"/>
            <w:vAlign w:val="center"/>
          </w:tcPr>
          <w:p>
            <w:pPr>
              <w:pStyle w:val="11"/>
            </w:pPr>
          </w:p>
        </w:tc>
        <w:tc>
          <w:tcPr>
            <w:tcW w:w="2551" w:type="dxa"/>
            <w:vAlign w:val="center"/>
          </w:tcPr>
          <w:p>
            <w:pPr>
              <w:pStyle w:val="11"/>
            </w:pPr>
            <w:r>
              <w:t>55.25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14.46</w:t>
            </w:r>
          </w:p>
        </w:tc>
        <w:tc>
          <w:tcPr>
            <w:tcW w:w="2551" w:type="dxa"/>
            <w:vAlign w:val="center"/>
          </w:tcPr>
          <w:p>
            <w:pPr>
              <w:pStyle w:val="11"/>
            </w:pPr>
          </w:p>
        </w:tc>
        <w:tc>
          <w:tcPr>
            <w:tcW w:w="2551" w:type="dxa"/>
            <w:vAlign w:val="center"/>
          </w:tcPr>
          <w:p>
            <w:pPr>
              <w:pStyle w:val="11"/>
            </w:pPr>
            <w:r>
              <w:t>14.46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12.50</w:t>
            </w:r>
          </w:p>
        </w:tc>
        <w:tc>
          <w:tcPr>
            <w:tcW w:w="2551" w:type="dxa"/>
            <w:vAlign w:val="center"/>
          </w:tcPr>
          <w:p>
            <w:pPr>
              <w:pStyle w:val="11"/>
            </w:pPr>
          </w:p>
        </w:tc>
        <w:tc>
          <w:tcPr>
            <w:tcW w:w="2551" w:type="dxa"/>
            <w:vAlign w:val="center"/>
          </w:tcPr>
          <w:p>
            <w:pPr>
              <w:pStyle w:val="11"/>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14.84</w:t>
            </w:r>
          </w:p>
        </w:tc>
        <w:tc>
          <w:tcPr>
            <w:tcW w:w="2551" w:type="dxa"/>
            <w:vAlign w:val="center"/>
          </w:tcPr>
          <w:p>
            <w:pPr>
              <w:pStyle w:val="11"/>
            </w:pPr>
          </w:p>
        </w:tc>
        <w:tc>
          <w:tcPr>
            <w:tcW w:w="2551" w:type="dxa"/>
            <w:vAlign w:val="center"/>
          </w:tcPr>
          <w:p>
            <w:pPr>
              <w:pStyle w:val="11"/>
            </w:pPr>
            <w:r>
              <w:t>14.84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54.22</w:t>
            </w:r>
          </w:p>
        </w:tc>
        <w:tc>
          <w:tcPr>
            <w:tcW w:w="2551" w:type="dxa"/>
            <w:vAlign w:val="center"/>
          </w:tcPr>
          <w:p>
            <w:pPr>
              <w:pStyle w:val="11"/>
            </w:pPr>
          </w:p>
        </w:tc>
        <w:tc>
          <w:tcPr>
            <w:tcW w:w="2551" w:type="dxa"/>
            <w:vAlign w:val="center"/>
          </w:tcPr>
          <w:p>
            <w:pPr>
              <w:pStyle w:val="11"/>
            </w:pPr>
            <w:r>
              <w:t>54.22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50.24</w:t>
            </w:r>
          </w:p>
        </w:tc>
        <w:tc>
          <w:tcPr>
            <w:tcW w:w="2551" w:type="dxa"/>
            <w:vAlign w:val="center"/>
          </w:tcPr>
          <w:p>
            <w:pPr>
              <w:pStyle w:val="11"/>
            </w:pPr>
          </w:p>
        </w:tc>
        <w:tc>
          <w:tcPr>
            <w:tcW w:w="2551" w:type="dxa"/>
            <w:vAlign w:val="center"/>
          </w:tcPr>
          <w:p>
            <w:pPr>
              <w:pStyle w:val="11"/>
            </w:pPr>
            <w:r>
              <w:t>50.24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23.27</w:t>
            </w:r>
          </w:p>
        </w:tc>
        <w:tc>
          <w:tcPr>
            <w:tcW w:w="2551" w:type="dxa"/>
            <w:vAlign w:val="center"/>
          </w:tcPr>
          <w:p>
            <w:pPr>
              <w:pStyle w:val="11"/>
            </w:pPr>
          </w:p>
        </w:tc>
        <w:tc>
          <w:tcPr>
            <w:tcW w:w="2551" w:type="dxa"/>
            <w:vAlign w:val="center"/>
          </w:tcPr>
          <w:p>
            <w:pPr>
              <w:pStyle w:val="11"/>
            </w:pPr>
            <w:r>
              <w:t>23.27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415.67</w:t>
            </w:r>
          </w:p>
        </w:tc>
        <w:tc>
          <w:tcPr>
            <w:tcW w:w="2551" w:type="dxa"/>
            <w:vAlign w:val="center"/>
          </w:tcPr>
          <w:p>
            <w:pPr>
              <w:pStyle w:val="11"/>
            </w:pPr>
            <w:r>
              <w:t>415.67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387.93</w:t>
            </w:r>
          </w:p>
        </w:tc>
        <w:tc>
          <w:tcPr>
            <w:tcW w:w="2551" w:type="dxa"/>
            <w:vAlign w:val="center"/>
          </w:tcPr>
          <w:p>
            <w:pPr>
              <w:pStyle w:val="11"/>
            </w:pPr>
            <w:r>
              <w:t>387.93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2.47</w:t>
            </w:r>
          </w:p>
        </w:tc>
        <w:tc>
          <w:tcPr>
            <w:tcW w:w="2551" w:type="dxa"/>
            <w:vAlign w:val="center"/>
          </w:tcPr>
          <w:p>
            <w:pPr>
              <w:pStyle w:val="11"/>
            </w:pPr>
            <w:r>
              <w:t>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25.27</w:t>
            </w:r>
          </w:p>
        </w:tc>
        <w:tc>
          <w:tcPr>
            <w:tcW w:w="2551" w:type="dxa"/>
            <w:vAlign w:val="center"/>
          </w:tcPr>
          <w:p>
            <w:pPr>
              <w:pStyle w:val="11"/>
            </w:pPr>
            <w:r>
              <w:t>25.27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54.22</w:t>
            </w:r>
          </w:p>
        </w:tc>
        <w:tc>
          <w:tcPr>
            <w:tcW w:w="2381" w:type="dxa"/>
            <w:vAlign w:val="center"/>
          </w:tcPr>
          <w:p>
            <w:pPr>
              <w:pStyle w:val="15"/>
            </w:pPr>
            <w:r>
              <w:t>54.22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54.22</w:t>
            </w:r>
          </w:p>
        </w:tc>
        <w:tc>
          <w:tcPr>
            <w:tcW w:w="2381" w:type="dxa"/>
            <w:vAlign w:val="center"/>
          </w:tcPr>
          <w:p>
            <w:pPr>
              <w:pStyle w:val="11"/>
            </w:pPr>
            <w:r>
              <w:t>54.22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54.22</w:t>
            </w:r>
          </w:p>
        </w:tc>
        <w:tc>
          <w:tcPr>
            <w:tcW w:w="2381" w:type="dxa"/>
            <w:vAlign w:val="center"/>
          </w:tcPr>
          <w:p>
            <w:pPr>
              <w:pStyle w:val="11"/>
            </w:pPr>
            <w:r>
              <w:t>54.22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1．主要职能。</w:t>
      </w:r>
    </w:p>
    <w:p>
      <w:pPr>
        <w:pStyle w:val="17"/>
      </w:pPr>
      <w:r>
        <w:t>（一）贯彻落实市场监督管理法律法规、地方性法规、政府规章，组织实施质量强市战略、食品安全战略、标准化战略、知识产权战略，拟订市场监督管理规划并组织实施，规范和维护市场秩序，营造诚实守信、公平竞争的市场环境。</w:t>
      </w:r>
    </w:p>
    <w:p>
      <w:pPr>
        <w:pStyle w:val="17"/>
      </w:pPr>
      <w:r>
        <w:t>（二）负责市场主体信用建设；负责建立市场主体信息公示和共享机制，依法公示和共享有关信息，加强信用监管，推动市场主体信用体系建设。</w:t>
      </w:r>
    </w:p>
    <w:p>
      <w:pPr>
        <w:pStyle w:val="17"/>
      </w:pPr>
      <w:r>
        <w:t>（三）负责市场监管综合执法工作，负责市场监管综合执法队伍建设工作，推动实行统一的市场监管；组织查处市场违法案件；规范市场监管行政执法行为。集中行使粮食、商务方面法律法规规章规定的全部行政处罚权；民族宗教管理方面清真食品的行政处罚权。同时实施与上述范围内法律法规规定的行政处罚权有关的行政监督检查、行政强制措施。</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7"/>
      </w:pPr>
      <w:r>
        <w:t>（五）负责全市宏观质量管理工作，拟定全市质量发展制度和措施并组织实施。统筹全市质量基础设施建设与应用，会同有关部门组织实施重大工程设备质量监理制度，组织重大质量事故调查，组织实施缺陷产品召回制度，监督管理产品防伪工作。</w:t>
      </w:r>
    </w:p>
    <w:p>
      <w:pPr>
        <w:pStyle w:val="17"/>
      </w:pPr>
      <w:r>
        <w:t>（六）负责全市产品质量安全监督管理工作，承担产品质量安全风险监控、监督抽查工作；组织实施质量分级制度、质量安全追溯制度；负责纤维质量监督工作。</w:t>
      </w:r>
    </w:p>
    <w:p>
      <w:pPr>
        <w:pStyle w:val="17"/>
      </w:pPr>
      <w:r>
        <w:t>（七）负责全市特种设备安全监督管理工作，负责特种设备安全监察、监督管理工作，监督检查高耗能特种设备节能标准和锅炉环境保护标准的执行情况。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新乐市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（十）负责统一管理全市计量工作。推行法定计量单位和国家计量制度，管理计量器具及量值传递和比对工作。规范、监督商品量和市场计量行为。</w:t>
      </w:r>
    </w:p>
    <w:p>
      <w:pPr>
        <w:pStyle w:val="17"/>
      </w:pPr>
      <w:r>
        <w:t>（十一）负责统一管理全市标准化工作；宣传贯彻强制性、推荐性国家标准和行业标准、地方标准；依法协调指导和监督团体标准、企业标准制定工作。</w:t>
      </w:r>
    </w:p>
    <w:p>
      <w:pPr>
        <w:pStyle w:val="17"/>
      </w:pPr>
      <w:r>
        <w:t>（十二）负责统一管理全市检验检测工作，推进检验检测机构改革，规范检验检测市场，完善检验检测体系，指导协调检验检测行业发展。</w:t>
      </w:r>
    </w:p>
    <w:p>
      <w:pPr>
        <w:pStyle w:val="17"/>
      </w:pPr>
      <w:r>
        <w:t>（十三）负责统一管理、监督和协调全市认证认可工作，组织实施国家统一的认证认可和合格评定监督管理制度。</w:t>
      </w:r>
    </w:p>
    <w:p>
      <w:pPr>
        <w:pStyle w:val="17"/>
      </w:pPr>
      <w:r>
        <w:t>（十四）负责推进全市知识产权管理工作，拟订加强知识产权强市建设发展规划并组织实施，拟订强化知识产权创造、保护和运用制度并组织实施。</w:t>
      </w:r>
    </w:p>
    <w:p>
      <w:pPr>
        <w:pStyle w:val="17"/>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7"/>
      </w:pPr>
      <w:r>
        <w:t>（十六）负责促进知识产权运用工作，贯彻落实知识产权运用和规范交易管理办法，促进知识产权转移转化；规范知识产权无形资产评估工作；负责知识产权中介服务发展的监督管理工作。</w:t>
      </w:r>
    </w:p>
    <w:p>
      <w:pPr>
        <w:pStyle w:val="17"/>
      </w:pPr>
      <w:r>
        <w:t>（十七）负责建立知识产权公共服务体系，建设便企利民、互联互通的全市知识产权信息公共服务平台，推动商标、专利等知识产权信息的传播利用。</w:t>
      </w:r>
    </w:p>
    <w:p>
      <w:pPr>
        <w:pStyle w:val="17"/>
      </w:pPr>
      <w:r>
        <w:t>（十八）承担上级授权的知识产权代办工作任务，组织实施原产地地理标志统一认定制度。</w:t>
      </w:r>
    </w:p>
    <w:p>
      <w:pPr>
        <w:pStyle w:val="17"/>
      </w:pPr>
      <w:r>
        <w:t>（十九）负责市场监督管理科技和信息化建设、新闻宣传、对外交流与合作；负责协调涉外知识产权事宜。</w:t>
      </w:r>
    </w:p>
    <w:p>
      <w:pPr>
        <w:pStyle w:val="17"/>
      </w:pPr>
      <w:r>
        <w:t>（二十）负责药品（含中药、民族药，下同）、医疗器械和化妆品安全监督管理。贯彻执行国家、省、石家庄市药品、医疗器械和化妆品法律法规，以及鼓励药品、医疗器械和化妆品新技术新产品的管理与服务政策，拟订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（二十三）负责药品、医疗器械和化妆品监督检查工作，贯彻落实国家、省、石家庄市检查制度，依法查处药品、医疗器械和化妆品经营、使用环节的违法行为。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（二十五）负责全市药品监督管理工作。推动落实药品、医疗器械和化妆品安全企业主体责任，组织实施药品、医疗器械和化妆品安全考核。</w:t>
      </w:r>
    </w:p>
    <w:p>
      <w:pPr>
        <w:pStyle w:val="17"/>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（二十七）承接省、石家庄市市场监督管理局委托实施的管理事项。</w:t>
      </w:r>
    </w:p>
    <w:p>
      <w:pPr>
        <w:pStyle w:val="17"/>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2857.49万元，其中：一般公共预算收入2857.49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市场监督管理局本级年度单位预算中支出预算的总体情况。2026年支出预算2857.49万元，其中基本支出2817.49万元，包括人员经费2487.70万元和日常公用经费329.79万元；项目支出40.00万元，主要为上级提前下达省级市场监管补助经费。；预计下年使用的单位资金结余0.00万元。委托业务费共计安排5.00万元，主要用于因技术原因确需对外委托的辅助性工作和确有必要对外委托开展咨询、评审、规划等工作。</w:t>
      </w:r>
    </w:p>
    <w:p>
      <w:pPr>
        <w:pStyle w:val="18"/>
      </w:pPr>
      <w:r>
        <w:t>3、比上年增减情况</w:t>
      </w:r>
    </w:p>
    <w:p>
      <w:pPr>
        <w:pStyle w:val="18"/>
      </w:pPr>
      <w:r>
        <w:t>2026年预算收支安排2857.49万元，较2025年预算增加154.22万元，其中：基本支出增加149.22万元，主要为主要是人员增加和工资调增。项目支出增加5.00万元，主要为上级提前下达省级市场监管补助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2026年，我单位机关运行经费共计安排329.79万元，主要用于日常维修、办公用房水电费、办公用房取暖费、办公用房物业管理费等日常运行支出。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54.22万元，其中因公出国（境）费0.00万元；公务用车购置及运维费54.22万元（其中：公务用车购置费为0.00万元，公务用车运维费54.22万元)；公务接待费0.00万元。与2025年相比减少11.68万元，增减变化的主要原因是主要是2025年度有新增车辆购置费用，2026年无此项费用。</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1、冀财行【2025】94号-提前下达2026年市场监管补助经费绩效目标表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13018426P00005110013W</w:t>
            </w:r>
          </w:p>
        </w:tc>
        <w:tc>
          <w:tcPr>
            <w:tcW w:w="2835" w:type="dxa"/>
            <w:vAlign w:val="center"/>
          </w:tcPr>
          <w:p>
            <w:pPr>
              <w:pStyle w:val="10"/>
            </w:pPr>
            <w:r>
              <w:t>项目名称</w:t>
            </w:r>
          </w:p>
        </w:tc>
        <w:tc>
          <w:tcPr>
            <w:tcW w:w="6095" w:type="dxa"/>
            <w:gridSpan w:val="3"/>
            <w:vAlign w:val="center"/>
          </w:tcPr>
          <w:p>
            <w:pPr>
              <w:pStyle w:val="12"/>
            </w:pPr>
            <w:r>
              <w:t>冀财行【2025】94号-提前下达2026年市场监管补助经费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市场监管过程中基层所建设和特种设备建设等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1.加强基层监督执法，确保市场平稳发展；开展特种设备检验检测，确保特种设备安全；改善执法装备，提升基层市场监管部门执法能力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监督执法次数</w:t>
            </w:r>
          </w:p>
        </w:tc>
        <w:tc>
          <w:tcPr>
            <w:tcW w:w="5386" w:type="dxa"/>
            <w:vAlign w:val="center"/>
          </w:tcPr>
          <w:p>
            <w:pPr>
              <w:pStyle w:val="12"/>
            </w:pPr>
            <w:r>
              <w:t>监督执法次数</w:t>
            </w:r>
          </w:p>
        </w:tc>
        <w:tc>
          <w:tcPr>
            <w:tcW w:w="2268" w:type="dxa"/>
            <w:vAlign w:val="center"/>
          </w:tcPr>
          <w:p>
            <w:pPr>
              <w:pStyle w:val="12"/>
            </w:pPr>
            <w:r>
              <w:t>≥7次</w:t>
            </w:r>
          </w:p>
        </w:tc>
        <w:tc>
          <w:tcPr>
            <w:tcW w:w="1276" w:type="dxa"/>
            <w:vAlign w:val="center"/>
          </w:tcPr>
          <w:p>
            <w:pPr>
              <w:pStyle w:val="12"/>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购置执法装备验收合格率</w:t>
            </w:r>
          </w:p>
        </w:tc>
        <w:tc>
          <w:tcPr>
            <w:tcW w:w="5386" w:type="dxa"/>
            <w:vAlign w:val="center"/>
          </w:tcPr>
          <w:p>
            <w:pPr>
              <w:pStyle w:val="12"/>
            </w:pPr>
            <w:r>
              <w:t>购置执法装备验收合格率</w:t>
            </w:r>
          </w:p>
        </w:tc>
        <w:tc>
          <w:tcPr>
            <w:tcW w:w="2268" w:type="dxa"/>
            <w:vAlign w:val="center"/>
          </w:tcPr>
          <w:p>
            <w:pPr>
              <w:pStyle w:val="12"/>
            </w:pPr>
            <w:r>
              <w:t>100%</w:t>
            </w:r>
          </w:p>
        </w:tc>
        <w:tc>
          <w:tcPr>
            <w:tcW w:w="1276" w:type="dxa"/>
            <w:vAlign w:val="center"/>
          </w:tcPr>
          <w:p>
            <w:pPr>
              <w:pStyle w:val="12"/>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购置执法装备完成时限</w:t>
            </w:r>
          </w:p>
        </w:tc>
        <w:tc>
          <w:tcPr>
            <w:tcW w:w="5386" w:type="dxa"/>
            <w:vAlign w:val="center"/>
          </w:tcPr>
          <w:p>
            <w:pPr>
              <w:pStyle w:val="12"/>
            </w:pPr>
            <w:r>
              <w:t>购置执法装备完成时限</w:t>
            </w:r>
          </w:p>
        </w:tc>
        <w:tc>
          <w:tcPr>
            <w:tcW w:w="2268" w:type="dxa"/>
            <w:vAlign w:val="center"/>
          </w:tcPr>
          <w:p>
            <w:pPr>
              <w:pStyle w:val="12"/>
            </w:pPr>
            <w:r>
              <w:t>2026年12月31日前</w:t>
            </w:r>
          </w:p>
        </w:tc>
        <w:tc>
          <w:tcPr>
            <w:tcW w:w="1276" w:type="dxa"/>
            <w:vAlign w:val="center"/>
          </w:tcPr>
          <w:p>
            <w:pPr>
              <w:pStyle w:val="12"/>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购置执法装备单价成本</w:t>
            </w:r>
          </w:p>
        </w:tc>
        <w:tc>
          <w:tcPr>
            <w:tcW w:w="5386" w:type="dxa"/>
            <w:vAlign w:val="center"/>
          </w:tcPr>
          <w:p>
            <w:pPr>
              <w:pStyle w:val="12"/>
            </w:pPr>
            <w:r>
              <w:t>购置执法装备单价成本</w:t>
            </w:r>
          </w:p>
        </w:tc>
        <w:tc>
          <w:tcPr>
            <w:tcW w:w="2268" w:type="dxa"/>
            <w:vAlign w:val="center"/>
          </w:tcPr>
          <w:p>
            <w:pPr>
              <w:pStyle w:val="12"/>
            </w:pPr>
            <w:r>
              <w:t>≤2万元</w:t>
            </w:r>
          </w:p>
        </w:tc>
        <w:tc>
          <w:tcPr>
            <w:tcW w:w="1276" w:type="dxa"/>
            <w:vAlign w:val="center"/>
          </w:tcPr>
          <w:p>
            <w:pPr>
              <w:pStyle w:val="12"/>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相关国家规定标准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相关国家规定标准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新乐市市场监督管理局本级小计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w:t>
            </w:r>
          </w:p>
        </w:tc>
        <w:tc>
          <w:tcPr>
            <w:tcW w:w="964" w:type="dxa"/>
            <w:vAlign w:val="center"/>
          </w:tcPr>
          <w:p>
            <w:pPr>
              <w:pStyle w:val="15"/>
            </w:pPr>
            <w:r>
              <w:t>10.00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移动存储设备</w:t>
            </w:r>
          </w:p>
        </w:tc>
        <w:tc>
          <w:tcPr>
            <w:tcW w:w="1134" w:type="dxa"/>
            <w:vAlign w:val="center"/>
          </w:tcPr>
          <w:p>
            <w:pPr>
              <w:pStyle w:val="12"/>
            </w:pPr>
            <w:r>
              <w:t>A02010508</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0.05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装订机</w:t>
            </w:r>
          </w:p>
        </w:tc>
        <w:tc>
          <w:tcPr>
            <w:tcW w:w="1134" w:type="dxa"/>
            <w:vAlign w:val="center"/>
          </w:tcPr>
          <w:p>
            <w:pPr>
              <w:pStyle w:val="12"/>
            </w:pPr>
            <w:r>
              <w:t>A02021203</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0.50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0.06</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其他机械设备</w:t>
            </w:r>
          </w:p>
        </w:tc>
        <w:tc>
          <w:tcPr>
            <w:tcW w:w="1134" w:type="dxa"/>
            <w:vAlign w:val="center"/>
          </w:tcPr>
          <w:p>
            <w:pPr>
              <w:pStyle w:val="12"/>
            </w:pPr>
            <w:r>
              <w:t>A02059900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3.30</w:t>
            </w:r>
          </w:p>
        </w:tc>
        <w:tc>
          <w:tcPr>
            <w:tcW w:w="964" w:type="dxa"/>
            <w:vAlign w:val="center"/>
          </w:tcPr>
          <w:p>
            <w:pPr>
              <w:pStyle w:val="11"/>
            </w:pPr>
            <w:r>
              <w:t>6.60</w:t>
            </w:r>
          </w:p>
        </w:tc>
        <w:tc>
          <w:tcPr>
            <w:tcW w:w="964" w:type="dxa"/>
            <w:vAlign w:val="center"/>
          </w:tcPr>
          <w:p>
            <w:pPr>
              <w:pStyle w:val="11"/>
            </w:pPr>
            <w:r>
              <w:t>6.60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其他仪器仪表</w:t>
            </w:r>
          </w:p>
        </w:tc>
        <w:tc>
          <w:tcPr>
            <w:tcW w:w="1134" w:type="dxa"/>
            <w:vAlign w:val="center"/>
          </w:tcPr>
          <w:p>
            <w:pPr>
              <w:pStyle w:val="12"/>
            </w:pPr>
            <w:r>
              <w:t>A02109900</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0.03</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冀财行【2025】94号-提前下达2026年市场监管补助经费</w:t>
            </w:r>
          </w:p>
        </w:tc>
        <w:tc>
          <w:tcPr>
            <w:tcW w:w="964" w:type="dxa"/>
            <w:vAlign w:val="center"/>
          </w:tcPr>
          <w:p>
            <w:pPr>
              <w:pStyle w:val="11"/>
            </w:pPr>
            <w:r>
              <w:t>40.00</w:t>
            </w:r>
          </w:p>
        </w:tc>
        <w:tc>
          <w:tcPr>
            <w:tcW w:w="1134" w:type="dxa"/>
            <w:vAlign w:val="center"/>
          </w:tcPr>
          <w:p>
            <w:pPr>
              <w:pStyle w:val="12"/>
            </w:pPr>
            <w:r>
              <w:t>其他仪器仪表</w:t>
            </w:r>
          </w:p>
        </w:tc>
        <w:tc>
          <w:tcPr>
            <w:tcW w:w="1134" w:type="dxa"/>
            <w:vAlign w:val="center"/>
          </w:tcPr>
          <w:p>
            <w:pPr>
              <w:pStyle w:val="12"/>
            </w:pPr>
            <w:r>
              <w:t>A02109900</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0.03</w:t>
            </w:r>
          </w:p>
        </w:tc>
        <w:tc>
          <w:tcPr>
            <w:tcW w:w="964" w:type="dxa"/>
            <w:vAlign w:val="center"/>
          </w:tcPr>
          <w:p>
            <w:pPr>
              <w:pStyle w:val="11"/>
            </w:pPr>
            <w:r>
              <w:t>0.03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新乐市市场监督管理局本级上年末固定资产金额为1714.13万元（详见下表）。本年度拟购置固定资产总额为10.00万元，已按要求列入政府采购预算，详见政府采购预算表。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12697.79</w:t>
            </w:r>
          </w:p>
        </w:tc>
        <w:tc>
          <w:tcPr>
            <w:tcW w:w="2835" w:type="dxa"/>
            <w:vAlign w:val="center"/>
          </w:tcPr>
          <w:p>
            <w:pPr>
              <w:pStyle w:val="11"/>
            </w:pPr>
            <w:r>
              <w:t>723.71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11305.77</w:t>
            </w:r>
          </w:p>
        </w:tc>
        <w:tc>
          <w:tcPr>
            <w:tcW w:w="2835" w:type="dxa"/>
            <w:vAlign w:val="center"/>
          </w:tcPr>
          <w:p>
            <w:pPr>
              <w:pStyle w:val="11"/>
            </w:pPr>
            <w:r>
              <w:t>634.70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20</w:t>
            </w:r>
          </w:p>
        </w:tc>
        <w:tc>
          <w:tcPr>
            <w:tcW w:w="2835" w:type="dxa"/>
            <w:vAlign w:val="center"/>
          </w:tcPr>
          <w:p>
            <w:pPr>
              <w:pStyle w:val="11"/>
            </w:pPr>
            <w:r>
              <w:t>229.55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760.87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704A98"/>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0</Words>
  <Characters>0</Characters>
  <Lines>0</Lines>
  <Paragraphs>0</Paragraphs>
  <ScaleCrop>false</ScaleCrop>
  <LinksUpToDate>false</LinksUpToDate>
  <CharactersWithSpaces>0</CharactersWithSpaces>
  <Application>WPS Office_10.1.0.5458_F1E327BC-269C-435d-A152-05C5408002CA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2026-03-04T10:54:00Z</dcterms:created>
  <dc:creator>Administrator</dc:creator>
  <cp:lastModifiedBy>Administrator</cp:lastModifiedBy>
  <dcterms:modified xsi:type="dcterms:W3CDTF">2026-03-04T02:54:43Z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2052-10.1.0.5458</vt:lpwstr>
  </property>
</Properties>
</file>