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426001新乐市应急管理局本级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778.82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653.82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778.82</w:t>
            </w:r>
          </w:p>
        </w:tc>
        <w:tc>
          <w:tcPr>
            <w:tcW w:w="4535" w:type="dxa"/>
            <w:vAlign w:val="center"/>
          </w:tcPr>
          <w:p>
            <w:pPr>
              <w:pStyle w:val="14"/>
            </w:pPr>
            <w:r>
              <w:t>本年支出合计</w:t>
            </w:r>
          </w:p>
        </w:tc>
        <w:tc>
          <w:tcPr>
            <w:tcW w:w="2126" w:type="dxa"/>
            <w:vAlign w:val="center"/>
          </w:tcPr>
          <w:p>
            <w:pPr>
              <w:pStyle w:val="15"/>
            </w:pPr>
            <w:r>
              <w:t>839.66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60.85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839.66</w:t>
            </w:r>
          </w:p>
        </w:tc>
        <w:tc>
          <w:tcPr>
            <w:tcW w:w="4535" w:type="dxa"/>
            <w:vAlign w:val="center"/>
          </w:tcPr>
          <w:p>
            <w:pPr>
              <w:pStyle w:val="14"/>
            </w:pPr>
            <w:r>
              <w:t>支出总计</w:t>
            </w:r>
          </w:p>
        </w:tc>
        <w:tc>
          <w:tcPr>
            <w:tcW w:w="2126" w:type="dxa"/>
            <w:vAlign w:val="center"/>
          </w:tcPr>
          <w:p>
            <w:pPr>
              <w:pStyle w:val="15"/>
            </w:pPr>
            <w:r>
              <w:t>839.66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426001新乐市应急管理局本级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839.66</w:t>
            </w:r>
          </w:p>
        </w:tc>
        <w:tc>
          <w:tcPr>
            <w:tcW w:w="1134" w:type="dxa"/>
            <w:vAlign w:val="center"/>
          </w:tcPr>
          <w:p>
            <w:pPr>
              <w:pStyle w:val="15"/>
            </w:pPr>
            <w:r>
              <w:t>778.82</w:t>
            </w:r>
          </w:p>
        </w:tc>
        <w:tc>
          <w:tcPr>
            <w:tcW w:w="1134" w:type="dxa"/>
            <w:vAlign w:val="center"/>
          </w:tcPr>
          <w:p>
            <w:pPr>
              <w:pStyle w:val="15"/>
            </w:pPr>
            <w:r>
              <w:t>778.82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103.84</w:t>
            </w:r>
          </w:p>
        </w:tc>
        <w:tc>
          <w:tcPr>
            <w:tcW w:w="1134" w:type="dxa"/>
            <w:vAlign w:val="center"/>
          </w:tcPr>
          <w:p>
            <w:pPr>
              <w:pStyle w:val="11"/>
            </w:pPr>
            <w:r>
              <w:t>103.84</w:t>
            </w:r>
          </w:p>
        </w:tc>
        <w:tc>
          <w:tcPr>
            <w:tcW w:w="1134" w:type="dxa"/>
            <w:vAlign w:val="center"/>
          </w:tcPr>
          <w:p>
            <w:pPr>
              <w:pStyle w:val="11"/>
            </w:pPr>
            <w:r>
              <w:t>103.84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99.29</w:t>
            </w:r>
          </w:p>
        </w:tc>
        <w:tc>
          <w:tcPr>
            <w:tcW w:w="1134" w:type="dxa"/>
            <w:vAlign w:val="center"/>
          </w:tcPr>
          <w:p>
            <w:pPr>
              <w:pStyle w:val="11"/>
            </w:pPr>
            <w:r>
              <w:t>99.29</w:t>
            </w:r>
          </w:p>
        </w:tc>
        <w:tc>
          <w:tcPr>
            <w:tcW w:w="1134" w:type="dxa"/>
            <w:vAlign w:val="center"/>
          </w:tcPr>
          <w:p>
            <w:pPr>
              <w:pStyle w:val="11"/>
            </w:pPr>
            <w:r>
              <w:t>99.29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33.58</w:t>
            </w:r>
          </w:p>
        </w:tc>
        <w:tc>
          <w:tcPr>
            <w:tcW w:w="1134" w:type="dxa"/>
            <w:vAlign w:val="center"/>
          </w:tcPr>
          <w:p>
            <w:pPr>
              <w:pStyle w:val="11"/>
            </w:pPr>
            <w:r>
              <w:t>33.58</w:t>
            </w:r>
          </w:p>
        </w:tc>
        <w:tc>
          <w:tcPr>
            <w:tcW w:w="1134" w:type="dxa"/>
            <w:vAlign w:val="center"/>
          </w:tcPr>
          <w:p>
            <w:pPr>
              <w:pStyle w:val="11"/>
            </w:pPr>
            <w:r>
              <w:t>33.58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653.82</w:t>
            </w:r>
          </w:p>
        </w:tc>
        <w:tc>
          <w:tcPr>
            <w:tcW w:w="1134" w:type="dxa"/>
            <w:vAlign w:val="center"/>
          </w:tcPr>
          <w:p>
            <w:pPr>
              <w:pStyle w:val="11"/>
            </w:pPr>
            <w:r>
              <w:t>592.98</w:t>
            </w:r>
          </w:p>
        </w:tc>
        <w:tc>
          <w:tcPr>
            <w:tcW w:w="1134" w:type="dxa"/>
            <w:vAlign w:val="center"/>
          </w:tcPr>
          <w:p>
            <w:pPr>
              <w:pStyle w:val="11"/>
            </w:pPr>
            <w:r>
              <w:t>592.98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611.32</w:t>
            </w:r>
          </w:p>
        </w:tc>
        <w:tc>
          <w:tcPr>
            <w:tcW w:w="1134" w:type="dxa"/>
            <w:vAlign w:val="center"/>
          </w:tcPr>
          <w:p>
            <w:pPr>
              <w:pStyle w:val="11"/>
            </w:pPr>
            <w:r>
              <w:t>550.48</w:t>
            </w:r>
          </w:p>
        </w:tc>
        <w:tc>
          <w:tcPr>
            <w:tcW w:w="1134" w:type="dxa"/>
            <w:vAlign w:val="center"/>
          </w:tcPr>
          <w:p>
            <w:pPr>
              <w:pStyle w:val="11"/>
            </w:pPr>
            <w:r>
              <w:t>550.48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60.85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491.79</w:t>
            </w:r>
          </w:p>
        </w:tc>
        <w:tc>
          <w:tcPr>
            <w:tcW w:w="1134" w:type="dxa"/>
            <w:vAlign w:val="center"/>
          </w:tcPr>
          <w:p>
            <w:pPr>
              <w:pStyle w:val="11"/>
            </w:pPr>
            <w:r>
              <w:t>491.79</w:t>
            </w:r>
          </w:p>
        </w:tc>
        <w:tc>
          <w:tcPr>
            <w:tcW w:w="1134" w:type="dxa"/>
            <w:vAlign w:val="center"/>
          </w:tcPr>
          <w:p>
            <w:pPr>
              <w:pStyle w:val="11"/>
            </w:pPr>
            <w:r>
              <w:t>491.79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119.53</w:t>
            </w:r>
          </w:p>
        </w:tc>
        <w:tc>
          <w:tcPr>
            <w:tcW w:w="1134" w:type="dxa"/>
            <w:vAlign w:val="center"/>
          </w:tcPr>
          <w:p>
            <w:pPr>
              <w:pStyle w:val="11"/>
            </w:pPr>
            <w:r>
              <w:t>58.69</w:t>
            </w:r>
          </w:p>
        </w:tc>
        <w:tc>
          <w:tcPr>
            <w:tcW w:w="1134" w:type="dxa"/>
            <w:vAlign w:val="center"/>
          </w:tcPr>
          <w:p>
            <w:pPr>
              <w:pStyle w:val="11"/>
            </w:pPr>
            <w:r>
              <w:t>58.69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839.66</w:t>
            </w:r>
          </w:p>
        </w:tc>
        <w:tc>
          <w:tcPr>
            <w:tcW w:w="1361" w:type="dxa"/>
            <w:vAlign w:val="center"/>
          </w:tcPr>
          <w:p>
            <w:pPr>
              <w:pStyle w:val="15"/>
            </w:pPr>
            <w:r>
              <w:t>657.63</w:t>
            </w:r>
          </w:p>
        </w:tc>
        <w:tc>
          <w:tcPr>
            <w:tcW w:w="1361" w:type="dxa"/>
            <w:vAlign w:val="center"/>
          </w:tcPr>
          <w:p>
            <w:pPr>
              <w:pStyle w:val="15"/>
            </w:pPr>
            <w:r>
              <w:t>182.03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103.84</w:t>
            </w:r>
          </w:p>
        </w:tc>
        <w:tc>
          <w:tcPr>
            <w:tcW w:w="1361" w:type="dxa"/>
            <w:vAlign w:val="center"/>
          </w:tcPr>
          <w:p>
            <w:pPr>
              <w:pStyle w:val="11"/>
            </w:pPr>
            <w:r>
              <w:t>103.84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99.29</w:t>
            </w:r>
          </w:p>
        </w:tc>
        <w:tc>
          <w:tcPr>
            <w:tcW w:w="1361" w:type="dxa"/>
            <w:vAlign w:val="center"/>
          </w:tcPr>
          <w:p>
            <w:pPr>
              <w:pStyle w:val="11"/>
            </w:pPr>
            <w:r>
              <w:t>99.29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33.58</w:t>
            </w:r>
          </w:p>
        </w:tc>
        <w:tc>
          <w:tcPr>
            <w:tcW w:w="1361" w:type="dxa"/>
            <w:vAlign w:val="center"/>
          </w:tcPr>
          <w:p>
            <w:pPr>
              <w:pStyle w:val="11"/>
            </w:pPr>
            <w:r>
              <w:t>33.58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1.05</w:t>
            </w:r>
          </w:p>
        </w:tc>
        <w:tc>
          <w:tcPr>
            <w:tcW w:w="1361" w:type="dxa"/>
            <w:vAlign w:val="center"/>
          </w:tcPr>
          <w:p>
            <w:pPr>
              <w:pStyle w:val="11"/>
            </w:pPr>
            <w:r>
              <w:t>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1.05</w:t>
            </w:r>
          </w:p>
        </w:tc>
        <w:tc>
          <w:tcPr>
            <w:tcW w:w="1361" w:type="dxa"/>
            <w:vAlign w:val="center"/>
          </w:tcPr>
          <w:p>
            <w:pPr>
              <w:pStyle w:val="11"/>
            </w:pPr>
            <w:r>
              <w:t>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653.82</w:t>
            </w:r>
          </w:p>
        </w:tc>
        <w:tc>
          <w:tcPr>
            <w:tcW w:w="1361" w:type="dxa"/>
            <w:vAlign w:val="center"/>
          </w:tcPr>
          <w:p>
            <w:pPr>
              <w:pStyle w:val="11"/>
            </w:pPr>
            <w:r>
              <w:t>471.79</w:t>
            </w:r>
          </w:p>
        </w:tc>
        <w:tc>
          <w:tcPr>
            <w:tcW w:w="1361" w:type="dxa"/>
            <w:vAlign w:val="center"/>
          </w:tcPr>
          <w:p>
            <w:pPr>
              <w:pStyle w:val="11"/>
            </w:pPr>
            <w:r>
              <w:t>182.03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611.32</w:t>
            </w:r>
          </w:p>
        </w:tc>
        <w:tc>
          <w:tcPr>
            <w:tcW w:w="1361" w:type="dxa"/>
            <w:vAlign w:val="center"/>
          </w:tcPr>
          <w:p>
            <w:pPr>
              <w:pStyle w:val="11"/>
            </w:pPr>
            <w:r>
              <w:t>471.79</w:t>
            </w:r>
          </w:p>
        </w:tc>
        <w:tc>
          <w:tcPr>
            <w:tcW w:w="1361" w:type="dxa"/>
            <w:vAlign w:val="center"/>
          </w:tcPr>
          <w:p>
            <w:pPr>
              <w:pStyle w:val="11"/>
            </w:pPr>
            <w:r>
              <w:t>139.53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491.79</w:t>
            </w:r>
          </w:p>
        </w:tc>
        <w:tc>
          <w:tcPr>
            <w:tcW w:w="1361" w:type="dxa"/>
            <w:vAlign w:val="center"/>
          </w:tcPr>
          <w:p>
            <w:pPr>
              <w:pStyle w:val="11"/>
            </w:pPr>
            <w:r>
              <w:t>471.79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2240109</w:t>
            </w:r>
          </w:p>
        </w:tc>
        <w:tc>
          <w:tcPr>
            <w:tcW w:w="4535" w:type="dxa"/>
            <w:vAlign w:val="center"/>
          </w:tcPr>
          <w:p>
            <w:pPr>
              <w:pStyle w:val="12"/>
            </w:pPr>
            <w:r>
              <w:t>应急管理</w:t>
            </w:r>
          </w:p>
        </w:tc>
        <w:tc>
          <w:tcPr>
            <w:tcW w:w="1361" w:type="dxa"/>
            <w:vAlign w:val="center"/>
          </w:tcPr>
          <w:p>
            <w:pPr>
              <w:pStyle w:val="11"/>
            </w:pPr>
            <w:r>
              <w:t>119.53</w:t>
            </w:r>
          </w:p>
        </w:tc>
        <w:tc>
          <w:tcPr>
            <w:tcW w:w="1361" w:type="dxa"/>
            <w:vAlign w:val="center"/>
          </w:tcPr>
          <w:p>
            <w:pPr>
              <w:pStyle w:val="11"/>
            </w:pPr>
          </w:p>
        </w:tc>
        <w:tc>
          <w:tcPr>
            <w:tcW w:w="1361" w:type="dxa"/>
            <w:vAlign w:val="center"/>
          </w:tcPr>
          <w:p>
            <w:pPr>
              <w:pStyle w:val="11"/>
            </w:pPr>
            <w:r>
              <w:t>119.53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778.82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103.84</w:t>
            </w:r>
          </w:p>
        </w:tc>
        <w:tc>
          <w:tcPr>
            <w:tcW w:w="1474" w:type="dxa"/>
            <w:vAlign w:val="center"/>
          </w:tcPr>
          <w:p>
            <w:pPr>
              <w:pStyle w:val="11"/>
            </w:pPr>
            <w:r>
              <w:t>103.84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27.00</w:t>
            </w:r>
          </w:p>
        </w:tc>
        <w:tc>
          <w:tcPr>
            <w:tcW w:w="1474" w:type="dxa"/>
            <w:vAlign w:val="center"/>
          </w:tcPr>
          <w:p>
            <w:pPr>
              <w:pStyle w:val="11"/>
            </w:pPr>
            <w:r>
              <w:t>27.00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55.00</w:t>
            </w:r>
          </w:p>
        </w:tc>
        <w:tc>
          <w:tcPr>
            <w:tcW w:w="1474" w:type="dxa"/>
            <w:vAlign w:val="center"/>
          </w:tcPr>
          <w:p>
            <w:pPr>
              <w:pStyle w:val="11"/>
            </w:pPr>
            <w:r>
              <w:t>55.00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653.82</w:t>
            </w:r>
          </w:p>
        </w:tc>
        <w:tc>
          <w:tcPr>
            <w:tcW w:w="1474" w:type="dxa"/>
            <w:vAlign w:val="center"/>
          </w:tcPr>
          <w:p>
            <w:pPr>
              <w:pStyle w:val="11"/>
            </w:pPr>
            <w:r>
              <w:t>653.82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778.82</w:t>
            </w:r>
          </w:p>
        </w:tc>
        <w:tc>
          <w:tcPr>
            <w:tcW w:w="3402" w:type="dxa"/>
            <w:vAlign w:val="center"/>
          </w:tcPr>
          <w:p>
            <w:pPr>
              <w:pStyle w:val="14"/>
            </w:pPr>
            <w:r>
              <w:t>本年支出合计</w:t>
            </w:r>
          </w:p>
        </w:tc>
        <w:tc>
          <w:tcPr>
            <w:tcW w:w="1474" w:type="dxa"/>
            <w:vAlign w:val="center"/>
          </w:tcPr>
          <w:p>
            <w:pPr>
              <w:pStyle w:val="15"/>
            </w:pPr>
            <w:r>
              <w:t>839.66</w:t>
            </w:r>
          </w:p>
        </w:tc>
        <w:tc>
          <w:tcPr>
            <w:tcW w:w="1474" w:type="dxa"/>
            <w:vAlign w:val="center"/>
          </w:tcPr>
          <w:p>
            <w:pPr>
              <w:pStyle w:val="15"/>
            </w:pPr>
            <w:r>
              <w:t>839.66</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60.85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60.85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839.66</w:t>
            </w:r>
          </w:p>
        </w:tc>
        <w:tc>
          <w:tcPr>
            <w:tcW w:w="3402" w:type="dxa"/>
            <w:vAlign w:val="center"/>
          </w:tcPr>
          <w:p>
            <w:pPr>
              <w:pStyle w:val="14"/>
            </w:pPr>
            <w:r>
              <w:t>支出总计</w:t>
            </w:r>
          </w:p>
        </w:tc>
        <w:tc>
          <w:tcPr>
            <w:tcW w:w="1474" w:type="dxa"/>
            <w:vAlign w:val="center"/>
          </w:tcPr>
          <w:p>
            <w:pPr>
              <w:pStyle w:val="15"/>
            </w:pPr>
            <w:r>
              <w:t>839.66</w:t>
            </w:r>
          </w:p>
        </w:tc>
        <w:tc>
          <w:tcPr>
            <w:tcW w:w="1474" w:type="dxa"/>
            <w:vAlign w:val="center"/>
          </w:tcPr>
          <w:p>
            <w:pPr>
              <w:pStyle w:val="15"/>
            </w:pPr>
            <w:r>
              <w:t>839.66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839.66</w:t>
            </w:r>
          </w:p>
        </w:tc>
        <w:tc>
          <w:tcPr>
            <w:tcW w:w="2551" w:type="dxa"/>
            <w:vAlign w:val="center"/>
          </w:tcPr>
          <w:p>
            <w:pPr>
              <w:pStyle w:val="15"/>
            </w:pPr>
            <w:r>
              <w:t>657.63</w:t>
            </w:r>
          </w:p>
        </w:tc>
        <w:tc>
          <w:tcPr>
            <w:tcW w:w="2551" w:type="dxa"/>
            <w:vAlign w:val="center"/>
          </w:tcPr>
          <w:p>
            <w:pPr>
              <w:pStyle w:val="15"/>
            </w:pPr>
            <w:r>
              <w:t>182.03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103.84</w:t>
            </w:r>
          </w:p>
        </w:tc>
        <w:tc>
          <w:tcPr>
            <w:tcW w:w="2551" w:type="dxa"/>
            <w:vAlign w:val="center"/>
          </w:tcPr>
          <w:p>
            <w:pPr>
              <w:pStyle w:val="11"/>
            </w:pPr>
            <w:r>
              <w:t>103.84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99.29</w:t>
            </w:r>
          </w:p>
        </w:tc>
        <w:tc>
          <w:tcPr>
            <w:tcW w:w="2551" w:type="dxa"/>
            <w:vAlign w:val="center"/>
          </w:tcPr>
          <w:p>
            <w:pPr>
              <w:pStyle w:val="11"/>
            </w:pPr>
            <w:r>
              <w:t>99.29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33.58</w:t>
            </w:r>
          </w:p>
        </w:tc>
        <w:tc>
          <w:tcPr>
            <w:tcW w:w="2551" w:type="dxa"/>
            <w:vAlign w:val="center"/>
          </w:tcPr>
          <w:p>
            <w:pPr>
              <w:pStyle w:val="11"/>
            </w:pPr>
            <w:r>
              <w:t>33.58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653.82</w:t>
            </w:r>
          </w:p>
        </w:tc>
        <w:tc>
          <w:tcPr>
            <w:tcW w:w="2551" w:type="dxa"/>
            <w:vAlign w:val="center"/>
          </w:tcPr>
          <w:p>
            <w:pPr>
              <w:pStyle w:val="11"/>
            </w:pPr>
            <w:r>
              <w:t>471.79</w:t>
            </w:r>
          </w:p>
        </w:tc>
        <w:tc>
          <w:tcPr>
            <w:tcW w:w="2551" w:type="dxa"/>
            <w:vAlign w:val="center"/>
          </w:tcPr>
          <w:p>
            <w:pPr>
              <w:pStyle w:val="11"/>
            </w:pPr>
            <w:r>
              <w:t>182.03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611.32</w:t>
            </w:r>
          </w:p>
        </w:tc>
        <w:tc>
          <w:tcPr>
            <w:tcW w:w="2551" w:type="dxa"/>
            <w:vAlign w:val="center"/>
          </w:tcPr>
          <w:p>
            <w:pPr>
              <w:pStyle w:val="11"/>
            </w:pPr>
            <w:r>
              <w:t>471.79</w:t>
            </w:r>
          </w:p>
        </w:tc>
        <w:tc>
          <w:tcPr>
            <w:tcW w:w="2551" w:type="dxa"/>
            <w:vAlign w:val="center"/>
          </w:tcPr>
          <w:p>
            <w:pPr>
              <w:pStyle w:val="11"/>
            </w:pPr>
            <w:r>
              <w:t>139.53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491.79</w:t>
            </w:r>
          </w:p>
        </w:tc>
        <w:tc>
          <w:tcPr>
            <w:tcW w:w="2551" w:type="dxa"/>
            <w:vAlign w:val="center"/>
          </w:tcPr>
          <w:p>
            <w:pPr>
              <w:pStyle w:val="11"/>
            </w:pPr>
            <w:r>
              <w:t>471.79</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119.53</w:t>
            </w:r>
          </w:p>
        </w:tc>
        <w:tc>
          <w:tcPr>
            <w:tcW w:w="2551" w:type="dxa"/>
            <w:vAlign w:val="center"/>
          </w:tcPr>
          <w:p>
            <w:pPr>
              <w:pStyle w:val="11"/>
            </w:pPr>
          </w:p>
        </w:tc>
        <w:tc>
          <w:tcPr>
            <w:tcW w:w="2551" w:type="dxa"/>
            <w:vAlign w:val="center"/>
          </w:tcPr>
          <w:p>
            <w:pPr>
              <w:pStyle w:val="11"/>
            </w:pPr>
            <w:r>
              <w:t>119.53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657.63</w:t>
            </w:r>
          </w:p>
        </w:tc>
        <w:tc>
          <w:tcPr>
            <w:tcW w:w="2551" w:type="dxa"/>
            <w:vAlign w:val="center"/>
          </w:tcPr>
          <w:p>
            <w:pPr>
              <w:pStyle w:val="15"/>
            </w:pPr>
            <w:r>
              <w:t>610.44</w:t>
            </w:r>
          </w:p>
        </w:tc>
        <w:tc>
          <w:tcPr>
            <w:tcW w:w="2551" w:type="dxa"/>
            <w:vAlign w:val="center"/>
          </w:tcPr>
          <w:p>
            <w:pPr>
              <w:pStyle w:val="15"/>
            </w:pPr>
            <w:r>
              <w:t>47.19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575.81</w:t>
            </w:r>
          </w:p>
        </w:tc>
        <w:tc>
          <w:tcPr>
            <w:tcW w:w="2551" w:type="dxa"/>
            <w:vAlign w:val="center"/>
          </w:tcPr>
          <w:p>
            <w:pPr>
              <w:pStyle w:val="11"/>
            </w:pPr>
            <w:r>
              <w:t>575.81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215.23</w:t>
            </w:r>
          </w:p>
        </w:tc>
        <w:tc>
          <w:tcPr>
            <w:tcW w:w="2551" w:type="dxa"/>
            <w:vAlign w:val="center"/>
          </w:tcPr>
          <w:p>
            <w:pPr>
              <w:pStyle w:val="11"/>
            </w:pPr>
            <w:r>
              <w:t>215.23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63.16</w:t>
            </w:r>
          </w:p>
        </w:tc>
        <w:tc>
          <w:tcPr>
            <w:tcW w:w="2551" w:type="dxa"/>
            <w:vAlign w:val="center"/>
          </w:tcPr>
          <w:p>
            <w:pPr>
              <w:pStyle w:val="11"/>
            </w:pPr>
            <w:r>
              <w:t>63.16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32.23</w:t>
            </w:r>
          </w:p>
        </w:tc>
        <w:tc>
          <w:tcPr>
            <w:tcW w:w="2551" w:type="dxa"/>
            <w:vAlign w:val="center"/>
          </w:tcPr>
          <w:p>
            <w:pPr>
              <w:pStyle w:val="11"/>
            </w:pPr>
            <w:r>
              <w:t>32.23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113.98</w:t>
            </w:r>
          </w:p>
        </w:tc>
        <w:tc>
          <w:tcPr>
            <w:tcW w:w="2551" w:type="dxa"/>
            <w:vAlign w:val="center"/>
          </w:tcPr>
          <w:p>
            <w:pPr>
              <w:pStyle w:val="11"/>
            </w:pPr>
            <w:r>
              <w:t>113.98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47.19</w:t>
            </w:r>
          </w:p>
        </w:tc>
        <w:tc>
          <w:tcPr>
            <w:tcW w:w="2551" w:type="dxa"/>
            <w:vAlign w:val="center"/>
          </w:tcPr>
          <w:p>
            <w:pPr>
              <w:pStyle w:val="11"/>
            </w:pPr>
          </w:p>
        </w:tc>
        <w:tc>
          <w:tcPr>
            <w:tcW w:w="2551" w:type="dxa"/>
            <w:vAlign w:val="center"/>
          </w:tcPr>
          <w:p>
            <w:pPr>
              <w:pStyle w:val="11"/>
            </w:pPr>
            <w:r>
              <w:t>47.19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5.86</w:t>
            </w:r>
          </w:p>
        </w:tc>
        <w:tc>
          <w:tcPr>
            <w:tcW w:w="2551" w:type="dxa"/>
            <w:vAlign w:val="center"/>
          </w:tcPr>
          <w:p>
            <w:pPr>
              <w:pStyle w:val="11"/>
            </w:pPr>
          </w:p>
        </w:tc>
        <w:tc>
          <w:tcPr>
            <w:tcW w:w="2551" w:type="dxa"/>
            <w:vAlign w:val="center"/>
          </w:tcPr>
          <w:p>
            <w:pPr>
              <w:pStyle w:val="11"/>
            </w:pPr>
            <w:r>
              <w:t>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6.84</w:t>
            </w:r>
          </w:p>
        </w:tc>
        <w:tc>
          <w:tcPr>
            <w:tcW w:w="2551" w:type="dxa"/>
            <w:vAlign w:val="center"/>
          </w:tcPr>
          <w:p>
            <w:pPr>
              <w:pStyle w:val="11"/>
            </w:pPr>
          </w:p>
        </w:tc>
        <w:tc>
          <w:tcPr>
            <w:tcW w:w="2551" w:type="dxa"/>
            <w:vAlign w:val="center"/>
          </w:tcPr>
          <w:p>
            <w:pPr>
              <w:pStyle w:val="11"/>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4.28</w:t>
            </w:r>
          </w:p>
        </w:tc>
        <w:tc>
          <w:tcPr>
            <w:tcW w:w="2551" w:type="dxa"/>
            <w:vAlign w:val="center"/>
          </w:tcPr>
          <w:p>
            <w:pPr>
              <w:pStyle w:val="11"/>
            </w:pPr>
          </w:p>
        </w:tc>
        <w:tc>
          <w:tcPr>
            <w:tcW w:w="2551" w:type="dxa"/>
            <w:vAlign w:val="center"/>
          </w:tcPr>
          <w:p>
            <w:pPr>
              <w:pStyle w:val="11"/>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6.98</w:t>
            </w:r>
          </w:p>
        </w:tc>
        <w:tc>
          <w:tcPr>
            <w:tcW w:w="2551" w:type="dxa"/>
            <w:vAlign w:val="center"/>
          </w:tcPr>
          <w:p>
            <w:pPr>
              <w:pStyle w:val="11"/>
            </w:pPr>
          </w:p>
        </w:tc>
        <w:tc>
          <w:tcPr>
            <w:tcW w:w="2551" w:type="dxa"/>
            <w:vAlign w:val="center"/>
          </w:tcPr>
          <w:p>
            <w:pPr>
              <w:pStyle w:val="11"/>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9.54</w:t>
            </w:r>
          </w:p>
        </w:tc>
        <w:tc>
          <w:tcPr>
            <w:tcW w:w="2551" w:type="dxa"/>
            <w:vAlign w:val="center"/>
          </w:tcPr>
          <w:p>
            <w:pPr>
              <w:pStyle w:val="11"/>
            </w:pPr>
          </w:p>
        </w:tc>
        <w:tc>
          <w:tcPr>
            <w:tcW w:w="2551" w:type="dxa"/>
            <w:vAlign w:val="center"/>
          </w:tcPr>
          <w:p>
            <w:pPr>
              <w:pStyle w:val="11"/>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9.69</w:t>
            </w:r>
          </w:p>
        </w:tc>
        <w:tc>
          <w:tcPr>
            <w:tcW w:w="2551" w:type="dxa"/>
            <w:vAlign w:val="center"/>
          </w:tcPr>
          <w:p>
            <w:pPr>
              <w:pStyle w:val="11"/>
            </w:pPr>
          </w:p>
        </w:tc>
        <w:tc>
          <w:tcPr>
            <w:tcW w:w="2551" w:type="dxa"/>
            <w:vAlign w:val="center"/>
          </w:tcPr>
          <w:p>
            <w:pPr>
              <w:pStyle w:val="11"/>
            </w:pPr>
            <w:r>
              <w:t>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34.63</w:t>
            </w:r>
          </w:p>
        </w:tc>
        <w:tc>
          <w:tcPr>
            <w:tcW w:w="2551" w:type="dxa"/>
            <w:vAlign w:val="center"/>
          </w:tcPr>
          <w:p>
            <w:pPr>
              <w:pStyle w:val="11"/>
            </w:pPr>
            <w:r>
              <w:t>34.63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33.58</w:t>
            </w:r>
          </w:p>
        </w:tc>
        <w:tc>
          <w:tcPr>
            <w:tcW w:w="2551" w:type="dxa"/>
            <w:vAlign w:val="center"/>
          </w:tcPr>
          <w:p>
            <w:pPr>
              <w:pStyle w:val="11"/>
            </w:pPr>
            <w:r>
              <w:t>33.58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426001新乐市应急管理局本级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6.98</w:t>
            </w:r>
          </w:p>
        </w:tc>
        <w:tc>
          <w:tcPr>
            <w:tcW w:w="2381" w:type="dxa"/>
            <w:vAlign w:val="center"/>
          </w:tcPr>
          <w:p>
            <w:pPr>
              <w:pStyle w:val="15"/>
            </w:pPr>
            <w:r>
              <w:t>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6.98</w:t>
            </w:r>
          </w:p>
        </w:tc>
        <w:tc>
          <w:tcPr>
            <w:tcW w:w="2381" w:type="dxa"/>
            <w:vAlign w:val="center"/>
          </w:tcPr>
          <w:p>
            <w:pPr>
              <w:pStyle w:val="11"/>
            </w:pPr>
            <w:r>
              <w:t>6.98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6.98</w:t>
            </w:r>
          </w:p>
        </w:tc>
        <w:tc>
          <w:tcPr>
            <w:tcW w:w="2381" w:type="dxa"/>
            <w:vAlign w:val="center"/>
          </w:tcPr>
          <w:p>
            <w:pPr>
              <w:pStyle w:val="11"/>
            </w:pPr>
            <w:r>
              <w:t>6.98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新乐市应急管理局本级2026年单位预算信息公开情况说明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按照《中华人民共和国预算法》、《地方预决算公开操作规程》和《关于进一步推进预算公开工作的实施意见》规定，现将新乐市应急管理局本级2026年单位预算公开如下：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(一)负责应急管理工作，指导全市各级各部门应对安全生产类、自然灾害类等突发事件和综合防灾减灾救灾工作。 负责安全生产综合监督管理和工矿商贸行业安全生产监督管理工作。</w:t>
      </w:r>
    </w:p>
    <w:p>
      <w:pPr>
        <w:pStyle w:val="17"/>
      </w:pPr>
      <w:r>
        <w:t>(二)拟订应急管理、安全生产等政策规定，组织编制市应急体系建设、安全生产和综合防灾减灾规划，起草地方性 法规和政府规章草案，组织制定相关具体规程并监督实施。</w:t>
      </w:r>
    </w:p>
    <w:p>
      <w:pPr>
        <w:pStyle w:val="17"/>
      </w:pPr>
      <w:r>
        <w:t>(三)指导应急预案体系建设，落实完善事故灾难和自然灾害分级应对制度，组织编制市总体应急预案和安全生产类、 自然灾害类专项预案，综合协调应急预案衔接工作，组织开展预案演练，推动应急避难设施建设。</w:t>
      </w:r>
    </w:p>
    <w:p>
      <w:pPr>
        <w:pStyle w:val="17"/>
      </w:pPr>
      <w:r>
        <w:t>(四)与国家和省系统对接，建立完善全市应急管理信息系统，负责管辖范围内的信息传输渠道的规划和布局;建立 监测预警和灾情报告制度，健全自然灾害信息资源获取和共享机制，依法统一发布灾情。</w:t>
      </w:r>
    </w:p>
    <w:p>
      <w:pPr>
        <w:pStyle w:val="17"/>
      </w:pPr>
      <w:r>
        <w:t>(五)组织指导协调安全生产类、自然灾害类等突发事件应急救援，综合研判突发事件发展态势并提出应对建议，协 助市委、市政府指定的负责同志组织重大灾害应急处置工作。</w:t>
      </w:r>
    </w:p>
    <w:p>
      <w:pPr>
        <w:pStyle w:val="17"/>
      </w:pPr>
      <w:r>
        <w:t>(六)统一协调指挥各类应急专业队伍，建立应急协调联动机制，推进指挥平台对接，衔接驻石解放军和武警部队参</w:t>
      </w:r>
    </w:p>
    <w:p>
      <w:pPr>
        <w:pStyle w:val="17"/>
      </w:pPr>
      <w:r>
        <w:t>81</w:t>
      </w:r>
    </w:p>
    <w:p>
      <w:pPr>
        <w:pStyle w:val="17"/>
      </w:pPr>
    </w:p>
    <w:p>
      <w:pPr>
        <w:pStyle w:val="17"/>
      </w:pPr>
      <w:r>
        <w:t>与应急救援工作。 (七)统筹应急救援力量建设，负责消防、抗洪抢险、地震和地质灾害救援、生产安全事故救援等专业应急救援力量</w:t>
      </w:r>
    </w:p>
    <w:p>
      <w:pPr>
        <w:pStyle w:val="17"/>
      </w:pPr>
      <w:r>
        <w:t>建设，综合协调应急救援队伍，指导各级社会应急救援力量建设。 (八)组织协调森林草原防灭火工作，指导各级森林草原火灾预防、火灾扑救等工作。 (九)指导协调水旱灾害、地震和地质灾害等防治工作，负责自然灾害综合监测预警工作，指导开展自然灾害综合风</w:t>
      </w:r>
    </w:p>
    <w:p>
      <w:pPr>
        <w:pStyle w:val="17"/>
      </w:pPr>
      <w:r>
        <w:t>险评估工作。 (十)组织协调灾害救助工作，组织指导灾情核查、损失评估、救灾捐赠工作，管理、分配救灾款物并监督使用。 (十一)指导协调、监督检查市有关部门和各县(市、区)政府、市政府派出机构(管委会)的安全生产工作，组织</w:t>
      </w:r>
    </w:p>
    <w:p>
      <w:pPr>
        <w:pStyle w:val="17"/>
      </w:pPr>
      <w:r>
        <w:t>开展安全生产巡查、考核工作。 (十二)依法组织指导生产安全事故调查处理，监督事故查处和责任追究落实情况。组织开展自然灾害类突发事件的</w:t>
      </w:r>
    </w:p>
    <w:p>
      <w:pPr>
        <w:pStyle w:val="17"/>
      </w:pPr>
      <w:r>
        <w:t>调查评估工作。 (十三)制定应急物资储备和应急救援装备规划并组织实施，会同市粮食和物资储备等部门建立健全应急物资信息平</w:t>
      </w:r>
    </w:p>
    <w:p>
      <w:pPr>
        <w:pStyle w:val="17"/>
      </w:pPr>
      <w:r>
        <w:t>台和调拨制度，在救灾时统一调度。 (十四)负责应急管理、安全生产宣传教育和培训工作，组织指导应急管理、安全生产的科学技术研究、推广应用和</w:t>
      </w:r>
    </w:p>
    <w:p>
      <w:pPr>
        <w:pStyle w:val="17"/>
      </w:pPr>
      <w:r>
        <w:t>信息化建设工作。 (十五)负责组织指导协调和监督全市安全生产行政执法工作，组织开展对市属企业的执法检查，配合省应急管理部</w:t>
      </w:r>
    </w:p>
    <w:p>
      <w:pPr>
        <w:pStyle w:val="17"/>
      </w:pPr>
      <w:r>
        <w:t>门对驻石中央企业、省属企业的执法检查，组织开展对辖区安全生产重点企业的执法抽查。 (十六)组织开展应急管理方面的区域交流与合作。</w:t>
      </w:r>
    </w:p>
    <w:p>
      <w:pPr>
        <w:pStyle w:val="17"/>
      </w:pPr>
      <w:r>
        <w:t>82</w:t>
      </w:r>
    </w:p>
    <w:p>
      <w:pPr>
        <w:pStyle w:val="17"/>
      </w:pPr>
    </w:p>
    <w:p>
      <w:pPr>
        <w:pStyle w:val="17"/>
      </w:pPr>
      <w:r>
        <w:t>(十七)完成市委、市政府交办的其他任务。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839.66万元，其中：一般公共预算收入778.82万元，基金预算收入0.00万元，国有资本经营预算收入0.00万元，财政专户核拨收入0.00万元，单位资金收入0.00万元，上年结转结余60.85万元。</w:t>
      </w:r>
    </w:p>
    <w:p>
      <w:pPr>
        <w:pStyle w:val="18"/>
      </w:pPr>
      <w:r>
        <w:t>2、支出说明</w:t>
      </w:r>
    </w:p>
    <w:p>
      <w:pPr>
        <w:pStyle w:val="18"/>
      </w:pPr>
      <w:r>
        <w:t>收支预算总表支出栏、基本支出表、项目支出表按经济分类和支出功能分类科目编制，反映新乐市应急管理局本级年度单位预算中支出预算的总体情况。2026年支出预算839.66万元，其中基本支出657.63万元，包括人员经费610.44万元和日常公用经费47.19万元；项目支出182.03万元，主要为有新增国债项目；预计下年使用的单位资金结余0.00万元。委托业务费共计安排45.00万元，主要用于因技术原因确需对外委托的辅助性工作和确有必要对外委托开展咨询、评审、规划等工作。</w:t>
      </w:r>
    </w:p>
    <w:p>
      <w:pPr>
        <w:pStyle w:val="18"/>
      </w:pPr>
      <w:r>
        <w:t>3、比上年增减情况</w:t>
      </w:r>
    </w:p>
    <w:p>
      <w:pPr>
        <w:pStyle w:val="18"/>
      </w:pPr>
      <w:r>
        <w:t>2026年预算收支安排839.66万元，较2025年预算减少9.34万元，其中：基本支出减少29.04万元，主要为机关运转经费减少项目支出增加19.70万元，主要为有新增国债项目。预计下年使用的单位资金结余增加0.00万元。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2026年，我单位机关运行经费共计安排47.19万元，主要用于日常维修、办公用房水电费、办公用房取暖费、办公用房物业管理费等日常运行支出。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6.98万元，其中因公出国（境）费0.00万元；公务用车购置及运维费6.98万元（其中：公务用车购置费为0.00万元，公务用车运维费6.98万元)；公务接待费0.00万元。与2025年相比减少0.22万元，增减变化的主要原因是公车支出减少</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1、2026年本级支出-机关运转经费绩效目标表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13018426P00522310185J</w:t>
            </w:r>
          </w:p>
        </w:tc>
        <w:tc>
          <w:tcPr>
            <w:tcW w:w="2835" w:type="dxa"/>
            <w:vAlign w:val="center"/>
          </w:tcPr>
          <w:p>
            <w:pPr>
              <w:pStyle w:val="10"/>
            </w:pPr>
            <w:r>
              <w:t>项目名称</w:t>
            </w:r>
          </w:p>
        </w:tc>
        <w:tc>
          <w:tcPr>
            <w:tcW w:w="6095" w:type="dxa"/>
            <w:gridSpan w:val="3"/>
            <w:vAlign w:val="center"/>
          </w:tcPr>
          <w:p>
            <w:pPr>
              <w:pStyle w:val="12"/>
            </w:pPr>
            <w:r>
              <w:t>2026年本级支出-机关运转经费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1.拨付机关运转经费的请示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20万元</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2、河北省自然灾害应急能力提升工程预警指挥项目国债项目（冀财建【2024】26号）绩效目标表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13018424P004486100018</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河北省自然灾害应急能力提升工程预警指挥项目国债项目（冀财建【2024】26号）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54.95</w:t>
            </w:r>
          </w:p>
        </w:tc>
        <w:tc>
          <w:tcPr>
            <w:tcW w:w="2835" w:type="dxa"/>
            <w:vAlign w:val="center"/>
          </w:tcPr>
          <w:p>
            <w:pPr>
              <w:pStyle w:val="10"/>
            </w:pPr>
            <w:r>
              <w:t>其中：财政    资金</w:t>
            </w:r>
          </w:p>
        </w:tc>
        <w:tc>
          <w:tcPr>
            <w:tcW w:w="2551" w:type="dxa"/>
            <w:vAlign w:val="center"/>
          </w:tcPr>
          <w:p>
            <w:pPr>
              <w:pStyle w:val="12"/>
            </w:pPr>
            <w:r>
              <w:t>54.95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自然灾害应急能力提升预警指挥项目建设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54.95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1.实现自然灾害应急能力提升预警指挥及时有效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反映购置数量完成情况</w:t>
            </w:r>
          </w:p>
        </w:tc>
        <w:tc>
          <w:tcPr>
            <w:tcW w:w="2268" w:type="dxa"/>
            <w:vAlign w:val="center"/>
          </w:tcPr>
          <w:p>
            <w:pPr>
              <w:pStyle w:val="12"/>
            </w:pPr>
            <w:r>
              <w:t>1个</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设备购置种类</w:t>
            </w:r>
          </w:p>
        </w:tc>
        <w:tc>
          <w:tcPr>
            <w:tcW w:w="5386" w:type="dxa"/>
            <w:vAlign w:val="center"/>
          </w:tcPr>
          <w:p>
            <w:pPr>
              <w:pStyle w:val="12"/>
            </w:pPr>
            <w:r>
              <w:t>反映购置种类数量情况</w:t>
            </w:r>
          </w:p>
        </w:tc>
        <w:tc>
          <w:tcPr>
            <w:tcW w:w="2268" w:type="dxa"/>
            <w:vAlign w:val="center"/>
          </w:tcPr>
          <w:p>
            <w:pPr>
              <w:pStyle w:val="12"/>
            </w:pPr>
            <w:r>
              <w:t>≤10类</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设备质量合格率（%）</w:t>
            </w:r>
          </w:p>
        </w:tc>
        <w:tc>
          <w:tcPr>
            <w:tcW w:w="5386" w:type="dxa"/>
            <w:vAlign w:val="center"/>
          </w:tcPr>
          <w:p>
            <w:pPr>
              <w:pStyle w:val="12"/>
            </w:pPr>
            <w:r>
              <w:t>反映购置设备质量合格情况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设备精确度</w:t>
            </w:r>
          </w:p>
        </w:tc>
        <w:tc>
          <w:tcPr>
            <w:tcW w:w="5386" w:type="dxa"/>
            <w:vAlign w:val="center"/>
          </w:tcPr>
          <w:p>
            <w:pPr>
              <w:pStyle w:val="12"/>
            </w:pPr>
            <w:r>
              <w:t>反映购置设备精确度情况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安装工程验收合格率</w:t>
            </w:r>
          </w:p>
        </w:tc>
        <w:tc>
          <w:tcPr>
            <w:tcW w:w="5386" w:type="dxa"/>
            <w:vAlign w:val="center"/>
          </w:tcPr>
          <w:p>
            <w:pPr>
              <w:pStyle w:val="12"/>
            </w:pPr>
            <w:r>
              <w:t>反映设备安装工程质量情况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设备故障率</w:t>
            </w:r>
          </w:p>
        </w:tc>
        <w:tc>
          <w:tcPr>
            <w:tcW w:w="5386" w:type="dxa"/>
            <w:vAlign w:val="center"/>
          </w:tcPr>
          <w:p>
            <w:pPr>
              <w:pStyle w:val="12"/>
            </w:pPr>
            <w:r>
              <w:t>反映设备故障情况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反映设备购置工作的完成时间</w:t>
            </w:r>
          </w:p>
        </w:tc>
        <w:tc>
          <w:tcPr>
            <w:tcW w:w="2268" w:type="dxa"/>
            <w:vAlign w:val="center"/>
          </w:tcPr>
          <w:p>
            <w:pPr>
              <w:pStyle w:val="12"/>
            </w:pPr>
            <w:r>
              <w:t>≤2024.12时间</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设备购置按时完成率</w:t>
            </w:r>
          </w:p>
        </w:tc>
        <w:tc>
          <w:tcPr>
            <w:tcW w:w="5386" w:type="dxa"/>
            <w:vAlign w:val="center"/>
          </w:tcPr>
          <w:p>
            <w:pPr>
              <w:pStyle w:val="12"/>
            </w:pPr>
            <w:r>
              <w:t>反映按时购置设备情况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w:t>
            </w:r>
          </w:p>
        </w:tc>
        <w:tc>
          <w:tcPr>
            <w:tcW w:w="5386" w:type="dxa"/>
            <w:vAlign w:val="center"/>
          </w:tcPr>
          <w:p>
            <w:pPr>
              <w:pStyle w:val="12"/>
            </w:pPr>
            <w:r>
              <w:t>反映不同类型设备单位成本控制情况</w:t>
            </w:r>
          </w:p>
        </w:tc>
        <w:tc>
          <w:tcPr>
            <w:tcW w:w="2268" w:type="dxa"/>
            <w:vAlign w:val="center"/>
          </w:tcPr>
          <w:p>
            <w:pPr>
              <w:pStyle w:val="12"/>
            </w:pPr>
            <w:r>
              <w:t>≤87.2万元</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进一步提高预警指挥通信能力</w:t>
            </w:r>
          </w:p>
        </w:tc>
        <w:tc>
          <w:tcPr>
            <w:tcW w:w="2268" w:type="dxa"/>
            <w:vAlign w:val="center"/>
          </w:tcPr>
          <w:p>
            <w:pPr>
              <w:pStyle w:val="12"/>
            </w:pPr>
            <w:r>
              <w:t>项目综合利用情况</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反映通过问卷调查受益群体满意情况</w:t>
            </w:r>
          </w:p>
        </w:tc>
        <w:tc>
          <w:tcPr>
            <w:tcW w:w="2268" w:type="dxa"/>
            <w:vAlign w:val="center"/>
          </w:tcPr>
          <w:p>
            <w:pPr>
              <w:pStyle w:val="12"/>
            </w:pPr>
            <w:r>
              <w:t>≥100%</w:t>
            </w:r>
          </w:p>
        </w:tc>
        <w:tc>
          <w:tcPr>
            <w:tcW w:w="1276" w:type="dxa"/>
            <w:vAlign w:val="center"/>
          </w:tcPr>
          <w:p>
            <w:pPr>
              <w:pStyle w:val="12"/>
            </w:pPr>
            <w:r>
              <w:t>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3、河北省自然灾害应急能力提升工程预警指挥项目国债项目省级配套（冀财建【2024】28号）绩效目标表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13018424P00448710001X</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河北省自然灾害应急能力提升工程预警指挥项目国债项目省级配套（冀财建【2024】28号）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自然灾害应急能力提升预警指挥项目建设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1.实现自然灾害应急能力提升预警指挥及时有效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反映购置数量完成情况</w:t>
            </w:r>
          </w:p>
        </w:tc>
        <w:tc>
          <w:tcPr>
            <w:tcW w:w="2268" w:type="dxa"/>
            <w:vAlign w:val="center"/>
          </w:tcPr>
          <w:p>
            <w:pPr>
              <w:pStyle w:val="12"/>
            </w:pPr>
            <w:r>
              <w:t>1个</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设备购置种类</w:t>
            </w:r>
          </w:p>
        </w:tc>
        <w:tc>
          <w:tcPr>
            <w:tcW w:w="5386" w:type="dxa"/>
            <w:vAlign w:val="center"/>
          </w:tcPr>
          <w:p>
            <w:pPr>
              <w:pStyle w:val="12"/>
            </w:pPr>
            <w:r>
              <w:t>反映购置种类数量情况</w:t>
            </w:r>
          </w:p>
        </w:tc>
        <w:tc>
          <w:tcPr>
            <w:tcW w:w="2268" w:type="dxa"/>
            <w:vAlign w:val="center"/>
          </w:tcPr>
          <w:p>
            <w:pPr>
              <w:pStyle w:val="12"/>
            </w:pPr>
            <w:r>
              <w:t>≤10类</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设备质量合格率（%）</w:t>
            </w:r>
          </w:p>
        </w:tc>
        <w:tc>
          <w:tcPr>
            <w:tcW w:w="5386" w:type="dxa"/>
            <w:vAlign w:val="center"/>
          </w:tcPr>
          <w:p>
            <w:pPr>
              <w:pStyle w:val="12"/>
            </w:pPr>
            <w:r>
              <w:t>反映购置设备质量合格情况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设备精确度</w:t>
            </w:r>
          </w:p>
        </w:tc>
        <w:tc>
          <w:tcPr>
            <w:tcW w:w="5386" w:type="dxa"/>
            <w:vAlign w:val="center"/>
          </w:tcPr>
          <w:p>
            <w:pPr>
              <w:pStyle w:val="12"/>
            </w:pPr>
            <w:r>
              <w:t>反映购置设备精确度情况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安装工程验收合格率</w:t>
            </w:r>
          </w:p>
        </w:tc>
        <w:tc>
          <w:tcPr>
            <w:tcW w:w="5386" w:type="dxa"/>
            <w:vAlign w:val="center"/>
          </w:tcPr>
          <w:p>
            <w:pPr>
              <w:pStyle w:val="12"/>
            </w:pPr>
            <w:r>
              <w:t>反映设备安装工程质量情况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设备故障率</w:t>
            </w:r>
          </w:p>
        </w:tc>
        <w:tc>
          <w:tcPr>
            <w:tcW w:w="5386" w:type="dxa"/>
            <w:vAlign w:val="center"/>
          </w:tcPr>
          <w:p>
            <w:pPr>
              <w:pStyle w:val="12"/>
            </w:pPr>
            <w:r>
              <w:t>反映设备故障情况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反映设备购置工作的完成时间</w:t>
            </w:r>
          </w:p>
        </w:tc>
        <w:tc>
          <w:tcPr>
            <w:tcW w:w="2268" w:type="dxa"/>
            <w:vAlign w:val="center"/>
          </w:tcPr>
          <w:p>
            <w:pPr>
              <w:pStyle w:val="12"/>
            </w:pPr>
            <w:r>
              <w:t>≥2024.31时间</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设备购置按时完成率</w:t>
            </w:r>
          </w:p>
        </w:tc>
        <w:tc>
          <w:tcPr>
            <w:tcW w:w="5386" w:type="dxa"/>
            <w:vAlign w:val="center"/>
          </w:tcPr>
          <w:p>
            <w:pPr>
              <w:pStyle w:val="12"/>
            </w:pPr>
            <w:r>
              <w:t>反映按时购置设备情况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w:t>
            </w:r>
          </w:p>
        </w:tc>
        <w:tc>
          <w:tcPr>
            <w:tcW w:w="5386" w:type="dxa"/>
            <w:vAlign w:val="center"/>
          </w:tcPr>
          <w:p>
            <w:pPr>
              <w:pStyle w:val="12"/>
            </w:pPr>
            <w:r>
              <w:t>反映不同类型设备单位成本控制情况</w:t>
            </w:r>
          </w:p>
        </w:tc>
        <w:tc>
          <w:tcPr>
            <w:tcW w:w="2268" w:type="dxa"/>
            <w:vAlign w:val="center"/>
          </w:tcPr>
          <w:p>
            <w:pPr>
              <w:pStyle w:val="12"/>
            </w:pPr>
            <w:r>
              <w:t>≥7.26万元</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进一步提高预警指挥通信能力</w:t>
            </w:r>
          </w:p>
        </w:tc>
        <w:tc>
          <w:tcPr>
            <w:tcW w:w="2268" w:type="dxa"/>
            <w:vAlign w:val="center"/>
          </w:tcPr>
          <w:p>
            <w:pPr>
              <w:pStyle w:val="12"/>
            </w:pPr>
            <w:r>
              <w:t>项目综合利用情况</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反映通过问卷调查受益群体满意情况</w:t>
            </w:r>
          </w:p>
        </w:tc>
        <w:tc>
          <w:tcPr>
            <w:tcW w:w="2268" w:type="dxa"/>
            <w:vAlign w:val="center"/>
          </w:tcPr>
          <w:p>
            <w:pPr>
              <w:pStyle w:val="12"/>
            </w:pPr>
            <w:r>
              <w:t>≥100%</w:t>
            </w:r>
          </w:p>
        </w:tc>
        <w:tc>
          <w:tcPr>
            <w:tcW w:w="1276" w:type="dxa"/>
            <w:vAlign w:val="center"/>
          </w:tcPr>
          <w:p>
            <w:pPr>
              <w:pStyle w:val="12"/>
            </w:pPr>
            <w:r>
              <w:t>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4、冀财建{2025}217号-关于提前下达2026年自然灾害救助资金（农房保险试点补助经费）绩效目标表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13018426P00008210005K</w:t>
            </w:r>
          </w:p>
        </w:tc>
        <w:tc>
          <w:tcPr>
            <w:tcW w:w="2835" w:type="dxa"/>
            <w:vAlign w:val="center"/>
          </w:tcPr>
          <w:p>
            <w:pPr>
              <w:pStyle w:val="10"/>
            </w:pPr>
            <w:r>
              <w:t>项目名称</w:t>
            </w:r>
          </w:p>
        </w:tc>
        <w:tc>
          <w:tcPr>
            <w:tcW w:w="6095" w:type="dxa"/>
            <w:gridSpan w:val="3"/>
            <w:vAlign w:val="center"/>
          </w:tcPr>
          <w:p>
            <w:pPr>
              <w:pStyle w:val="12"/>
            </w:pPr>
            <w:r>
              <w:t>冀财建{2025}217号-关于提前下达2026年自然灾害救助资金（农房保险试点补助经费）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自然灾害救助资金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1.通过引导社会力量资金参与救灾工作，充分发挥财政基金的放大作用，加大对受灾群众的救助水平，提升受灾农户抵御自然灾害和突发事故的能力，提高农村居民住房灾后重建保障能力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开展政策性农房保险地区数量</w:t>
            </w:r>
          </w:p>
        </w:tc>
        <w:tc>
          <w:tcPr>
            <w:tcW w:w="5386" w:type="dxa"/>
            <w:vAlign w:val="center"/>
          </w:tcPr>
          <w:p>
            <w:pPr>
              <w:pStyle w:val="12"/>
            </w:pPr>
            <w:r>
              <w:t>补助各政策性农房保险地区数量</w:t>
            </w:r>
          </w:p>
        </w:tc>
        <w:tc>
          <w:tcPr>
            <w:tcW w:w="2268" w:type="dxa"/>
            <w:vAlign w:val="center"/>
          </w:tcPr>
          <w:p>
            <w:pPr>
              <w:pStyle w:val="12"/>
            </w:pPr>
            <w:r>
              <w:t>187个</w:t>
            </w:r>
          </w:p>
        </w:tc>
        <w:tc>
          <w:tcPr>
            <w:tcW w:w="1276"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农房保险出险赔付率</w:t>
            </w:r>
          </w:p>
        </w:tc>
        <w:tc>
          <w:tcPr>
            <w:tcW w:w="5386" w:type="dxa"/>
            <w:vAlign w:val="center"/>
          </w:tcPr>
          <w:p>
            <w:pPr>
              <w:pStyle w:val="12"/>
            </w:pPr>
            <w:r>
              <w:t>经鉴定符合承保理赔要求的因灾倒损农房户，占后期理赔比例</w:t>
            </w:r>
          </w:p>
        </w:tc>
        <w:tc>
          <w:tcPr>
            <w:tcW w:w="2268" w:type="dxa"/>
            <w:vAlign w:val="center"/>
          </w:tcPr>
          <w:p>
            <w:pPr>
              <w:pStyle w:val="12"/>
            </w:pPr>
            <w:r>
              <w:t>100百分之</w:t>
            </w:r>
          </w:p>
        </w:tc>
        <w:tc>
          <w:tcPr>
            <w:tcW w:w="1276"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农房保险到期续保时间</w:t>
            </w:r>
          </w:p>
        </w:tc>
        <w:tc>
          <w:tcPr>
            <w:tcW w:w="5386" w:type="dxa"/>
            <w:vAlign w:val="center"/>
          </w:tcPr>
          <w:p>
            <w:pPr>
              <w:pStyle w:val="12"/>
            </w:pPr>
            <w:r>
              <w:t>1月以内</w:t>
            </w:r>
          </w:p>
        </w:tc>
        <w:tc>
          <w:tcPr>
            <w:tcW w:w="2268" w:type="dxa"/>
            <w:vAlign w:val="center"/>
          </w:tcPr>
          <w:p>
            <w:pPr>
              <w:pStyle w:val="12"/>
            </w:pPr>
            <w:r>
              <w:t>1月</w:t>
            </w:r>
          </w:p>
        </w:tc>
        <w:tc>
          <w:tcPr>
            <w:tcW w:w="1276"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开展农房保险的成本</w:t>
            </w:r>
          </w:p>
        </w:tc>
        <w:tc>
          <w:tcPr>
            <w:tcW w:w="5386" w:type="dxa"/>
            <w:vAlign w:val="center"/>
          </w:tcPr>
          <w:p>
            <w:pPr>
              <w:pStyle w:val="12"/>
            </w:pPr>
            <w:r>
              <w:t>开展政策性农房的成本</w:t>
            </w:r>
          </w:p>
        </w:tc>
        <w:tc>
          <w:tcPr>
            <w:tcW w:w="2268" w:type="dxa"/>
            <w:vAlign w:val="center"/>
          </w:tcPr>
          <w:p>
            <w:pPr>
              <w:pStyle w:val="12"/>
            </w:pPr>
            <w:r>
              <w:t>1000元</w:t>
            </w:r>
          </w:p>
        </w:tc>
        <w:tc>
          <w:tcPr>
            <w:tcW w:w="1276"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提高农户抵御灾害能力</w:t>
            </w:r>
          </w:p>
        </w:tc>
        <w:tc>
          <w:tcPr>
            <w:tcW w:w="5386" w:type="dxa"/>
            <w:vAlign w:val="center"/>
          </w:tcPr>
          <w:p>
            <w:pPr>
              <w:pStyle w:val="12"/>
            </w:pPr>
            <w:r>
              <w:t>较往年有所提高</w:t>
            </w:r>
          </w:p>
        </w:tc>
        <w:tc>
          <w:tcPr>
            <w:tcW w:w="2268" w:type="dxa"/>
            <w:vAlign w:val="center"/>
          </w:tcPr>
          <w:p>
            <w:pPr>
              <w:pStyle w:val="12"/>
            </w:pPr>
            <w:r>
              <w:t>≤100百分之</w:t>
            </w:r>
          </w:p>
        </w:tc>
        <w:tc>
          <w:tcPr>
            <w:tcW w:w="1276"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农房保险参保农户满意率</w:t>
            </w:r>
          </w:p>
        </w:tc>
        <w:tc>
          <w:tcPr>
            <w:tcW w:w="5386" w:type="dxa"/>
            <w:vAlign w:val="center"/>
          </w:tcPr>
          <w:p>
            <w:pPr>
              <w:pStyle w:val="12"/>
            </w:pPr>
            <w:r>
              <w:t>≥95%</w:t>
            </w:r>
          </w:p>
        </w:tc>
        <w:tc>
          <w:tcPr>
            <w:tcW w:w="2268" w:type="dxa"/>
            <w:vAlign w:val="center"/>
          </w:tcPr>
          <w:p>
            <w:pPr>
              <w:pStyle w:val="12"/>
            </w:pPr>
            <w:r>
              <w:t>≥95百分之</w:t>
            </w:r>
          </w:p>
        </w:tc>
        <w:tc>
          <w:tcPr>
            <w:tcW w:w="1276" w:type="dxa"/>
            <w:vAlign w:val="center"/>
          </w:tcPr>
          <w:p>
            <w:pPr>
              <w:pStyle w:val="12"/>
            </w:pPr>
            <w:r>
              <w:t>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5、石财建〔2025〕69号关于提前下达2026年市级防震减灾群测群防补助资金的通知绩效目标表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13018426P000082100067</w:t>
            </w:r>
          </w:p>
        </w:tc>
        <w:tc>
          <w:tcPr>
            <w:tcW w:w="2835" w:type="dxa"/>
            <w:vAlign w:val="center"/>
          </w:tcPr>
          <w:p>
            <w:pPr>
              <w:pStyle w:val="10"/>
            </w:pPr>
            <w:r>
              <w:t>项目名称</w:t>
            </w:r>
          </w:p>
        </w:tc>
        <w:tc>
          <w:tcPr>
            <w:tcW w:w="6095" w:type="dxa"/>
            <w:gridSpan w:val="3"/>
            <w:vAlign w:val="center"/>
          </w:tcPr>
          <w:p>
            <w:pPr>
              <w:pStyle w:val="12"/>
            </w:pPr>
            <w:r>
              <w:t>石财建〔2025〕69号关于提前下达2026年市级防震减灾群测群防补助资金的通知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防震减灾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地球物理观测站点正常运行率</w:t>
            </w:r>
          </w:p>
        </w:tc>
        <w:tc>
          <w:tcPr>
            <w:tcW w:w="5386" w:type="dxa"/>
            <w:vAlign w:val="center"/>
          </w:tcPr>
          <w:p>
            <w:pPr>
              <w:pStyle w:val="12"/>
            </w:pPr>
            <w:r>
              <w:t>地球物理观测站点正常运行率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按时上报地球物理观测站点观测数据，按要求开展震情速报</w:t>
            </w:r>
          </w:p>
        </w:tc>
        <w:tc>
          <w:tcPr>
            <w:tcW w:w="5386" w:type="dxa"/>
            <w:vAlign w:val="center"/>
          </w:tcPr>
          <w:p>
            <w:pPr>
              <w:pStyle w:val="12"/>
            </w:pPr>
            <w:r>
              <w:t>按时上报地球物理观测站点观测数据，按要求开展震情速报</w:t>
            </w:r>
          </w:p>
        </w:tc>
        <w:tc>
          <w:tcPr>
            <w:tcW w:w="2268" w:type="dxa"/>
            <w:vAlign w:val="center"/>
          </w:tcPr>
          <w:p>
            <w:pPr>
              <w:pStyle w:val="12"/>
            </w:pPr>
            <w:r>
              <w:t>在规定时间内完成上报工作</w:t>
            </w:r>
          </w:p>
        </w:tc>
        <w:tc>
          <w:tcPr>
            <w:tcW w:w="1276" w:type="dxa"/>
            <w:vAlign w:val="center"/>
          </w:tcPr>
          <w:p>
            <w:pPr>
              <w:pStyle w:val="12"/>
            </w:pPr>
            <w:r>
              <w:t>按照应急预案要求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≤20万元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地震观测站点</w:t>
            </w:r>
          </w:p>
        </w:tc>
        <w:tc>
          <w:tcPr>
            <w:tcW w:w="5386" w:type="dxa"/>
            <w:vAlign w:val="center"/>
          </w:tcPr>
          <w:p>
            <w:pPr>
              <w:pStyle w:val="12"/>
            </w:pPr>
            <w:r>
              <w:t>地震观测站点</w:t>
            </w:r>
          </w:p>
        </w:tc>
        <w:tc>
          <w:tcPr>
            <w:tcW w:w="2268" w:type="dxa"/>
            <w:vAlign w:val="center"/>
          </w:tcPr>
          <w:p>
            <w:pPr>
              <w:pStyle w:val="12"/>
            </w:pPr>
            <w:r>
              <w:t>≥60个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进一步降低地震造成的经济损失和人员伤亡</w:t>
            </w:r>
          </w:p>
        </w:tc>
        <w:tc>
          <w:tcPr>
            <w:tcW w:w="1276" w:type="dxa"/>
            <w:vAlign w:val="center"/>
          </w:tcPr>
          <w:p>
            <w:pPr>
              <w:pStyle w:val="12"/>
            </w:pPr>
            <w:r>
              <w:t>历史标准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管理部门满意度</w:t>
            </w:r>
          </w:p>
        </w:tc>
        <w:tc>
          <w:tcPr>
            <w:tcW w:w="5386" w:type="dxa"/>
            <w:vAlign w:val="center"/>
          </w:tcPr>
          <w:p>
            <w:pPr>
              <w:pStyle w:val="12"/>
            </w:pPr>
            <w:r>
              <w:t>上报数据管理部门对工作满意度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6、新乐市自然灾害应急能力提升工程（应急领域基层防灾工程项目）补助资金（县级配套）绩效目标表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13018426P00011410004G</w:t>
            </w:r>
          </w:p>
        </w:tc>
        <w:tc>
          <w:tcPr>
            <w:tcW w:w="2835" w:type="dxa"/>
            <w:vAlign w:val="center"/>
          </w:tcPr>
          <w:p>
            <w:pPr>
              <w:pStyle w:val="10"/>
            </w:pPr>
            <w:r>
              <w:t>项目名称</w:t>
            </w:r>
          </w:p>
        </w:tc>
        <w:tc>
          <w:tcPr>
            <w:tcW w:w="6095" w:type="dxa"/>
            <w:gridSpan w:val="3"/>
            <w:vAlign w:val="center"/>
          </w:tcPr>
          <w:p>
            <w:pPr>
              <w:pStyle w:val="12"/>
            </w:pPr>
            <w:r>
              <w:t>新乐市自然灾害应急能力提升工程（应急领域基层防灾工程项目）补助资金（县级配套）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58.69</w:t>
            </w:r>
          </w:p>
        </w:tc>
        <w:tc>
          <w:tcPr>
            <w:tcW w:w="2835" w:type="dxa"/>
            <w:vAlign w:val="center"/>
          </w:tcPr>
          <w:p>
            <w:pPr>
              <w:pStyle w:val="10"/>
            </w:pPr>
            <w:r>
              <w:t>其中：财政    资金</w:t>
            </w:r>
          </w:p>
        </w:tc>
        <w:tc>
          <w:tcPr>
            <w:tcW w:w="2551" w:type="dxa"/>
            <w:vAlign w:val="center"/>
          </w:tcPr>
          <w:p>
            <w:pPr>
              <w:pStyle w:val="12"/>
            </w:pPr>
            <w:r>
              <w:t>58.69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应急能力提升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58.69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1.提升自然灾害应急救援能力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项目总预算数</w:t>
            </w:r>
          </w:p>
        </w:tc>
        <w:tc>
          <w:tcPr>
            <w:tcW w:w="5386" w:type="dxa"/>
            <w:vAlign w:val="center"/>
          </w:tcPr>
          <w:p>
            <w:pPr>
              <w:pStyle w:val="12"/>
            </w:pPr>
            <w:r>
              <w:t>项目总预算数</w:t>
            </w:r>
          </w:p>
        </w:tc>
        <w:tc>
          <w:tcPr>
            <w:tcW w:w="2268" w:type="dxa"/>
            <w:vAlign w:val="center"/>
          </w:tcPr>
          <w:p>
            <w:pPr>
              <w:pStyle w:val="12"/>
            </w:pPr>
            <w:r>
              <w:t>≤58.68万元</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保障救援顺利进行</w:t>
            </w:r>
          </w:p>
        </w:tc>
        <w:tc>
          <w:tcPr>
            <w:tcW w:w="5386" w:type="dxa"/>
            <w:vAlign w:val="center"/>
          </w:tcPr>
          <w:p>
            <w:pPr>
              <w:pStyle w:val="12"/>
            </w:pPr>
            <w:r>
              <w:t>保障救援顺利进行</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生态环境破坏率</w:t>
            </w:r>
          </w:p>
        </w:tc>
        <w:tc>
          <w:tcPr>
            <w:tcW w:w="5386" w:type="dxa"/>
            <w:vAlign w:val="center"/>
          </w:tcPr>
          <w:p>
            <w:pPr>
              <w:pStyle w:val="12"/>
            </w:pPr>
            <w:r>
              <w:t>对原有生态环境造成不利影响的程度</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保障能力提升情况</w:t>
            </w:r>
          </w:p>
        </w:tc>
        <w:tc>
          <w:tcPr>
            <w:tcW w:w="2268" w:type="dxa"/>
            <w:vAlign w:val="center"/>
          </w:tcPr>
          <w:p>
            <w:pPr>
              <w:pStyle w:val="12"/>
            </w:pPr>
            <w:r>
              <w:t>≥100%</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政策要求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426001新乐市应急管理局本级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新乐市应急管理局本级上年末固定资产金额为0.00万元（详见下表）。本年度拟购置固定资产总额为0.00万元，已按要求列入政府采购预算，详见政府采购预算表。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426001新乐市应急管理局本级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B76A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2026-03-05T15:12:00Z</dcterms:created>
  <dc:creator>Administrator</dc:creator>
  <cp:lastModifiedBy>Administrator</cp:lastModifiedBy>
  <dcterms:modified xsi:type="dcterms:W3CDTF">2026-03-05T07:27:18Z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