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426新乐市应急管理局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778.82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653.82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778.82</w:t>
            </w:r>
          </w:p>
        </w:tc>
        <w:tc>
          <w:tcPr>
            <w:tcW w:w="4535" w:type="dxa"/>
            <w:vAlign w:val="center"/>
          </w:tcPr>
          <w:p>
            <w:pPr>
              <w:pStyle w:val="15"/>
            </w:pPr>
            <w:r>
              <w:t>本年支出合计</w:t>
            </w:r>
          </w:p>
        </w:tc>
        <w:tc>
          <w:tcPr>
            <w:tcW w:w="2126" w:type="dxa"/>
            <w:vAlign w:val="center"/>
          </w:tcPr>
          <w:p>
            <w:pPr>
              <w:pStyle w:val="16"/>
            </w:pPr>
            <w:r>
              <w:t>839.66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60.85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839.66</w:t>
            </w:r>
          </w:p>
        </w:tc>
        <w:tc>
          <w:tcPr>
            <w:tcW w:w="4535" w:type="dxa"/>
            <w:vAlign w:val="center"/>
          </w:tcPr>
          <w:p>
            <w:pPr>
              <w:pStyle w:val="15"/>
            </w:pPr>
            <w:r>
              <w:t>支出总计</w:t>
            </w:r>
          </w:p>
        </w:tc>
        <w:tc>
          <w:tcPr>
            <w:tcW w:w="2126" w:type="dxa"/>
            <w:vAlign w:val="center"/>
          </w:tcPr>
          <w:p>
            <w:pPr>
              <w:pStyle w:val="16"/>
            </w:pPr>
            <w:r>
              <w:t>839.66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426新乐市应急管理局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839.66</w:t>
            </w:r>
          </w:p>
        </w:tc>
        <w:tc>
          <w:tcPr>
            <w:tcW w:w="1134" w:type="dxa"/>
            <w:vAlign w:val="center"/>
          </w:tcPr>
          <w:p>
            <w:pPr>
              <w:pStyle w:val="16"/>
            </w:pPr>
            <w:r>
              <w:t>778.82</w:t>
            </w:r>
          </w:p>
        </w:tc>
        <w:tc>
          <w:tcPr>
            <w:tcW w:w="1134" w:type="dxa"/>
            <w:vAlign w:val="center"/>
          </w:tcPr>
          <w:p>
            <w:pPr>
              <w:pStyle w:val="16"/>
            </w:pPr>
            <w:r>
              <w:t>778.82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103.84</w:t>
            </w:r>
          </w:p>
        </w:tc>
        <w:tc>
          <w:tcPr>
            <w:tcW w:w="1134" w:type="dxa"/>
            <w:vAlign w:val="center"/>
          </w:tcPr>
          <w:p>
            <w:pPr>
              <w:pStyle w:val="12"/>
            </w:pPr>
            <w:r>
              <w:t>103.84</w:t>
            </w:r>
          </w:p>
        </w:tc>
        <w:tc>
          <w:tcPr>
            <w:tcW w:w="1134" w:type="dxa"/>
            <w:vAlign w:val="center"/>
          </w:tcPr>
          <w:p>
            <w:pPr>
              <w:pStyle w:val="12"/>
            </w:pPr>
            <w:r>
              <w:t>103.84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99.29</w:t>
            </w:r>
          </w:p>
        </w:tc>
        <w:tc>
          <w:tcPr>
            <w:tcW w:w="1134" w:type="dxa"/>
            <w:vAlign w:val="center"/>
          </w:tcPr>
          <w:p>
            <w:pPr>
              <w:pStyle w:val="12"/>
            </w:pPr>
            <w:r>
              <w:t>99.29</w:t>
            </w:r>
          </w:p>
        </w:tc>
        <w:tc>
          <w:tcPr>
            <w:tcW w:w="1134" w:type="dxa"/>
            <w:vAlign w:val="center"/>
          </w:tcPr>
          <w:p>
            <w:pPr>
              <w:pStyle w:val="12"/>
            </w:pPr>
            <w:r>
              <w:t>99.29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33.58</w:t>
            </w:r>
          </w:p>
        </w:tc>
        <w:tc>
          <w:tcPr>
            <w:tcW w:w="1134" w:type="dxa"/>
            <w:vAlign w:val="center"/>
          </w:tcPr>
          <w:p>
            <w:pPr>
              <w:pStyle w:val="12"/>
            </w:pPr>
            <w:r>
              <w:t>33.58</w:t>
            </w:r>
          </w:p>
        </w:tc>
        <w:tc>
          <w:tcPr>
            <w:tcW w:w="1134" w:type="dxa"/>
            <w:vAlign w:val="center"/>
          </w:tcPr>
          <w:p>
            <w:pPr>
              <w:pStyle w:val="12"/>
            </w:pPr>
            <w:r>
              <w:t>33.58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1.05</w:t>
            </w:r>
          </w:p>
        </w:tc>
        <w:tc>
          <w:tcPr>
            <w:tcW w:w="1134" w:type="dxa"/>
            <w:vAlign w:val="center"/>
          </w:tcPr>
          <w:p>
            <w:pPr>
              <w:pStyle w:val="12"/>
            </w:pPr>
            <w:r>
              <w:t>1.05</w:t>
            </w:r>
          </w:p>
        </w:tc>
        <w:tc>
          <w:tcPr>
            <w:tcW w:w="1134" w:type="dxa"/>
            <w:vAlign w:val="center"/>
          </w:tcPr>
          <w:p>
            <w:pPr>
              <w:pStyle w:val="12"/>
            </w:pPr>
            <w:r>
              <w:t>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1.05</w:t>
            </w:r>
          </w:p>
        </w:tc>
        <w:tc>
          <w:tcPr>
            <w:tcW w:w="1134" w:type="dxa"/>
            <w:vAlign w:val="center"/>
          </w:tcPr>
          <w:p>
            <w:pPr>
              <w:pStyle w:val="12"/>
            </w:pPr>
            <w:r>
              <w:t>1.05</w:t>
            </w:r>
          </w:p>
        </w:tc>
        <w:tc>
          <w:tcPr>
            <w:tcW w:w="1134" w:type="dxa"/>
            <w:vAlign w:val="center"/>
          </w:tcPr>
          <w:p>
            <w:pPr>
              <w:pStyle w:val="12"/>
            </w:pPr>
            <w:r>
              <w:t>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653.82</w:t>
            </w:r>
          </w:p>
        </w:tc>
        <w:tc>
          <w:tcPr>
            <w:tcW w:w="1134" w:type="dxa"/>
            <w:vAlign w:val="center"/>
          </w:tcPr>
          <w:p>
            <w:pPr>
              <w:pStyle w:val="12"/>
            </w:pPr>
            <w:r>
              <w:t>592.98</w:t>
            </w:r>
          </w:p>
        </w:tc>
        <w:tc>
          <w:tcPr>
            <w:tcW w:w="1134" w:type="dxa"/>
            <w:vAlign w:val="center"/>
          </w:tcPr>
          <w:p>
            <w:pPr>
              <w:pStyle w:val="12"/>
            </w:pPr>
            <w:r>
              <w:t>592.98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611.32</w:t>
            </w:r>
          </w:p>
        </w:tc>
        <w:tc>
          <w:tcPr>
            <w:tcW w:w="1134" w:type="dxa"/>
            <w:vAlign w:val="center"/>
          </w:tcPr>
          <w:p>
            <w:pPr>
              <w:pStyle w:val="12"/>
            </w:pPr>
            <w:r>
              <w:t>550.48</w:t>
            </w:r>
          </w:p>
        </w:tc>
        <w:tc>
          <w:tcPr>
            <w:tcW w:w="1134" w:type="dxa"/>
            <w:vAlign w:val="center"/>
          </w:tcPr>
          <w:p>
            <w:pPr>
              <w:pStyle w:val="12"/>
            </w:pPr>
            <w:r>
              <w:t>550.48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491.79</w:t>
            </w:r>
          </w:p>
        </w:tc>
        <w:tc>
          <w:tcPr>
            <w:tcW w:w="1134" w:type="dxa"/>
            <w:vAlign w:val="center"/>
          </w:tcPr>
          <w:p>
            <w:pPr>
              <w:pStyle w:val="12"/>
            </w:pPr>
            <w:r>
              <w:t>491.79</w:t>
            </w:r>
          </w:p>
        </w:tc>
        <w:tc>
          <w:tcPr>
            <w:tcW w:w="1134" w:type="dxa"/>
            <w:vAlign w:val="center"/>
          </w:tcPr>
          <w:p>
            <w:pPr>
              <w:pStyle w:val="12"/>
            </w:pPr>
            <w:r>
              <w:t>491.79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2240109</w:t>
            </w:r>
          </w:p>
        </w:tc>
        <w:tc>
          <w:tcPr>
            <w:tcW w:w="1559" w:type="dxa"/>
            <w:vAlign w:val="center"/>
          </w:tcPr>
          <w:p>
            <w:pPr>
              <w:pStyle w:val="13"/>
            </w:pPr>
            <w:r>
              <w:t>应急管理</w:t>
            </w:r>
          </w:p>
        </w:tc>
        <w:tc>
          <w:tcPr>
            <w:tcW w:w="1134" w:type="dxa"/>
            <w:vAlign w:val="center"/>
          </w:tcPr>
          <w:p>
            <w:pPr>
              <w:pStyle w:val="12"/>
            </w:pPr>
            <w:r>
              <w:t>119.53</w:t>
            </w:r>
          </w:p>
        </w:tc>
        <w:tc>
          <w:tcPr>
            <w:tcW w:w="1134" w:type="dxa"/>
            <w:vAlign w:val="center"/>
          </w:tcPr>
          <w:p>
            <w:pPr>
              <w:pStyle w:val="12"/>
            </w:pPr>
            <w:r>
              <w:t>58.69</w:t>
            </w:r>
          </w:p>
        </w:tc>
        <w:tc>
          <w:tcPr>
            <w:tcW w:w="1134" w:type="dxa"/>
            <w:vAlign w:val="center"/>
          </w:tcPr>
          <w:p>
            <w:pPr>
              <w:pStyle w:val="12"/>
            </w:pPr>
            <w:r>
              <w:t>58.69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839.66</w:t>
            </w:r>
          </w:p>
        </w:tc>
        <w:tc>
          <w:tcPr>
            <w:tcW w:w="1361" w:type="dxa"/>
            <w:vAlign w:val="center"/>
          </w:tcPr>
          <w:p>
            <w:pPr>
              <w:pStyle w:val="16"/>
            </w:pPr>
            <w:r>
              <w:t>657.63</w:t>
            </w:r>
          </w:p>
        </w:tc>
        <w:tc>
          <w:tcPr>
            <w:tcW w:w="1361" w:type="dxa"/>
            <w:vAlign w:val="center"/>
          </w:tcPr>
          <w:p>
            <w:pPr>
              <w:pStyle w:val="16"/>
            </w:pPr>
            <w:r>
              <w:t>182.03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103.84</w:t>
            </w:r>
          </w:p>
        </w:tc>
        <w:tc>
          <w:tcPr>
            <w:tcW w:w="1361" w:type="dxa"/>
            <w:vAlign w:val="center"/>
          </w:tcPr>
          <w:p>
            <w:pPr>
              <w:pStyle w:val="12"/>
            </w:pPr>
            <w:r>
              <w:t>103.84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99.29</w:t>
            </w:r>
          </w:p>
        </w:tc>
        <w:tc>
          <w:tcPr>
            <w:tcW w:w="1361" w:type="dxa"/>
            <w:vAlign w:val="center"/>
          </w:tcPr>
          <w:p>
            <w:pPr>
              <w:pStyle w:val="12"/>
            </w:pPr>
            <w:r>
              <w:t>99.29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33.58</w:t>
            </w:r>
          </w:p>
        </w:tc>
        <w:tc>
          <w:tcPr>
            <w:tcW w:w="1361" w:type="dxa"/>
            <w:vAlign w:val="center"/>
          </w:tcPr>
          <w:p>
            <w:pPr>
              <w:pStyle w:val="12"/>
            </w:pPr>
            <w:r>
              <w:t>33.58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6.71</w:t>
            </w:r>
          </w:p>
        </w:tc>
        <w:tc>
          <w:tcPr>
            <w:tcW w:w="1361" w:type="dxa"/>
            <w:vAlign w:val="center"/>
          </w:tcPr>
          <w:p>
            <w:pPr>
              <w:pStyle w:val="12"/>
            </w:pPr>
            <w:r>
              <w:t>6.71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1.05</w:t>
            </w:r>
          </w:p>
        </w:tc>
        <w:tc>
          <w:tcPr>
            <w:tcW w:w="1361" w:type="dxa"/>
            <w:vAlign w:val="center"/>
          </w:tcPr>
          <w:p>
            <w:pPr>
              <w:pStyle w:val="12"/>
            </w:pPr>
            <w:r>
              <w:t>1.05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1.05</w:t>
            </w:r>
          </w:p>
        </w:tc>
        <w:tc>
          <w:tcPr>
            <w:tcW w:w="1361" w:type="dxa"/>
            <w:vAlign w:val="center"/>
          </w:tcPr>
          <w:p>
            <w:pPr>
              <w:pStyle w:val="12"/>
            </w:pPr>
            <w:r>
              <w:t>1.05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653.82</w:t>
            </w:r>
          </w:p>
        </w:tc>
        <w:tc>
          <w:tcPr>
            <w:tcW w:w="1361" w:type="dxa"/>
            <w:vAlign w:val="center"/>
          </w:tcPr>
          <w:p>
            <w:pPr>
              <w:pStyle w:val="12"/>
            </w:pPr>
            <w:r>
              <w:t>471.79</w:t>
            </w:r>
          </w:p>
        </w:tc>
        <w:tc>
          <w:tcPr>
            <w:tcW w:w="1361" w:type="dxa"/>
            <w:vAlign w:val="center"/>
          </w:tcPr>
          <w:p>
            <w:pPr>
              <w:pStyle w:val="12"/>
            </w:pPr>
            <w:r>
              <w:t>182.03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611.32</w:t>
            </w:r>
          </w:p>
        </w:tc>
        <w:tc>
          <w:tcPr>
            <w:tcW w:w="1361" w:type="dxa"/>
            <w:vAlign w:val="center"/>
          </w:tcPr>
          <w:p>
            <w:pPr>
              <w:pStyle w:val="12"/>
            </w:pPr>
            <w:r>
              <w:t>471.79</w:t>
            </w:r>
          </w:p>
        </w:tc>
        <w:tc>
          <w:tcPr>
            <w:tcW w:w="1361" w:type="dxa"/>
            <w:vAlign w:val="center"/>
          </w:tcPr>
          <w:p>
            <w:pPr>
              <w:pStyle w:val="12"/>
            </w:pPr>
            <w:r>
              <w:t>139.53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2240101</w:t>
            </w:r>
          </w:p>
        </w:tc>
        <w:tc>
          <w:tcPr>
            <w:tcW w:w="4535" w:type="dxa"/>
            <w:vAlign w:val="center"/>
          </w:tcPr>
          <w:p>
            <w:pPr>
              <w:pStyle w:val="13"/>
            </w:pPr>
            <w:r>
              <w:t>行政运行</w:t>
            </w:r>
          </w:p>
        </w:tc>
        <w:tc>
          <w:tcPr>
            <w:tcW w:w="1361" w:type="dxa"/>
            <w:vAlign w:val="center"/>
          </w:tcPr>
          <w:p>
            <w:pPr>
              <w:pStyle w:val="12"/>
            </w:pPr>
            <w:r>
              <w:t>491.79</w:t>
            </w:r>
          </w:p>
        </w:tc>
        <w:tc>
          <w:tcPr>
            <w:tcW w:w="1361" w:type="dxa"/>
            <w:vAlign w:val="center"/>
          </w:tcPr>
          <w:p>
            <w:pPr>
              <w:pStyle w:val="12"/>
            </w:pPr>
            <w:r>
              <w:t>471.79</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2240109</w:t>
            </w:r>
          </w:p>
        </w:tc>
        <w:tc>
          <w:tcPr>
            <w:tcW w:w="4535" w:type="dxa"/>
            <w:vAlign w:val="center"/>
          </w:tcPr>
          <w:p>
            <w:pPr>
              <w:pStyle w:val="13"/>
            </w:pPr>
            <w:r>
              <w:t>应急管理</w:t>
            </w:r>
          </w:p>
        </w:tc>
        <w:tc>
          <w:tcPr>
            <w:tcW w:w="1361" w:type="dxa"/>
            <w:vAlign w:val="center"/>
          </w:tcPr>
          <w:p>
            <w:pPr>
              <w:pStyle w:val="12"/>
            </w:pPr>
            <w:r>
              <w:t>119.53</w:t>
            </w:r>
          </w:p>
        </w:tc>
        <w:tc>
          <w:tcPr>
            <w:tcW w:w="1361" w:type="dxa"/>
            <w:vAlign w:val="center"/>
          </w:tcPr>
          <w:p>
            <w:pPr>
              <w:pStyle w:val="12"/>
            </w:pPr>
          </w:p>
        </w:tc>
        <w:tc>
          <w:tcPr>
            <w:tcW w:w="1361" w:type="dxa"/>
            <w:vAlign w:val="center"/>
          </w:tcPr>
          <w:p>
            <w:pPr>
              <w:pStyle w:val="12"/>
            </w:pPr>
            <w:r>
              <w:t>119.53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2240703</w:t>
            </w:r>
          </w:p>
        </w:tc>
        <w:tc>
          <w:tcPr>
            <w:tcW w:w="4535" w:type="dxa"/>
            <w:vAlign w:val="center"/>
          </w:tcPr>
          <w:p>
            <w:pPr>
              <w:pStyle w:val="13"/>
            </w:pPr>
            <w:r>
              <w:t>自然灾害救灾补助</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778.82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103.84</w:t>
            </w:r>
          </w:p>
        </w:tc>
        <w:tc>
          <w:tcPr>
            <w:tcW w:w="1474" w:type="dxa"/>
            <w:vAlign w:val="center"/>
          </w:tcPr>
          <w:p>
            <w:pPr>
              <w:pStyle w:val="12"/>
            </w:pPr>
            <w:r>
              <w:t>103.84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27.00</w:t>
            </w:r>
          </w:p>
        </w:tc>
        <w:tc>
          <w:tcPr>
            <w:tcW w:w="1474" w:type="dxa"/>
            <w:vAlign w:val="center"/>
          </w:tcPr>
          <w:p>
            <w:pPr>
              <w:pStyle w:val="12"/>
            </w:pPr>
            <w:r>
              <w:t>27.00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55.00</w:t>
            </w:r>
          </w:p>
        </w:tc>
        <w:tc>
          <w:tcPr>
            <w:tcW w:w="1474" w:type="dxa"/>
            <w:vAlign w:val="center"/>
          </w:tcPr>
          <w:p>
            <w:pPr>
              <w:pStyle w:val="12"/>
            </w:pPr>
            <w:r>
              <w:t>55.00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653.82</w:t>
            </w:r>
          </w:p>
        </w:tc>
        <w:tc>
          <w:tcPr>
            <w:tcW w:w="1474" w:type="dxa"/>
            <w:vAlign w:val="center"/>
          </w:tcPr>
          <w:p>
            <w:pPr>
              <w:pStyle w:val="12"/>
            </w:pPr>
            <w:r>
              <w:t>653.82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778.82</w:t>
            </w:r>
          </w:p>
        </w:tc>
        <w:tc>
          <w:tcPr>
            <w:tcW w:w="3402" w:type="dxa"/>
            <w:vAlign w:val="center"/>
          </w:tcPr>
          <w:p>
            <w:pPr>
              <w:pStyle w:val="15"/>
            </w:pPr>
            <w:r>
              <w:t>本年支出合计</w:t>
            </w:r>
          </w:p>
        </w:tc>
        <w:tc>
          <w:tcPr>
            <w:tcW w:w="1474" w:type="dxa"/>
            <w:vAlign w:val="center"/>
          </w:tcPr>
          <w:p>
            <w:pPr>
              <w:pStyle w:val="16"/>
            </w:pPr>
            <w:r>
              <w:t>839.66</w:t>
            </w:r>
          </w:p>
        </w:tc>
        <w:tc>
          <w:tcPr>
            <w:tcW w:w="1474" w:type="dxa"/>
            <w:vAlign w:val="center"/>
          </w:tcPr>
          <w:p>
            <w:pPr>
              <w:pStyle w:val="16"/>
            </w:pPr>
            <w:r>
              <w:t>839.66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60.85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60.85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839.66</w:t>
            </w:r>
          </w:p>
        </w:tc>
        <w:tc>
          <w:tcPr>
            <w:tcW w:w="3402" w:type="dxa"/>
            <w:vAlign w:val="center"/>
          </w:tcPr>
          <w:p>
            <w:pPr>
              <w:pStyle w:val="15"/>
            </w:pPr>
            <w:r>
              <w:t>支出总计</w:t>
            </w:r>
          </w:p>
        </w:tc>
        <w:tc>
          <w:tcPr>
            <w:tcW w:w="1474" w:type="dxa"/>
            <w:vAlign w:val="center"/>
          </w:tcPr>
          <w:p>
            <w:pPr>
              <w:pStyle w:val="16"/>
            </w:pPr>
            <w:r>
              <w:t>839.66</w:t>
            </w:r>
          </w:p>
        </w:tc>
        <w:tc>
          <w:tcPr>
            <w:tcW w:w="1474" w:type="dxa"/>
            <w:vAlign w:val="center"/>
          </w:tcPr>
          <w:p>
            <w:pPr>
              <w:pStyle w:val="16"/>
            </w:pPr>
            <w:r>
              <w:t>839.66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839.66</w:t>
            </w:r>
          </w:p>
        </w:tc>
        <w:tc>
          <w:tcPr>
            <w:tcW w:w="2551" w:type="dxa"/>
            <w:vAlign w:val="center"/>
          </w:tcPr>
          <w:p>
            <w:pPr>
              <w:pStyle w:val="16"/>
            </w:pPr>
            <w:r>
              <w:t>657.63</w:t>
            </w:r>
          </w:p>
        </w:tc>
        <w:tc>
          <w:tcPr>
            <w:tcW w:w="2551" w:type="dxa"/>
            <w:vAlign w:val="center"/>
          </w:tcPr>
          <w:p>
            <w:pPr>
              <w:pStyle w:val="16"/>
            </w:pPr>
            <w:r>
              <w:t>182.03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103.84</w:t>
            </w:r>
          </w:p>
        </w:tc>
        <w:tc>
          <w:tcPr>
            <w:tcW w:w="2551" w:type="dxa"/>
            <w:vAlign w:val="center"/>
          </w:tcPr>
          <w:p>
            <w:pPr>
              <w:pStyle w:val="12"/>
            </w:pPr>
            <w:r>
              <w:t>103.84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99.29</w:t>
            </w:r>
          </w:p>
        </w:tc>
        <w:tc>
          <w:tcPr>
            <w:tcW w:w="2551" w:type="dxa"/>
            <w:vAlign w:val="center"/>
          </w:tcPr>
          <w:p>
            <w:pPr>
              <w:pStyle w:val="12"/>
            </w:pPr>
            <w:r>
              <w:t>99.29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33.58</w:t>
            </w:r>
          </w:p>
        </w:tc>
        <w:tc>
          <w:tcPr>
            <w:tcW w:w="2551" w:type="dxa"/>
            <w:vAlign w:val="center"/>
          </w:tcPr>
          <w:p>
            <w:pPr>
              <w:pStyle w:val="12"/>
            </w:pPr>
            <w:r>
              <w:t>33.58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6.71</w:t>
            </w:r>
          </w:p>
        </w:tc>
        <w:tc>
          <w:tcPr>
            <w:tcW w:w="2551" w:type="dxa"/>
            <w:vAlign w:val="center"/>
          </w:tcPr>
          <w:p>
            <w:pPr>
              <w:pStyle w:val="12"/>
            </w:pPr>
            <w:r>
              <w:t>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1.05</w:t>
            </w:r>
          </w:p>
        </w:tc>
        <w:tc>
          <w:tcPr>
            <w:tcW w:w="2551" w:type="dxa"/>
            <w:vAlign w:val="center"/>
          </w:tcPr>
          <w:p>
            <w:pPr>
              <w:pStyle w:val="12"/>
            </w:pPr>
            <w:r>
              <w:t>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1.05</w:t>
            </w:r>
          </w:p>
        </w:tc>
        <w:tc>
          <w:tcPr>
            <w:tcW w:w="2551" w:type="dxa"/>
            <w:vAlign w:val="center"/>
          </w:tcPr>
          <w:p>
            <w:pPr>
              <w:pStyle w:val="12"/>
            </w:pPr>
            <w:r>
              <w:t>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653.82</w:t>
            </w:r>
          </w:p>
        </w:tc>
        <w:tc>
          <w:tcPr>
            <w:tcW w:w="2551" w:type="dxa"/>
            <w:vAlign w:val="center"/>
          </w:tcPr>
          <w:p>
            <w:pPr>
              <w:pStyle w:val="12"/>
            </w:pPr>
            <w:r>
              <w:t>471.79</w:t>
            </w:r>
          </w:p>
        </w:tc>
        <w:tc>
          <w:tcPr>
            <w:tcW w:w="2551" w:type="dxa"/>
            <w:vAlign w:val="center"/>
          </w:tcPr>
          <w:p>
            <w:pPr>
              <w:pStyle w:val="12"/>
            </w:pPr>
            <w:r>
              <w:t>182.03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611.32</w:t>
            </w:r>
          </w:p>
        </w:tc>
        <w:tc>
          <w:tcPr>
            <w:tcW w:w="2551" w:type="dxa"/>
            <w:vAlign w:val="center"/>
          </w:tcPr>
          <w:p>
            <w:pPr>
              <w:pStyle w:val="12"/>
            </w:pPr>
            <w:r>
              <w:t>471.79</w:t>
            </w:r>
          </w:p>
        </w:tc>
        <w:tc>
          <w:tcPr>
            <w:tcW w:w="2551" w:type="dxa"/>
            <w:vAlign w:val="center"/>
          </w:tcPr>
          <w:p>
            <w:pPr>
              <w:pStyle w:val="12"/>
            </w:pPr>
            <w:r>
              <w:t>139.53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491.79</w:t>
            </w:r>
          </w:p>
        </w:tc>
        <w:tc>
          <w:tcPr>
            <w:tcW w:w="2551" w:type="dxa"/>
            <w:vAlign w:val="center"/>
          </w:tcPr>
          <w:p>
            <w:pPr>
              <w:pStyle w:val="12"/>
            </w:pPr>
            <w:r>
              <w:t>471.79</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2240109</w:t>
            </w:r>
          </w:p>
        </w:tc>
        <w:tc>
          <w:tcPr>
            <w:tcW w:w="4535" w:type="dxa"/>
            <w:vAlign w:val="center"/>
          </w:tcPr>
          <w:p>
            <w:pPr>
              <w:pStyle w:val="13"/>
            </w:pPr>
            <w:r>
              <w:t>应急管理</w:t>
            </w:r>
          </w:p>
        </w:tc>
        <w:tc>
          <w:tcPr>
            <w:tcW w:w="2551" w:type="dxa"/>
            <w:vAlign w:val="center"/>
          </w:tcPr>
          <w:p>
            <w:pPr>
              <w:pStyle w:val="12"/>
            </w:pPr>
            <w:r>
              <w:t>119.53</w:t>
            </w:r>
          </w:p>
        </w:tc>
        <w:tc>
          <w:tcPr>
            <w:tcW w:w="2551" w:type="dxa"/>
            <w:vAlign w:val="center"/>
          </w:tcPr>
          <w:p>
            <w:pPr>
              <w:pStyle w:val="12"/>
            </w:pPr>
          </w:p>
        </w:tc>
        <w:tc>
          <w:tcPr>
            <w:tcW w:w="2551" w:type="dxa"/>
            <w:vAlign w:val="center"/>
          </w:tcPr>
          <w:p>
            <w:pPr>
              <w:pStyle w:val="12"/>
            </w:pPr>
            <w:r>
              <w:t>119.53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42.00</w:t>
            </w:r>
          </w:p>
        </w:tc>
        <w:tc>
          <w:tcPr>
            <w:tcW w:w="2551" w:type="dxa"/>
            <w:vAlign w:val="center"/>
          </w:tcPr>
          <w:p>
            <w:pPr>
              <w:pStyle w:val="12"/>
            </w:pPr>
          </w:p>
        </w:tc>
        <w:tc>
          <w:tcPr>
            <w:tcW w:w="2551"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42.00</w:t>
            </w:r>
          </w:p>
        </w:tc>
        <w:tc>
          <w:tcPr>
            <w:tcW w:w="2551" w:type="dxa"/>
            <w:vAlign w:val="center"/>
          </w:tcPr>
          <w:p>
            <w:pPr>
              <w:pStyle w:val="12"/>
            </w:pPr>
          </w:p>
        </w:tc>
        <w:tc>
          <w:tcPr>
            <w:tcW w:w="2551" w:type="dxa"/>
            <w:vAlign w:val="center"/>
          </w:tcPr>
          <w:p>
            <w:pPr>
              <w:pStyle w:val="12"/>
            </w:pPr>
            <w:r>
              <w:t>42.00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657.63</w:t>
            </w:r>
          </w:p>
        </w:tc>
        <w:tc>
          <w:tcPr>
            <w:tcW w:w="2551" w:type="dxa"/>
            <w:vAlign w:val="center"/>
          </w:tcPr>
          <w:p>
            <w:pPr>
              <w:pStyle w:val="16"/>
            </w:pPr>
            <w:r>
              <w:t>610.44</w:t>
            </w:r>
          </w:p>
        </w:tc>
        <w:tc>
          <w:tcPr>
            <w:tcW w:w="2551" w:type="dxa"/>
            <w:vAlign w:val="center"/>
          </w:tcPr>
          <w:p>
            <w:pPr>
              <w:pStyle w:val="16"/>
            </w:pPr>
            <w:r>
              <w:t>47.19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575.81</w:t>
            </w:r>
          </w:p>
        </w:tc>
        <w:tc>
          <w:tcPr>
            <w:tcW w:w="2551" w:type="dxa"/>
            <w:vAlign w:val="center"/>
          </w:tcPr>
          <w:p>
            <w:pPr>
              <w:pStyle w:val="12"/>
            </w:pPr>
            <w:r>
              <w:t>575.81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215.23</w:t>
            </w:r>
          </w:p>
        </w:tc>
        <w:tc>
          <w:tcPr>
            <w:tcW w:w="2551" w:type="dxa"/>
            <w:vAlign w:val="center"/>
          </w:tcPr>
          <w:p>
            <w:pPr>
              <w:pStyle w:val="12"/>
            </w:pPr>
            <w:r>
              <w:t>215.23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63.16</w:t>
            </w:r>
          </w:p>
        </w:tc>
        <w:tc>
          <w:tcPr>
            <w:tcW w:w="2551" w:type="dxa"/>
            <w:vAlign w:val="center"/>
          </w:tcPr>
          <w:p>
            <w:pPr>
              <w:pStyle w:val="12"/>
            </w:pPr>
            <w:r>
              <w:t>63.16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32.23</w:t>
            </w:r>
          </w:p>
        </w:tc>
        <w:tc>
          <w:tcPr>
            <w:tcW w:w="2551" w:type="dxa"/>
            <w:vAlign w:val="center"/>
          </w:tcPr>
          <w:p>
            <w:pPr>
              <w:pStyle w:val="12"/>
            </w:pPr>
            <w:r>
              <w:t>32.23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113.98</w:t>
            </w:r>
          </w:p>
        </w:tc>
        <w:tc>
          <w:tcPr>
            <w:tcW w:w="2551" w:type="dxa"/>
            <w:vAlign w:val="center"/>
          </w:tcPr>
          <w:p>
            <w:pPr>
              <w:pStyle w:val="12"/>
            </w:pPr>
            <w:r>
              <w:t>113.98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6.71</w:t>
            </w:r>
          </w:p>
        </w:tc>
        <w:tc>
          <w:tcPr>
            <w:tcW w:w="2551" w:type="dxa"/>
            <w:vAlign w:val="center"/>
          </w:tcPr>
          <w:p>
            <w:pPr>
              <w:pStyle w:val="12"/>
            </w:pPr>
            <w:r>
              <w:t>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47.19</w:t>
            </w:r>
          </w:p>
        </w:tc>
        <w:tc>
          <w:tcPr>
            <w:tcW w:w="2551" w:type="dxa"/>
            <w:vAlign w:val="center"/>
          </w:tcPr>
          <w:p>
            <w:pPr>
              <w:pStyle w:val="12"/>
            </w:pPr>
          </w:p>
        </w:tc>
        <w:tc>
          <w:tcPr>
            <w:tcW w:w="2551" w:type="dxa"/>
            <w:vAlign w:val="center"/>
          </w:tcPr>
          <w:p>
            <w:pPr>
              <w:pStyle w:val="12"/>
            </w:pPr>
            <w:r>
              <w:t>47.19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5.86</w:t>
            </w:r>
          </w:p>
        </w:tc>
        <w:tc>
          <w:tcPr>
            <w:tcW w:w="2551" w:type="dxa"/>
            <w:vAlign w:val="center"/>
          </w:tcPr>
          <w:p>
            <w:pPr>
              <w:pStyle w:val="12"/>
            </w:pPr>
          </w:p>
        </w:tc>
        <w:tc>
          <w:tcPr>
            <w:tcW w:w="2551" w:type="dxa"/>
            <w:vAlign w:val="center"/>
          </w:tcPr>
          <w:p>
            <w:pPr>
              <w:pStyle w:val="12"/>
            </w:pPr>
            <w:r>
              <w:t>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6.84</w:t>
            </w:r>
          </w:p>
        </w:tc>
        <w:tc>
          <w:tcPr>
            <w:tcW w:w="2551" w:type="dxa"/>
            <w:vAlign w:val="center"/>
          </w:tcPr>
          <w:p>
            <w:pPr>
              <w:pStyle w:val="12"/>
            </w:pPr>
          </w:p>
        </w:tc>
        <w:tc>
          <w:tcPr>
            <w:tcW w:w="2551" w:type="dxa"/>
            <w:vAlign w:val="center"/>
          </w:tcPr>
          <w:p>
            <w:pPr>
              <w:pStyle w:val="12"/>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4.28</w:t>
            </w:r>
          </w:p>
        </w:tc>
        <w:tc>
          <w:tcPr>
            <w:tcW w:w="2551" w:type="dxa"/>
            <w:vAlign w:val="center"/>
          </w:tcPr>
          <w:p>
            <w:pPr>
              <w:pStyle w:val="12"/>
            </w:pPr>
          </w:p>
        </w:tc>
        <w:tc>
          <w:tcPr>
            <w:tcW w:w="2551" w:type="dxa"/>
            <w:vAlign w:val="center"/>
          </w:tcPr>
          <w:p>
            <w:pPr>
              <w:pStyle w:val="12"/>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6.98</w:t>
            </w:r>
          </w:p>
        </w:tc>
        <w:tc>
          <w:tcPr>
            <w:tcW w:w="2551" w:type="dxa"/>
            <w:vAlign w:val="center"/>
          </w:tcPr>
          <w:p>
            <w:pPr>
              <w:pStyle w:val="12"/>
            </w:pPr>
          </w:p>
        </w:tc>
        <w:tc>
          <w:tcPr>
            <w:tcW w:w="2551" w:type="dxa"/>
            <w:vAlign w:val="center"/>
          </w:tcPr>
          <w:p>
            <w:pPr>
              <w:pStyle w:val="12"/>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9.54</w:t>
            </w:r>
          </w:p>
        </w:tc>
        <w:tc>
          <w:tcPr>
            <w:tcW w:w="2551" w:type="dxa"/>
            <w:vAlign w:val="center"/>
          </w:tcPr>
          <w:p>
            <w:pPr>
              <w:pStyle w:val="12"/>
            </w:pPr>
          </w:p>
        </w:tc>
        <w:tc>
          <w:tcPr>
            <w:tcW w:w="2551" w:type="dxa"/>
            <w:vAlign w:val="center"/>
          </w:tcPr>
          <w:p>
            <w:pPr>
              <w:pStyle w:val="12"/>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9.69</w:t>
            </w:r>
          </w:p>
        </w:tc>
        <w:tc>
          <w:tcPr>
            <w:tcW w:w="2551" w:type="dxa"/>
            <w:vAlign w:val="center"/>
          </w:tcPr>
          <w:p>
            <w:pPr>
              <w:pStyle w:val="12"/>
            </w:pPr>
          </w:p>
        </w:tc>
        <w:tc>
          <w:tcPr>
            <w:tcW w:w="2551" w:type="dxa"/>
            <w:vAlign w:val="center"/>
          </w:tcPr>
          <w:p>
            <w:pPr>
              <w:pStyle w:val="12"/>
            </w:pPr>
            <w:r>
              <w:t>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34.63</w:t>
            </w:r>
          </w:p>
        </w:tc>
        <w:tc>
          <w:tcPr>
            <w:tcW w:w="2551" w:type="dxa"/>
            <w:vAlign w:val="center"/>
          </w:tcPr>
          <w:p>
            <w:pPr>
              <w:pStyle w:val="12"/>
            </w:pPr>
            <w:r>
              <w:t>34.63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33.58</w:t>
            </w:r>
          </w:p>
        </w:tc>
        <w:tc>
          <w:tcPr>
            <w:tcW w:w="2551" w:type="dxa"/>
            <w:vAlign w:val="center"/>
          </w:tcPr>
          <w:p>
            <w:pPr>
              <w:pStyle w:val="12"/>
            </w:pPr>
            <w:r>
              <w:t>33.58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1.05</w:t>
            </w:r>
          </w:p>
        </w:tc>
        <w:tc>
          <w:tcPr>
            <w:tcW w:w="2551" w:type="dxa"/>
            <w:vAlign w:val="center"/>
          </w:tcPr>
          <w:p>
            <w:pPr>
              <w:pStyle w:val="12"/>
            </w:pPr>
            <w:r>
              <w:t>1.05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426新乐市应急管理局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6.98</w:t>
            </w:r>
          </w:p>
        </w:tc>
        <w:tc>
          <w:tcPr>
            <w:tcW w:w="2381" w:type="dxa"/>
            <w:vAlign w:val="center"/>
          </w:tcPr>
          <w:p>
            <w:pPr>
              <w:pStyle w:val="16"/>
            </w:pPr>
            <w:r>
              <w:t>6.98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6.98</w:t>
            </w:r>
          </w:p>
        </w:tc>
        <w:tc>
          <w:tcPr>
            <w:tcW w:w="2381" w:type="dxa"/>
            <w:vAlign w:val="center"/>
          </w:tcPr>
          <w:p>
            <w:pPr>
              <w:pStyle w:val="12"/>
            </w:pPr>
            <w:r>
              <w:t>6.98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6.98</w:t>
            </w:r>
          </w:p>
        </w:tc>
        <w:tc>
          <w:tcPr>
            <w:tcW w:w="2381" w:type="dxa"/>
            <w:vAlign w:val="center"/>
          </w:tcPr>
          <w:p>
            <w:pPr>
              <w:pStyle w:val="12"/>
            </w:pPr>
            <w:r>
              <w:t>6.98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新乐市应急管理局2026年部门预算信息公开情况说明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新乐市应急管理局2026年部门预算信息公开情况说明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按照《中华人民共和国预算法》、《地方预决算公开操作规程》和《关于进一步推进预算公开工作的实施意见》规定，现将新乐市应急管理局2026年部门预算公开如下：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应急管理工作。指导全市应对安全生产类、自然灾害类等突发事件和综合防灾减灾救灾工作；负责安全生产综合监督管理和工矿商贸行业安全生产监督管理工作。（2）贯彻落实应急管理、安全生产等政策规定，组织编制市应急体系建设、安全生产和综合为减灾规划，落实应急管理、安全生产地方性法规、政策规章，组织制定相关具体规程并监督实施。（3）负责应急预案体系建设，落实完善事故灾难和自然灾害分级应对制度，组织编制市总体应急预案和安全生产类、自然灾害类专项预案，综合协调应急预案衔接工作，组织开展预案演练，推动应急避难设施建设。（4）与国家、省和石家庄市系统对接，建立完善全市应急管理信息系统，负责管辖范围内的信息传输渠道的规划和布局；建立监测预警和灾情报告制度，健全自然灾害信息资源获取和共享机制，依法统一发布灾情。（5）组织协调安全生产类、自然灾害类等突发事件应急救援，综合研判突发事件发展态势并提出应对建议，协助市委、市政府指定的负责同志组织重大灾害应急处置工作。（6）统一协调指挥各类应急专业队伍，建立应急协调联运机制，推进指挥平台对接，衔接驻新解放军和武警部队参与应急救援力量建设。（7）统筹应急救援力量建设，负责消防、森林和草原火灾扑救、抗洪抢险、地震和地质灾害救援、生产安全事故救援等专业应急救援力量建设，综合协调应急救援队伍，指导各级及社会应急救援力量建设。（8）组织协调消防工作，指导消防监督、火灾预防、火灾扑救等工作。（9）组织协调森林和草原火灾、水旱灾害、地震和地质灾害等防治工作，负责自然灾害综合监测预警工作；会同有关部门做好自然灾害综合风险评估工作。（10）组织协调灾害救助工作，负责灾情核查、损失评估、救灾捐赠工作，管理、分配救灾款物并监督使用。（11）依法行使安全生产综合监督管理职权，指导协调、监督检查市直有关部门，各乡（镇）政府、街道办事处、市政府派出机构的安全生产工作，组织开展安全生产巡查、考核工作。（12）按照分级、属地原则，依法监督检查工矿商贸生产经营单位贯彻执行安全生产法律法规情况，以及安全生产条件和有关设备（特种设备除外）、材料、劳动防护用品的安全生产管理工作；负责监督管理工矿商行业的安全生产工作，配合上级部门监督管理驻新中央、省属、石家庄市属企业的安全生产工作；负责危险化学品安全监督管理综合工作和烟花爆竹安全生产监督管理工作。（13）依法开展生产安全事故调查处理，监督事故查处和责任追究落实情况；组织开展自然灾害类突发事件的调查评估工作。（14）制定应急物资储备和应急救援装备规划并组织实施，会同市粮食和物资储备局等部门建立健全应急物资信息平台和调拨制度，在救灾时统一调度。（15）负责应急管理、安全生产宣传教育和培训工作，负责应急管理、安全生产科技成果推广应用和信息化建设工作。（16）负责组织协调、指导监督全市安全生产行政执法工作，组织开展对全市企业的执法检查，组织开展对驻新中央、省、石家庄市属企业的执法抽查。（17）组织开展应急管理方面的区域交流与合作。（18）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按照预算管理有关规定，目前部门预算的编制实行综合预算管理，即全部收入和支出都反映在预算中。新乐市应急管理局机关及所属事业单位的收支包含在部门预算中。</w:t>
      </w:r>
    </w:p>
    <w:p>
      <w:pPr>
        <w:pStyle w:val="19"/>
      </w:pPr>
      <w:r>
        <w:t>1、收入说明</w:t>
      </w:r>
    </w:p>
    <w:p>
      <w:pPr>
        <w:pStyle w:val="19"/>
      </w:pPr>
      <w:r>
        <w:t>反映本部门当年全部收入。2026年预算收入839.66万元，其中：一般公共预算收入778.82万元，基金预算收入0.00万元，国有资本经营预算收入0.00万元，财政专户核拨收入0.00万元，单位资金收入0.00万元，上年结转结余60.85万元。</w:t>
      </w:r>
    </w:p>
    <w:p>
      <w:pPr>
        <w:pStyle w:val="19"/>
      </w:pPr>
      <w:r>
        <w:t>2、支出说明</w:t>
      </w:r>
    </w:p>
    <w:p>
      <w:pPr>
        <w:pStyle w:val="19"/>
      </w:pPr>
      <w:r>
        <w:t>收支预算总表支出栏、基本支出表、项目支出表按经济分类和支出功能分类科目编制，反映新乐市应急管理局年度部门预算中支出预算的总体情况。2026年支出预算839.66万元，其中基本支出657.63万元，包括人员经费610.44万元和日常公用经费47.19万元；项目支出182.03万元，主要为有新增国债项目；预计下年使用的单位资金结余0.00万元。委托业务费共计安排45.00万元，主要用于因技术原因确需对外委托的辅助性工作和确有必要对外委托开展咨询、评审、规划等工作。</w:t>
      </w:r>
    </w:p>
    <w:p>
      <w:pPr>
        <w:pStyle w:val="19"/>
      </w:pPr>
      <w:r>
        <w:t>3、比上年增减情况</w:t>
      </w:r>
    </w:p>
    <w:p>
      <w:pPr>
        <w:pStyle w:val="19"/>
      </w:pPr>
      <w:r>
        <w:t>2026年预算收支安排839.66万元，较2025年预算减少9.34万元，其中：基本支出减少29.04万元，主要为机关运转经费减少项目支出增加19.70万元，主要为有新增国债项目。预计下年使用的单位资金结余增加0.00万元。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2026年，我部门机关运行经费共计安排47.19万元，主要用于日常维修、办公用房水电费、办公用房取暖费、办公用房物业管理费等日常运行支出。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6.98万元，其中因公出国（境）费0.00万元；公务用车购置及运维费6.98万元（其中：公务用车购置费为0.00万元，公务用车运维费6.98万元)；公务接待费0.00万元。与2025年相比减少0.22万元，增减变化的主要原因是公车支出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全面贯彻“安全第一、预防为主、综合治理”的方针，落实市委六届八次、九次全会精神，紧扣全面建成小康社会目标任务，坚持把责任落实作为重中之重，以安全生产集中整治为重点，以安全生产风险管控和隐患治理“双控”机制建设为抓手，进一步深化重点行业领域专项整治，强化安全基础保障能力，着力提高本质安全水平，实现全市安全生产形势持续稳定向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全面推进“四个一批”落实。狠抓化工行业整治攻坚行动“四个一批”回头看，对列入关停取缔的危化企业进行全面排查，严格按照“两断三清”标准关停取缔，确保危险物料处置和关键装置拆除；强力推进搬迁入园、改造提升及做优做强方案实施，加大改造提升投入，提升本质安全水平。各级各有关部门要精准制定分类整治政策，支持化工企业技术创新、兼并重组、搬迁改造，保障“四个一批”顺利实施。</w:t>
      </w:r>
    </w:p>
    <w:p>
      <w:pPr>
        <w:pStyle w:val="23"/>
      </w:pPr>
      <w:r>
        <w:t>2、加强化工行业源头管控。严格化工建设项目准入。所有“两重点一重大”危险化学品生产企业按要求接入省应急管理厅危险化学品安全生产风险监测预警系统。继续组织开展安全生产警示教育，对危险化学品生产企业主要负责人继续实施“四个必考”（延期必考、换人必考、发生事故必考、约谈必考）。</w:t>
      </w:r>
    </w:p>
    <w:p>
      <w:pPr>
        <w:pStyle w:val="23"/>
      </w:pPr>
      <w:r>
        <w:t>3、加强两个《导则》贯彻落实。加强《化工园区安全风险排查治理导则（试行）》《危险化学品企业安全风险隐患排查治理导则》贯彻落实，采取集中培训、专家讲座、现场指导、示范引领等形式，全面开展宣传教育培训。对照两个《导则》组织开展全面安全排查评估，开展化工企业特种设备、危险化学品（危险货物）运输企业、危险废物处置利用企业专项合法合规性审查。</w:t>
      </w:r>
    </w:p>
    <w:p>
      <w:pPr>
        <w:pStyle w:val="23"/>
      </w:pPr>
      <w:r>
        <w:t>4、切实强化重点行业领域安全专项整治。烟花爆竹。按照市委、市政府安排，强化烟花爆竹禁限放销售管理。继续强化烟花爆竹经营安全专项整治，严格落实《烟花爆竹生产经营安全规定》《烟花爆竹零售店（点）安全技术规范》标准，严肃查处违法违规行为；保持“打非”高压态势，严格非法生产经营烟花爆竹人员的刑事责任追究和行政处罚。工贸。加强对涉爆粉尘、涉氨制冷等危险性较高企业的监管，督促企业强化对动火作业、高处作业、外委施工及检维修等作业环节和临时性作业行为的管控，加强对自动监控、泄漏监测报警、通风、防火防爆设施等重点部位的维护。有限空间作业。对涉及有限空间作业的企业进行再排查再摸底，进一步完善相关企业信息台账。各行业主管部门积极开展第三方危害评估或检测，精准分析判定每一个企业、每一个有限空间作业环境存在的中毒、窒息、燃烧、爆炸等危险有害因素和危害等级，实行清单化管理，制定消除和控制措施，强化精准化治理；持续加强事故警示教育和应急演练，严防事故发生。</w:t>
      </w:r>
    </w:p>
    <w:p>
      <w:pPr>
        <w:pStyle w:val="23"/>
      </w:pPr>
      <w:r>
        <w:t>5、持续加大安全生产行政执法力度。持续开展培训专项执法、“打非治违”和投诉举报核查等工作；通过暗查暗访、突击检查、交叉互查、随机抽查等方式，重点查处不按要求开展培训、辨识风险、建立清单、加强管控并进行隐患排查治理的企业，严厉打击违反安全生产“三同时”、存在重大隐患不及时治理、假冒伪造特种作业操作证，以及停产企业擅自复工、擅自生产、明停暗开等违法行为；发现问题依法从严处罚，情节严重的纳入市级不良记录“黑名单”管理，实施联合惩诫。</w:t>
      </w:r>
    </w:p>
    <w:p>
      <w:pPr>
        <w:pStyle w:val="23"/>
      </w:pPr>
      <w:r>
        <w:t>6、持续保持“打非治违”高压态势。进一步严格落实市政府办公室《关于建立安全生产打非治违长效工作机制的意见》，坚持把“打非治违”贯穿安全生产监管执法全过程，畅通投诉举报渠道，加强“四不两直”暗查暗访和随机抽查执法，按照职责分工依法严厉查处各类安全生产非法违法生产经营建设行为，有效遏制非法违法生产经营建设引发的安全事故。</w:t>
      </w:r>
    </w:p>
    <w:p>
      <w:pPr>
        <w:pStyle w:val="23"/>
      </w:pPr>
      <w:r>
        <w:t>7、强化特殊时段的安全监管执法。全力做好全国“两会”、暑期、汛期等重点时段和抗美援朝70周年、抗日战争暨世界反法西斯战争胜利75周年等重大活动安全监管执法工作，对重点、高危行业开展专项执法，确保重要敏感时期全市安全生产形势稳定。</w:t>
      </w:r>
    </w:p>
    <w:p>
      <w:pPr>
        <w:pStyle w:val="23"/>
      </w:pPr>
      <w:r>
        <w:t>8、坚持“打非治违”不动摇。按照“全覆盖、零容忍、严执法、重实效”的要求，采取明查暗访、“四不两直”等多种形式，持续开展“打非治违”行动。严格落实属地监管责任，全面排查非法违法活动可能藏匿的区域、单位、场所和部位，并及时向有关单位报告。严格工作标准和执法程序，加大执法监管力度，对存在各类非法违法行为进行精准打击，严格落实停产停业整顿、关闭取缔、上限处罚和严厉追责的“四个一律”执法措施。严查合法企业内的非法违法生产建设行为，坚决遏制非法生产、经营、储存危险化学品、民爆物品、烟花爆竹等非法违法行为导致的生产安全事故。</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1、2026年本级支出-机关运转经费绩效目标表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13018426P00522310185J</w:t>
            </w:r>
          </w:p>
        </w:tc>
        <w:tc>
          <w:tcPr>
            <w:tcW w:w="2835" w:type="dxa"/>
            <w:vAlign w:val="center"/>
          </w:tcPr>
          <w:p>
            <w:pPr>
              <w:pStyle w:val="11"/>
            </w:pPr>
            <w:r>
              <w:t>项目名称</w:t>
            </w:r>
          </w:p>
        </w:tc>
        <w:tc>
          <w:tcPr>
            <w:tcW w:w="6095" w:type="dxa"/>
            <w:gridSpan w:val="3"/>
            <w:vAlign w:val="center"/>
          </w:tcPr>
          <w:p>
            <w:pPr>
              <w:pStyle w:val="13"/>
            </w:pPr>
            <w:r>
              <w:t>2026年本级支出-机关运转经费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机关运转经费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1.拨付机关运转经费的请示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20万元</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政策要求</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2、河北省自然灾害应急能力提升工程预警指挥项目国债项目（冀财建【2024】26号）绩效目标表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13018424P004486100018</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河北省自然灾害应急能力提升工程预警指挥项目国债项目（冀财建【2024】26号）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54.95</w:t>
            </w:r>
          </w:p>
        </w:tc>
        <w:tc>
          <w:tcPr>
            <w:tcW w:w="2835" w:type="dxa"/>
            <w:vAlign w:val="center"/>
          </w:tcPr>
          <w:p>
            <w:pPr>
              <w:pStyle w:val="11"/>
            </w:pPr>
            <w:r>
              <w:t>其中：财政    资金</w:t>
            </w:r>
          </w:p>
        </w:tc>
        <w:tc>
          <w:tcPr>
            <w:tcW w:w="2551" w:type="dxa"/>
            <w:vAlign w:val="center"/>
          </w:tcPr>
          <w:p>
            <w:pPr>
              <w:pStyle w:val="13"/>
            </w:pPr>
            <w:r>
              <w:t>54.95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自然灾害应急能力提升预警指挥项目建设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54.95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1.实现自然灾害应急能力提升预警指挥及时有效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完成河北省自然灾害应急能力提升工程项目数量</w:t>
            </w:r>
          </w:p>
        </w:tc>
        <w:tc>
          <w:tcPr>
            <w:tcW w:w="5386" w:type="dxa"/>
            <w:vAlign w:val="center"/>
          </w:tcPr>
          <w:p>
            <w:pPr>
              <w:pStyle w:val="13"/>
            </w:pPr>
            <w:r>
              <w:t>反映购置数量完成情况</w:t>
            </w:r>
          </w:p>
        </w:tc>
        <w:tc>
          <w:tcPr>
            <w:tcW w:w="2268" w:type="dxa"/>
            <w:vAlign w:val="center"/>
          </w:tcPr>
          <w:p>
            <w:pPr>
              <w:pStyle w:val="13"/>
            </w:pPr>
            <w:r>
              <w:t>1个</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设备购置种类</w:t>
            </w:r>
          </w:p>
        </w:tc>
        <w:tc>
          <w:tcPr>
            <w:tcW w:w="5386" w:type="dxa"/>
            <w:vAlign w:val="center"/>
          </w:tcPr>
          <w:p>
            <w:pPr>
              <w:pStyle w:val="13"/>
            </w:pPr>
            <w:r>
              <w:t>反映购置种类数量情况</w:t>
            </w:r>
          </w:p>
        </w:tc>
        <w:tc>
          <w:tcPr>
            <w:tcW w:w="2268" w:type="dxa"/>
            <w:vAlign w:val="center"/>
          </w:tcPr>
          <w:p>
            <w:pPr>
              <w:pStyle w:val="13"/>
            </w:pPr>
            <w:r>
              <w:t>≤10类</w:t>
            </w:r>
          </w:p>
        </w:tc>
        <w:tc>
          <w:tcPr>
            <w:tcW w:w="1276" w:type="dxa"/>
            <w:vAlign w:val="center"/>
          </w:tcPr>
          <w:p>
            <w:pPr>
              <w:pStyle w:val="13"/>
            </w:pPr>
            <w:r>
              <w:t>政策要求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反映购置设备质量合格情况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设备精确度</w:t>
            </w:r>
          </w:p>
        </w:tc>
        <w:tc>
          <w:tcPr>
            <w:tcW w:w="5386" w:type="dxa"/>
            <w:vAlign w:val="center"/>
          </w:tcPr>
          <w:p>
            <w:pPr>
              <w:pStyle w:val="13"/>
            </w:pPr>
            <w:r>
              <w:t>反映购置设备精确度情况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安装工程验收合格率</w:t>
            </w:r>
          </w:p>
        </w:tc>
        <w:tc>
          <w:tcPr>
            <w:tcW w:w="5386" w:type="dxa"/>
            <w:vAlign w:val="center"/>
          </w:tcPr>
          <w:p>
            <w:pPr>
              <w:pStyle w:val="13"/>
            </w:pPr>
            <w:r>
              <w:t>反映设备安装工程质量情况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设备故障率</w:t>
            </w:r>
          </w:p>
        </w:tc>
        <w:tc>
          <w:tcPr>
            <w:tcW w:w="5386" w:type="dxa"/>
            <w:vAlign w:val="center"/>
          </w:tcPr>
          <w:p>
            <w:pPr>
              <w:pStyle w:val="13"/>
            </w:pPr>
            <w:r>
              <w:t>反映设备故障情况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反映设备购置工作的完成时间</w:t>
            </w:r>
          </w:p>
        </w:tc>
        <w:tc>
          <w:tcPr>
            <w:tcW w:w="2268" w:type="dxa"/>
            <w:vAlign w:val="center"/>
          </w:tcPr>
          <w:p>
            <w:pPr>
              <w:pStyle w:val="13"/>
            </w:pPr>
            <w:r>
              <w:t>≤2024.12时间</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设备购置按时完成率</w:t>
            </w:r>
          </w:p>
        </w:tc>
        <w:tc>
          <w:tcPr>
            <w:tcW w:w="5386" w:type="dxa"/>
            <w:vAlign w:val="center"/>
          </w:tcPr>
          <w:p>
            <w:pPr>
              <w:pStyle w:val="13"/>
            </w:pPr>
            <w:r>
              <w:t>反映按时购置设备情况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w:t>
            </w:r>
          </w:p>
        </w:tc>
        <w:tc>
          <w:tcPr>
            <w:tcW w:w="5386" w:type="dxa"/>
            <w:vAlign w:val="center"/>
          </w:tcPr>
          <w:p>
            <w:pPr>
              <w:pStyle w:val="13"/>
            </w:pPr>
            <w:r>
              <w:t>反映不同类型设备单位成本控制情况</w:t>
            </w:r>
          </w:p>
        </w:tc>
        <w:tc>
          <w:tcPr>
            <w:tcW w:w="2268" w:type="dxa"/>
            <w:vAlign w:val="center"/>
          </w:tcPr>
          <w:p>
            <w:pPr>
              <w:pStyle w:val="13"/>
            </w:pPr>
            <w:r>
              <w:t>≤87.2万元</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提高预警指挥通信能力</w:t>
            </w:r>
          </w:p>
        </w:tc>
        <w:tc>
          <w:tcPr>
            <w:tcW w:w="5386" w:type="dxa"/>
            <w:vAlign w:val="center"/>
          </w:tcPr>
          <w:p>
            <w:pPr>
              <w:pStyle w:val="13"/>
            </w:pPr>
            <w:r>
              <w:t>进一步提高预警指挥通信能力</w:t>
            </w:r>
          </w:p>
        </w:tc>
        <w:tc>
          <w:tcPr>
            <w:tcW w:w="2268" w:type="dxa"/>
            <w:vAlign w:val="center"/>
          </w:tcPr>
          <w:p>
            <w:pPr>
              <w:pStyle w:val="13"/>
            </w:pPr>
            <w:r>
              <w:t>项目综合利用情况</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反映通过问卷调查受益群体满意情况</w:t>
            </w:r>
          </w:p>
        </w:tc>
        <w:tc>
          <w:tcPr>
            <w:tcW w:w="2268" w:type="dxa"/>
            <w:vAlign w:val="center"/>
          </w:tcPr>
          <w:p>
            <w:pPr>
              <w:pStyle w:val="13"/>
            </w:pPr>
            <w:r>
              <w:t>≥100%</w:t>
            </w:r>
          </w:p>
        </w:tc>
        <w:tc>
          <w:tcPr>
            <w:tcW w:w="1276" w:type="dxa"/>
            <w:vAlign w:val="center"/>
          </w:tcPr>
          <w:p>
            <w:pPr>
              <w:pStyle w:val="13"/>
            </w:pPr>
            <w:r>
              <w:t>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3、河北省自然灾害应急能力提升工程预警指挥项目国债项目省级配套（冀财建【2024】28号）绩效目标表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13018424P00448710001X</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河北省自然灾害应急能力提升工程预警指挥项目国债项目省级配套（冀财建【2024】28号）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自然灾害应急能力提升预警指挥项目建设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1.实现自然灾害应急能力提升预警指挥及时有效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完成河北省自然灾害应急能力提升工程项目数量</w:t>
            </w:r>
          </w:p>
        </w:tc>
        <w:tc>
          <w:tcPr>
            <w:tcW w:w="5386" w:type="dxa"/>
            <w:vAlign w:val="center"/>
          </w:tcPr>
          <w:p>
            <w:pPr>
              <w:pStyle w:val="13"/>
            </w:pPr>
            <w:r>
              <w:t>反映购置数量完成情况</w:t>
            </w:r>
          </w:p>
        </w:tc>
        <w:tc>
          <w:tcPr>
            <w:tcW w:w="2268" w:type="dxa"/>
            <w:vAlign w:val="center"/>
          </w:tcPr>
          <w:p>
            <w:pPr>
              <w:pStyle w:val="13"/>
            </w:pPr>
            <w:r>
              <w:t>1个</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设备购置种类</w:t>
            </w:r>
          </w:p>
        </w:tc>
        <w:tc>
          <w:tcPr>
            <w:tcW w:w="5386" w:type="dxa"/>
            <w:vAlign w:val="center"/>
          </w:tcPr>
          <w:p>
            <w:pPr>
              <w:pStyle w:val="13"/>
            </w:pPr>
            <w:r>
              <w:t>反映购置种类数量情况</w:t>
            </w:r>
          </w:p>
        </w:tc>
        <w:tc>
          <w:tcPr>
            <w:tcW w:w="2268" w:type="dxa"/>
            <w:vAlign w:val="center"/>
          </w:tcPr>
          <w:p>
            <w:pPr>
              <w:pStyle w:val="13"/>
            </w:pPr>
            <w:r>
              <w:t>≤10类</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反映购置设备质量合格情况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设备精确度</w:t>
            </w:r>
          </w:p>
        </w:tc>
        <w:tc>
          <w:tcPr>
            <w:tcW w:w="5386" w:type="dxa"/>
            <w:vAlign w:val="center"/>
          </w:tcPr>
          <w:p>
            <w:pPr>
              <w:pStyle w:val="13"/>
            </w:pPr>
            <w:r>
              <w:t>反映购置设备精确度情况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安装工程验收合格率</w:t>
            </w:r>
          </w:p>
        </w:tc>
        <w:tc>
          <w:tcPr>
            <w:tcW w:w="5386" w:type="dxa"/>
            <w:vAlign w:val="center"/>
          </w:tcPr>
          <w:p>
            <w:pPr>
              <w:pStyle w:val="13"/>
            </w:pPr>
            <w:r>
              <w:t>反映设备安装工程质量情况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设备故障率</w:t>
            </w:r>
          </w:p>
        </w:tc>
        <w:tc>
          <w:tcPr>
            <w:tcW w:w="5386" w:type="dxa"/>
            <w:vAlign w:val="center"/>
          </w:tcPr>
          <w:p>
            <w:pPr>
              <w:pStyle w:val="13"/>
            </w:pPr>
            <w:r>
              <w:t>反映设备故障情况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反映设备购置工作的完成时间</w:t>
            </w:r>
          </w:p>
        </w:tc>
        <w:tc>
          <w:tcPr>
            <w:tcW w:w="2268" w:type="dxa"/>
            <w:vAlign w:val="center"/>
          </w:tcPr>
          <w:p>
            <w:pPr>
              <w:pStyle w:val="13"/>
            </w:pPr>
            <w:r>
              <w:t>≥2024.31时间</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设备购置按时完成率</w:t>
            </w:r>
          </w:p>
        </w:tc>
        <w:tc>
          <w:tcPr>
            <w:tcW w:w="5386" w:type="dxa"/>
            <w:vAlign w:val="center"/>
          </w:tcPr>
          <w:p>
            <w:pPr>
              <w:pStyle w:val="13"/>
            </w:pPr>
            <w:r>
              <w:t>反映按时购置设备情况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单位购置成本</w:t>
            </w:r>
          </w:p>
        </w:tc>
        <w:tc>
          <w:tcPr>
            <w:tcW w:w="5386" w:type="dxa"/>
            <w:vAlign w:val="center"/>
          </w:tcPr>
          <w:p>
            <w:pPr>
              <w:pStyle w:val="13"/>
            </w:pPr>
            <w:r>
              <w:t>反映不同类型设备单位成本控制情况</w:t>
            </w:r>
          </w:p>
        </w:tc>
        <w:tc>
          <w:tcPr>
            <w:tcW w:w="2268" w:type="dxa"/>
            <w:vAlign w:val="center"/>
          </w:tcPr>
          <w:p>
            <w:pPr>
              <w:pStyle w:val="13"/>
            </w:pPr>
            <w:r>
              <w:t>≥7.26万元</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提高预警指挥通信能力</w:t>
            </w:r>
          </w:p>
        </w:tc>
        <w:tc>
          <w:tcPr>
            <w:tcW w:w="5386" w:type="dxa"/>
            <w:vAlign w:val="center"/>
          </w:tcPr>
          <w:p>
            <w:pPr>
              <w:pStyle w:val="13"/>
            </w:pPr>
            <w:r>
              <w:t>进一步提高预警指挥通信能力</w:t>
            </w:r>
          </w:p>
        </w:tc>
        <w:tc>
          <w:tcPr>
            <w:tcW w:w="2268" w:type="dxa"/>
            <w:vAlign w:val="center"/>
          </w:tcPr>
          <w:p>
            <w:pPr>
              <w:pStyle w:val="13"/>
            </w:pPr>
            <w:r>
              <w:t>项目综合利用情况</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反映通过问卷调查受益群体满意情况</w:t>
            </w:r>
          </w:p>
        </w:tc>
        <w:tc>
          <w:tcPr>
            <w:tcW w:w="2268" w:type="dxa"/>
            <w:vAlign w:val="center"/>
          </w:tcPr>
          <w:p>
            <w:pPr>
              <w:pStyle w:val="13"/>
            </w:pPr>
            <w:r>
              <w:t>≥100%</w:t>
            </w:r>
          </w:p>
        </w:tc>
        <w:tc>
          <w:tcPr>
            <w:tcW w:w="1276" w:type="dxa"/>
            <w:vAlign w:val="center"/>
          </w:tcPr>
          <w:p>
            <w:pPr>
              <w:pStyle w:val="13"/>
            </w:pPr>
            <w:r>
              <w:t>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4、冀财建{2025}217号-关于提前下达2026年自然灾害救助资金（农房保险试点补助经费）绩效目标表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13018426P00008210005K</w:t>
            </w:r>
          </w:p>
        </w:tc>
        <w:tc>
          <w:tcPr>
            <w:tcW w:w="2835" w:type="dxa"/>
            <w:vAlign w:val="center"/>
          </w:tcPr>
          <w:p>
            <w:pPr>
              <w:pStyle w:val="11"/>
            </w:pPr>
            <w:r>
              <w:t>项目名称</w:t>
            </w:r>
          </w:p>
        </w:tc>
        <w:tc>
          <w:tcPr>
            <w:tcW w:w="6095" w:type="dxa"/>
            <w:gridSpan w:val="3"/>
            <w:vAlign w:val="center"/>
          </w:tcPr>
          <w:p>
            <w:pPr>
              <w:pStyle w:val="13"/>
            </w:pPr>
            <w:r>
              <w:t>冀财建{2025}217号-关于提前下达2026年自然灾害救助资金（农房保险试点补助经费）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自然灾害救助资金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1.通过引导社会力量资金参与救灾工作，充分发挥财政基金的放大作用，加大对受灾群众的救助水平，提升受灾农户抵御自然灾害和突发事故的能力，提高农村居民住房灾后重建保障能力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开展政策性农房保险地区数量</w:t>
            </w:r>
          </w:p>
        </w:tc>
        <w:tc>
          <w:tcPr>
            <w:tcW w:w="5386" w:type="dxa"/>
            <w:vAlign w:val="center"/>
          </w:tcPr>
          <w:p>
            <w:pPr>
              <w:pStyle w:val="13"/>
            </w:pPr>
            <w:r>
              <w:t>补助各政策性农房保险地区数量</w:t>
            </w:r>
          </w:p>
        </w:tc>
        <w:tc>
          <w:tcPr>
            <w:tcW w:w="2268" w:type="dxa"/>
            <w:vAlign w:val="center"/>
          </w:tcPr>
          <w:p>
            <w:pPr>
              <w:pStyle w:val="13"/>
            </w:pPr>
            <w:r>
              <w:t>187个</w:t>
            </w:r>
          </w:p>
        </w:tc>
        <w:tc>
          <w:tcPr>
            <w:tcW w:w="1276" w:type="dxa"/>
            <w:vAlign w:val="center"/>
          </w:tcPr>
          <w:p>
            <w:pPr>
              <w:pStyle w:val="13"/>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农房保险出险赔付率</w:t>
            </w:r>
          </w:p>
        </w:tc>
        <w:tc>
          <w:tcPr>
            <w:tcW w:w="5386" w:type="dxa"/>
            <w:vAlign w:val="center"/>
          </w:tcPr>
          <w:p>
            <w:pPr>
              <w:pStyle w:val="13"/>
            </w:pPr>
            <w:r>
              <w:t>经鉴定符合承保理赔要求的因灾倒损农房户，占后期理赔比例</w:t>
            </w:r>
          </w:p>
        </w:tc>
        <w:tc>
          <w:tcPr>
            <w:tcW w:w="2268" w:type="dxa"/>
            <w:vAlign w:val="center"/>
          </w:tcPr>
          <w:p>
            <w:pPr>
              <w:pStyle w:val="13"/>
            </w:pPr>
            <w:r>
              <w:t>100百分之</w:t>
            </w:r>
          </w:p>
        </w:tc>
        <w:tc>
          <w:tcPr>
            <w:tcW w:w="1276" w:type="dxa"/>
            <w:vAlign w:val="center"/>
          </w:tcPr>
          <w:p>
            <w:pPr>
              <w:pStyle w:val="13"/>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农房保险到期续保时间</w:t>
            </w:r>
          </w:p>
        </w:tc>
        <w:tc>
          <w:tcPr>
            <w:tcW w:w="5386" w:type="dxa"/>
            <w:vAlign w:val="center"/>
          </w:tcPr>
          <w:p>
            <w:pPr>
              <w:pStyle w:val="13"/>
            </w:pPr>
            <w:r>
              <w:t>1月以内</w:t>
            </w:r>
          </w:p>
        </w:tc>
        <w:tc>
          <w:tcPr>
            <w:tcW w:w="2268" w:type="dxa"/>
            <w:vAlign w:val="center"/>
          </w:tcPr>
          <w:p>
            <w:pPr>
              <w:pStyle w:val="13"/>
            </w:pPr>
            <w:r>
              <w:t>1月</w:t>
            </w:r>
          </w:p>
        </w:tc>
        <w:tc>
          <w:tcPr>
            <w:tcW w:w="1276" w:type="dxa"/>
            <w:vAlign w:val="center"/>
          </w:tcPr>
          <w:p>
            <w:pPr>
              <w:pStyle w:val="13"/>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开展农房保险的成本</w:t>
            </w:r>
          </w:p>
        </w:tc>
        <w:tc>
          <w:tcPr>
            <w:tcW w:w="5386" w:type="dxa"/>
            <w:vAlign w:val="center"/>
          </w:tcPr>
          <w:p>
            <w:pPr>
              <w:pStyle w:val="13"/>
            </w:pPr>
            <w:r>
              <w:t>开展政策性农房的成本</w:t>
            </w:r>
          </w:p>
        </w:tc>
        <w:tc>
          <w:tcPr>
            <w:tcW w:w="2268" w:type="dxa"/>
            <w:vAlign w:val="center"/>
          </w:tcPr>
          <w:p>
            <w:pPr>
              <w:pStyle w:val="13"/>
            </w:pPr>
            <w:r>
              <w:t>1000元</w:t>
            </w:r>
          </w:p>
        </w:tc>
        <w:tc>
          <w:tcPr>
            <w:tcW w:w="1276" w:type="dxa"/>
            <w:vAlign w:val="center"/>
          </w:tcPr>
          <w:p>
            <w:pPr>
              <w:pStyle w:val="13"/>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提高农户抵御灾害能力</w:t>
            </w:r>
          </w:p>
        </w:tc>
        <w:tc>
          <w:tcPr>
            <w:tcW w:w="5386" w:type="dxa"/>
            <w:vAlign w:val="center"/>
          </w:tcPr>
          <w:p>
            <w:pPr>
              <w:pStyle w:val="13"/>
            </w:pPr>
            <w:r>
              <w:t>较往年有所提高</w:t>
            </w:r>
          </w:p>
        </w:tc>
        <w:tc>
          <w:tcPr>
            <w:tcW w:w="2268" w:type="dxa"/>
            <w:vAlign w:val="center"/>
          </w:tcPr>
          <w:p>
            <w:pPr>
              <w:pStyle w:val="13"/>
            </w:pPr>
            <w:r>
              <w:t>≤100百分之</w:t>
            </w:r>
          </w:p>
        </w:tc>
        <w:tc>
          <w:tcPr>
            <w:tcW w:w="1276" w:type="dxa"/>
            <w:vAlign w:val="center"/>
          </w:tcPr>
          <w:p>
            <w:pPr>
              <w:pStyle w:val="13"/>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农房保险参保农户满意率</w:t>
            </w:r>
          </w:p>
        </w:tc>
        <w:tc>
          <w:tcPr>
            <w:tcW w:w="5386" w:type="dxa"/>
            <w:vAlign w:val="center"/>
          </w:tcPr>
          <w:p>
            <w:pPr>
              <w:pStyle w:val="13"/>
            </w:pPr>
            <w:r>
              <w:t>≥95%</w:t>
            </w:r>
          </w:p>
        </w:tc>
        <w:tc>
          <w:tcPr>
            <w:tcW w:w="2268" w:type="dxa"/>
            <w:vAlign w:val="center"/>
          </w:tcPr>
          <w:p>
            <w:pPr>
              <w:pStyle w:val="13"/>
            </w:pPr>
            <w:r>
              <w:t>≥95百分之</w:t>
            </w:r>
          </w:p>
        </w:tc>
        <w:tc>
          <w:tcPr>
            <w:tcW w:w="1276" w:type="dxa"/>
            <w:vAlign w:val="center"/>
          </w:tcPr>
          <w:p>
            <w:pPr>
              <w:pStyle w:val="13"/>
            </w:pPr>
            <w:r>
              <w:t>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5、石财建〔2025〕69号关于提前下达2026年市级防震减灾群测群防补助资金的通知绩效目标表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13018426P000082100067</w:t>
            </w:r>
          </w:p>
        </w:tc>
        <w:tc>
          <w:tcPr>
            <w:tcW w:w="2835" w:type="dxa"/>
            <w:vAlign w:val="center"/>
          </w:tcPr>
          <w:p>
            <w:pPr>
              <w:pStyle w:val="11"/>
            </w:pPr>
            <w:r>
              <w:t>项目名称</w:t>
            </w:r>
          </w:p>
        </w:tc>
        <w:tc>
          <w:tcPr>
            <w:tcW w:w="6095" w:type="dxa"/>
            <w:gridSpan w:val="3"/>
            <w:vAlign w:val="center"/>
          </w:tcPr>
          <w:p>
            <w:pPr>
              <w:pStyle w:val="13"/>
            </w:pPr>
            <w:r>
              <w:t>石财建〔2025〕69号关于提前下达2026年市级防震减灾群测群防补助资金的通知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防震减灾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地球物理观测站点正常运行率</w:t>
            </w:r>
          </w:p>
        </w:tc>
        <w:tc>
          <w:tcPr>
            <w:tcW w:w="5386" w:type="dxa"/>
            <w:vAlign w:val="center"/>
          </w:tcPr>
          <w:p>
            <w:pPr>
              <w:pStyle w:val="13"/>
            </w:pPr>
            <w:r>
              <w:t>地球物理观测站点正常运行率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按时上报地球物理观测站点观测数据，按要求开展震情速报</w:t>
            </w:r>
          </w:p>
        </w:tc>
        <w:tc>
          <w:tcPr>
            <w:tcW w:w="5386" w:type="dxa"/>
            <w:vAlign w:val="center"/>
          </w:tcPr>
          <w:p>
            <w:pPr>
              <w:pStyle w:val="13"/>
            </w:pPr>
            <w:r>
              <w:t>按时上报地球物理观测站点观测数据，按要求开展震情速报</w:t>
            </w:r>
          </w:p>
        </w:tc>
        <w:tc>
          <w:tcPr>
            <w:tcW w:w="2268" w:type="dxa"/>
            <w:vAlign w:val="center"/>
          </w:tcPr>
          <w:p>
            <w:pPr>
              <w:pStyle w:val="13"/>
            </w:pPr>
            <w:r>
              <w:t>在规定时间内完成上报工作</w:t>
            </w:r>
          </w:p>
        </w:tc>
        <w:tc>
          <w:tcPr>
            <w:tcW w:w="1276" w:type="dxa"/>
            <w:vAlign w:val="center"/>
          </w:tcPr>
          <w:p>
            <w:pPr>
              <w:pStyle w:val="13"/>
            </w:pPr>
            <w:r>
              <w:t>按照应急预案要求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≤20万元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地震观测站点</w:t>
            </w:r>
          </w:p>
        </w:tc>
        <w:tc>
          <w:tcPr>
            <w:tcW w:w="5386" w:type="dxa"/>
            <w:vAlign w:val="center"/>
          </w:tcPr>
          <w:p>
            <w:pPr>
              <w:pStyle w:val="13"/>
            </w:pPr>
            <w:r>
              <w:t>地震观测站点</w:t>
            </w:r>
          </w:p>
        </w:tc>
        <w:tc>
          <w:tcPr>
            <w:tcW w:w="2268" w:type="dxa"/>
            <w:vAlign w:val="center"/>
          </w:tcPr>
          <w:p>
            <w:pPr>
              <w:pStyle w:val="13"/>
            </w:pPr>
            <w:r>
              <w:t>≥60个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进一步降低地震造成的经济损失和人员伤亡</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管理部门满意度</w:t>
            </w:r>
          </w:p>
        </w:tc>
        <w:tc>
          <w:tcPr>
            <w:tcW w:w="5386" w:type="dxa"/>
            <w:vAlign w:val="center"/>
          </w:tcPr>
          <w:p>
            <w:pPr>
              <w:pStyle w:val="13"/>
            </w:pPr>
            <w:r>
              <w:t>上报数据管理部门对工作满意度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6、新乐市自然灾害应急能力提升工程（应急领域基层防灾工程项目）补助资金（县级配套）绩效目标表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13018426P00011410004G</w:t>
            </w:r>
          </w:p>
        </w:tc>
        <w:tc>
          <w:tcPr>
            <w:tcW w:w="2835" w:type="dxa"/>
            <w:vAlign w:val="center"/>
          </w:tcPr>
          <w:p>
            <w:pPr>
              <w:pStyle w:val="11"/>
            </w:pPr>
            <w:r>
              <w:t>项目名称</w:t>
            </w:r>
          </w:p>
        </w:tc>
        <w:tc>
          <w:tcPr>
            <w:tcW w:w="6095" w:type="dxa"/>
            <w:gridSpan w:val="3"/>
            <w:vAlign w:val="center"/>
          </w:tcPr>
          <w:p>
            <w:pPr>
              <w:pStyle w:val="13"/>
            </w:pPr>
            <w:r>
              <w:t>新乐市自然灾害应急能力提升工程（应急领域基层防灾工程项目）补助资金（县级配套）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58.69</w:t>
            </w:r>
          </w:p>
        </w:tc>
        <w:tc>
          <w:tcPr>
            <w:tcW w:w="2835" w:type="dxa"/>
            <w:vAlign w:val="center"/>
          </w:tcPr>
          <w:p>
            <w:pPr>
              <w:pStyle w:val="11"/>
            </w:pPr>
            <w:r>
              <w:t>其中：财政    资金</w:t>
            </w:r>
          </w:p>
        </w:tc>
        <w:tc>
          <w:tcPr>
            <w:tcW w:w="2551" w:type="dxa"/>
            <w:vAlign w:val="center"/>
          </w:tcPr>
          <w:p>
            <w:pPr>
              <w:pStyle w:val="13"/>
            </w:pPr>
            <w:r>
              <w:t>58.69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应急能力提升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58.69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1.提升自然灾害应急救援能力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≤58.68万元</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保障救援顺利进行</w:t>
            </w:r>
          </w:p>
        </w:tc>
        <w:tc>
          <w:tcPr>
            <w:tcW w:w="5386" w:type="dxa"/>
            <w:vAlign w:val="center"/>
          </w:tcPr>
          <w:p>
            <w:pPr>
              <w:pStyle w:val="13"/>
            </w:pPr>
            <w:r>
              <w:t>保障救援顺利进行</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生态环境破坏率</w:t>
            </w:r>
          </w:p>
        </w:tc>
        <w:tc>
          <w:tcPr>
            <w:tcW w:w="5386" w:type="dxa"/>
            <w:vAlign w:val="center"/>
          </w:tcPr>
          <w:p>
            <w:pPr>
              <w:pStyle w:val="13"/>
            </w:pPr>
            <w:r>
              <w:t>对原有生态环境造成不利影响的程度</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保障能力提升情况</w:t>
            </w:r>
          </w:p>
        </w:tc>
        <w:tc>
          <w:tcPr>
            <w:tcW w:w="5386" w:type="dxa"/>
            <w:vAlign w:val="center"/>
          </w:tcPr>
          <w:p>
            <w:pPr>
              <w:pStyle w:val="13"/>
            </w:pPr>
            <w:r>
              <w:t>保障能力提升情况</w:t>
            </w:r>
          </w:p>
        </w:tc>
        <w:tc>
          <w:tcPr>
            <w:tcW w:w="2268" w:type="dxa"/>
            <w:vAlign w:val="center"/>
          </w:tcPr>
          <w:p>
            <w:pPr>
              <w:pStyle w:val="13"/>
            </w:pPr>
            <w:r>
              <w:t>≥100%</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政策要求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426新乐市应急管理局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新乐市应急管理局（含所属单位）上年末固定资产金额为0.00万元（详见下表）。本年度拟购置固定资产总额为0.00万元，已按要求列入政府采购预算，详见政府采购预算表。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426新乐市应急管理局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B7076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2026-03-05T15:10:00Z</dcterms:created>
  <dc:creator>Administrator</dc:creator>
  <cp:lastModifiedBy>Administrator</cp:lastModifiedBy>
  <dcterms:modified xsi:type="dcterms:W3CDTF">2026-03-05T07:26:28Z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