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一、新乐市木村乡人民政府本级收支预算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一、新乐市木村乡人民政府本级收支预算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1518.67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1020.84</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166.44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30.52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0.74</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208.24</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78.89</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1518.67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1518.67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1518.67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1518.67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1518.67</w:t>
            </w:r>
          </w:p>
        </w:tc>
        <w:tc>
          <w:tcPr>
            <w:tcW w:w="1134" w:type="dxa"/>
            <w:vAlign w:val="center"/>
          </w:tcPr>
          <w:p>
            <w:pPr>
              <w:pStyle w:val="单元格样式7"/>
            </w:pPr>
            <w:r>
              <w:t xml:space="preserve">1518.67</w:t>
            </w:r>
          </w:p>
        </w:tc>
        <w:tc>
          <w:tcPr>
            <w:tcW w:w="1134" w:type="dxa"/>
            <w:vAlign w:val="center"/>
          </w:tcPr>
          <w:p>
            <w:pPr>
              <w:pStyle w:val="单元格样式7"/>
            </w:pPr>
            <w:r>
              <w:t xml:space="preserve">1518.67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1020.84</w:t>
            </w:r>
          </w:p>
        </w:tc>
        <w:tc>
          <w:tcPr>
            <w:tcW w:w="1134" w:type="dxa"/>
            <w:vAlign w:val="center"/>
          </w:tcPr>
          <w:p>
            <w:pPr>
              <w:pStyle w:val="单元格样式4"/>
            </w:pPr>
            <w:r>
              <w:t xml:space="preserve">1020.84</w:t>
            </w:r>
          </w:p>
        </w:tc>
        <w:tc>
          <w:tcPr>
            <w:tcW w:w="1134" w:type="dxa"/>
            <w:vAlign w:val="center"/>
          </w:tcPr>
          <w:p>
            <w:pPr>
              <w:pStyle w:val="单元格样式4"/>
            </w:pPr>
            <w:r>
              <w:t xml:space="preserve">1020.84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840.84</w:t>
            </w:r>
          </w:p>
        </w:tc>
        <w:tc>
          <w:tcPr>
            <w:tcW w:w="1134" w:type="dxa"/>
            <w:vAlign w:val="center"/>
          </w:tcPr>
          <w:p>
            <w:pPr>
              <w:pStyle w:val="单元格样式4"/>
            </w:pPr>
            <w:r>
              <w:t xml:space="preserve">840.84</w:t>
            </w:r>
          </w:p>
        </w:tc>
        <w:tc>
          <w:tcPr>
            <w:tcW w:w="1134" w:type="dxa"/>
            <w:vAlign w:val="center"/>
          </w:tcPr>
          <w:p>
            <w:pPr>
              <w:pStyle w:val="单元格样式4"/>
            </w:pPr>
            <w:r>
              <w:t xml:space="preserve">840.84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840.84</w:t>
            </w:r>
          </w:p>
        </w:tc>
        <w:tc>
          <w:tcPr>
            <w:tcW w:w="1134" w:type="dxa"/>
            <w:vAlign w:val="center"/>
          </w:tcPr>
          <w:p>
            <w:pPr>
              <w:pStyle w:val="单元格样式4"/>
            </w:pPr>
            <w:r>
              <w:t xml:space="preserve">840.84</w:t>
            </w:r>
          </w:p>
        </w:tc>
        <w:tc>
          <w:tcPr>
            <w:tcW w:w="1134" w:type="dxa"/>
            <w:vAlign w:val="center"/>
          </w:tcPr>
          <w:p>
            <w:pPr>
              <w:pStyle w:val="单元格样式4"/>
            </w:pPr>
            <w:r>
              <w:t xml:space="preserve">840.84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2019999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166.44</w:t>
            </w:r>
          </w:p>
        </w:tc>
        <w:tc>
          <w:tcPr>
            <w:tcW w:w="1134" w:type="dxa"/>
            <w:vAlign w:val="center"/>
          </w:tcPr>
          <w:p>
            <w:pPr>
              <w:pStyle w:val="单元格样式4"/>
            </w:pPr>
            <w:r>
              <w:t xml:space="preserve">166.44</w:t>
            </w:r>
          </w:p>
        </w:tc>
        <w:tc>
          <w:tcPr>
            <w:tcW w:w="1134" w:type="dxa"/>
            <w:vAlign w:val="center"/>
          </w:tcPr>
          <w:p>
            <w:pPr>
              <w:pStyle w:val="单元格样式4"/>
            </w:pPr>
            <w:r>
              <w:t xml:space="preserve">166.44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159.97</w:t>
            </w:r>
          </w:p>
        </w:tc>
        <w:tc>
          <w:tcPr>
            <w:tcW w:w="1134" w:type="dxa"/>
            <w:vAlign w:val="center"/>
          </w:tcPr>
          <w:p>
            <w:pPr>
              <w:pStyle w:val="单元格样式4"/>
            </w:pPr>
            <w:r>
              <w:t xml:space="preserve">159.97</w:t>
            </w:r>
          </w:p>
        </w:tc>
        <w:tc>
          <w:tcPr>
            <w:tcW w:w="1134" w:type="dxa"/>
            <w:vAlign w:val="center"/>
          </w:tcPr>
          <w:p>
            <w:pPr>
              <w:pStyle w:val="单元格样式4"/>
            </w:pPr>
            <w:r>
              <w:t xml:space="preserve">159.97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57.18</w:t>
            </w:r>
          </w:p>
        </w:tc>
        <w:tc>
          <w:tcPr>
            <w:tcW w:w="1134" w:type="dxa"/>
            <w:vAlign w:val="center"/>
          </w:tcPr>
          <w:p>
            <w:pPr>
              <w:pStyle w:val="单元格样式4"/>
            </w:pPr>
            <w:r>
              <w:t xml:space="preserve">57.18</w:t>
            </w:r>
          </w:p>
        </w:tc>
        <w:tc>
          <w:tcPr>
            <w:tcW w:w="1134" w:type="dxa"/>
            <w:vAlign w:val="center"/>
          </w:tcPr>
          <w:p>
            <w:pPr>
              <w:pStyle w:val="单元格样式4"/>
            </w:pPr>
            <w:r>
              <w:t xml:space="preserve">57.18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72.98</w:t>
            </w:r>
          </w:p>
        </w:tc>
        <w:tc>
          <w:tcPr>
            <w:tcW w:w="1134" w:type="dxa"/>
            <w:vAlign w:val="center"/>
          </w:tcPr>
          <w:p>
            <w:pPr>
              <w:pStyle w:val="单元格样式4"/>
            </w:pPr>
            <w:r>
              <w:t xml:space="preserve">72.98</w:t>
            </w:r>
          </w:p>
        </w:tc>
        <w:tc>
          <w:tcPr>
            <w:tcW w:w="1134" w:type="dxa"/>
            <w:vAlign w:val="center"/>
          </w:tcPr>
          <w:p>
            <w:pPr>
              <w:pStyle w:val="单元格样式4"/>
            </w:pPr>
            <w:r>
              <w:t xml:space="preserve">72.98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29.81</w:t>
            </w:r>
          </w:p>
        </w:tc>
        <w:tc>
          <w:tcPr>
            <w:tcW w:w="1134" w:type="dxa"/>
            <w:vAlign w:val="center"/>
          </w:tcPr>
          <w:p>
            <w:pPr>
              <w:pStyle w:val="单元格样式4"/>
            </w:pPr>
            <w:r>
              <w:t xml:space="preserve">29.81</w:t>
            </w:r>
          </w:p>
        </w:tc>
        <w:tc>
          <w:tcPr>
            <w:tcW w:w="1134" w:type="dxa"/>
            <w:vAlign w:val="center"/>
          </w:tcPr>
          <w:p>
            <w:pPr>
              <w:pStyle w:val="单元格样式4"/>
            </w:pPr>
            <w:r>
              <w:t xml:space="preserve">29.81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r>
              <w:t xml:space="preserve">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4.38</w:t>
            </w:r>
          </w:p>
        </w:tc>
        <w:tc>
          <w:tcPr>
            <w:tcW w:w="1134" w:type="dxa"/>
            <w:vAlign w:val="center"/>
          </w:tcPr>
          <w:p>
            <w:pPr>
              <w:pStyle w:val="单元格样式4"/>
            </w:pPr>
            <w:r>
              <w:t xml:space="preserve">4.38</w:t>
            </w:r>
          </w:p>
        </w:tc>
        <w:tc>
          <w:tcPr>
            <w:tcW w:w="1134" w:type="dxa"/>
            <w:vAlign w:val="center"/>
          </w:tcPr>
          <w:p>
            <w:pPr>
              <w:pStyle w:val="单元格样式4"/>
            </w:pPr>
            <w:r>
              <w:t xml:space="preserve">4.38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4.38</w:t>
            </w:r>
          </w:p>
        </w:tc>
        <w:tc>
          <w:tcPr>
            <w:tcW w:w="1134" w:type="dxa"/>
            <w:vAlign w:val="center"/>
          </w:tcPr>
          <w:p>
            <w:pPr>
              <w:pStyle w:val="单元格样式4"/>
            </w:pPr>
            <w:r>
              <w:t xml:space="preserve">4.38</w:t>
            </w:r>
          </w:p>
        </w:tc>
        <w:tc>
          <w:tcPr>
            <w:tcW w:w="1134" w:type="dxa"/>
            <w:vAlign w:val="center"/>
          </w:tcPr>
          <w:p>
            <w:pPr>
              <w:pStyle w:val="单元格样式4"/>
            </w:pPr>
            <w:r>
              <w:t xml:space="preserve">4.38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r>
              <w:t xml:space="preserve">30.52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r>
              <w:t xml:space="preserve">0.74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208.24</w:t>
            </w:r>
          </w:p>
        </w:tc>
        <w:tc>
          <w:tcPr>
            <w:tcW w:w="1134" w:type="dxa"/>
            <w:vAlign w:val="center"/>
          </w:tcPr>
          <w:p>
            <w:pPr>
              <w:pStyle w:val="单元格样式4"/>
            </w:pPr>
            <w:r>
              <w:t xml:space="preserve">208.24</w:t>
            </w:r>
          </w:p>
        </w:tc>
        <w:tc>
          <w:tcPr>
            <w:tcW w:w="1134" w:type="dxa"/>
            <w:vAlign w:val="center"/>
          </w:tcPr>
          <w:p>
            <w:pPr>
              <w:pStyle w:val="单元格样式4"/>
            </w:pPr>
            <w:r>
              <w:t xml:space="preserve">208.24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138.24</w:t>
            </w:r>
          </w:p>
        </w:tc>
        <w:tc>
          <w:tcPr>
            <w:tcW w:w="1134" w:type="dxa"/>
            <w:vAlign w:val="center"/>
          </w:tcPr>
          <w:p>
            <w:pPr>
              <w:pStyle w:val="单元格样式4"/>
            </w:pPr>
            <w:r>
              <w:t xml:space="preserve">138.24</w:t>
            </w:r>
          </w:p>
        </w:tc>
        <w:tc>
          <w:tcPr>
            <w:tcW w:w="1134" w:type="dxa"/>
            <w:vAlign w:val="center"/>
          </w:tcPr>
          <w:p>
            <w:pPr>
              <w:pStyle w:val="单元格样式4"/>
            </w:pPr>
            <w:r>
              <w:t xml:space="preserve">138.24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138.24</w:t>
            </w:r>
          </w:p>
        </w:tc>
        <w:tc>
          <w:tcPr>
            <w:tcW w:w="1134" w:type="dxa"/>
            <w:vAlign w:val="center"/>
          </w:tcPr>
          <w:p>
            <w:pPr>
              <w:pStyle w:val="单元格样式4"/>
            </w:pPr>
            <w:r>
              <w:t xml:space="preserve">138.24</w:t>
            </w:r>
          </w:p>
        </w:tc>
        <w:tc>
          <w:tcPr>
            <w:tcW w:w="1134" w:type="dxa"/>
            <w:vAlign w:val="center"/>
          </w:tcPr>
          <w:p>
            <w:pPr>
              <w:pStyle w:val="单元格样式4"/>
            </w:pPr>
            <w:r>
              <w:t xml:space="preserve">138.24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r>
              <w:t xml:space="preserve">78.89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1518.67</w:t>
            </w:r>
          </w:p>
        </w:tc>
        <w:tc>
          <w:tcPr>
            <w:tcW w:w="1361" w:type="dxa"/>
            <w:vAlign w:val="center"/>
          </w:tcPr>
          <w:p>
            <w:pPr>
              <w:pStyle w:val="单元格样式7"/>
            </w:pPr>
            <w:r>
              <w:t xml:space="preserve">1116.69</w:t>
            </w:r>
          </w:p>
        </w:tc>
        <w:tc>
          <w:tcPr>
            <w:tcW w:w="1361" w:type="dxa"/>
            <w:vAlign w:val="center"/>
          </w:tcPr>
          <w:p>
            <w:pPr>
              <w:pStyle w:val="单元格样式7"/>
            </w:pPr>
            <w:r>
              <w:t xml:space="preserve">401.98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1020.84</w:t>
            </w:r>
          </w:p>
        </w:tc>
        <w:tc>
          <w:tcPr>
            <w:tcW w:w="1361" w:type="dxa"/>
            <w:vAlign w:val="center"/>
          </w:tcPr>
          <w:p>
            <w:pPr>
              <w:pStyle w:val="单元格样式4"/>
            </w:pPr>
            <w:r>
              <w:t xml:space="preserve">840.84</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840.84</w:t>
            </w:r>
          </w:p>
        </w:tc>
        <w:tc>
          <w:tcPr>
            <w:tcW w:w="1361" w:type="dxa"/>
            <w:vAlign w:val="center"/>
          </w:tcPr>
          <w:p>
            <w:pPr>
              <w:pStyle w:val="单元格样式4"/>
            </w:pPr>
            <w:r>
              <w:t xml:space="preserve">840.84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840.84</w:t>
            </w:r>
          </w:p>
        </w:tc>
        <w:tc>
          <w:tcPr>
            <w:tcW w:w="1361" w:type="dxa"/>
            <w:vAlign w:val="center"/>
          </w:tcPr>
          <w:p>
            <w:pPr>
              <w:pStyle w:val="单元格样式4"/>
            </w:pPr>
            <w:r>
              <w:t xml:space="preserve">840.84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166.44</w:t>
            </w:r>
          </w:p>
        </w:tc>
        <w:tc>
          <w:tcPr>
            <w:tcW w:w="1361" w:type="dxa"/>
            <w:vAlign w:val="center"/>
          </w:tcPr>
          <w:p>
            <w:pPr>
              <w:pStyle w:val="单元格样式4"/>
            </w:pPr>
            <w:r>
              <w:t xml:space="preserve">166.44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159.97</w:t>
            </w:r>
          </w:p>
        </w:tc>
        <w:tc>
          <w:tcPr>
            <w:tcW w:w="1361" w:type="dxa"/>
            <w:vAlign w:val="center"/>
          </w:tcPr>
          <w:p>
            <w:pPr>
              <w:pStyle w:val="单元格样式4"/>
            </w:pPr>
            <w:r>
              <w:t xml:space="preserve">159.97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57.18</w:t>
            </w:r>
          </w:p>
        </w:tc>
        <w:tc>
          <w:tcPr>
            <w:tcW w:w="1361" w:type="dxa"/>
            <w:vAlign w:val="center"/>
          </w:tcPr>
          <w:p>
            <w:pPr>
              <w:pStyle w:val="单元格样式4"/>
            </w:pPr>
            <w:r>
              <w:t xml:space="preserve">57.18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72.98</w:t>
            </w:r>
          </w:p>
        </w:tc>
        <w:tc>
          <w:tcPr>
            <w:tcW w:w="1361" w:type="dxa"/>
            <w:vAlign w:val="center"/>
          </w:tcPr>
          <w:p>
            <w:pPr>
              <w:pStyle w:val="单元格样式4"/>
            </w:pPr>
            <w:r>
              <w:t xml:space="preserve">72.98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29.81</w:t>
            </w:r>
          </w:p>
        </w:tc>
        <w:tc>
          <w:tcPr>
            <w:tcW w:w="1361" w:type="dxa"/>
            <w:vAlign w:val="center"/>
          </w:tcPr>
          <w:p>
            <w:pPr>
              <w:pStyle w:val="单元格样式4"/>
            </w:pPr>
            <w:r>
              <w:t xml:space="preserve">29.81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2.09</w:t>
            </w:r>
          </w:p>
        </w:tc>
        <w:tc>
          <w:tcPr>
            <w:tcW w:w="1361" w:type="dxa"/>
            <w:vAlign w:val="center"/>
          </w:tcPr>
          <w:p>
            <w:pPr>
              <w:pStyle w:val="单元格样式4"/>
            </w:pPr>
            <w:r>
              <w:t xml:space="preserve">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2.09</w:t>
            </w:r>
          </w:p>
        </w:tc>
        <w:tc>
          <w:tcPr>
            <w:tcW w:w="1361" w:type="dxa"/>
            <w:vAlign w:val="center"/>
          </w:tcPr>
          <w:p>
            <w:pPr>
              <w:pStyle w:val="单元格样式4"/>
            </w:pPr>
            <w:r>
              <w:t xml:space="preserve">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4.38</w:t>
            </w:r>
          </w:p>
        </w:tc>
        <w:tc>
          <w:tcPr>
            <w:tcW w:w="1361" w:type="dxa"/>
            <w:vAlign w:val="center"/>
          </w:tcPr>
          <w:p>
            <w:pPr>
              <w:pStyle w:val="单元格样式4"/>
            </w:pPr>
            <w:r>
              <w:t xml:space="preserve">4.38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4.38</w:t>
            </w:r>
          </w:p>
        </w:tc>
        <w:tc>
          <w:tcPr>
            <w:tcW w:w="1361" w:type="dxa"/>
            <w:vAlign w:val="center"/>
          </w:tcPr>
          <w:p>
            <w:pPr>
              <w:pStyle w:val="单元格样式4"/>
            </w:pPr>
            <w:r>
              <w:t xml:space="preserve">4.38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30.52</w:t>
            </w:r>
          </w:p>
        </w:tc>
        <w:tc>
          <w:tcPr>
            <w:tcW w:w="1361" w:type="dxa"/>
            <w:vAlign w:val="center"/>
          </w:tcPr>
          <w:p>
            <w:pPr>
              <w:pStyle w:val="单元格样式4"/>
            </w:pPr>
            <w:r>
              <w:t xml:space="preserve">30.52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30.52</w:t>
            </w:r>
          </w:p>
        </w:tc>
        <w:tc>
          <w:tcPr>
            <w:tcW w:w="1361" w:type="dxa"/>
            <w:vAlign w:val="center"/>
          </w:tcPr>
          <w:p>
            <w:pPr>
              <w:pStyle w:val="单元格样式4"/>
            </w:pPr>
            <w:r>
              <w:t xml:space="preserve">30.52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30.52</w:t>
            </w:r>
          </w:p>
        </w:tc>
        <w:tc>
          <w:tcPr>
            <w:tcW w:w="1361" w:type="dxa"/>
            <w:vAlign w:val="center"/>
          </w:tcPr>
          <w:p>
            <w:pPr>
              <w:pStyle w:val="单元格样式4"/>
            </w:pPr>
            <w:r>
              <w:t xml:space="preserve">30.52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r>
              <w:t xml:space="preserve">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208.24</w:t>
            </w:r>
          </w:p>
        </w:tc>
        <w:tc>
          <w:tcPr>
            <w:tcW w:w="1361" w:type="dxa"/>
            <w:vAlign w:val="center"/>
          </w:tcPr>
          <w:p>
            <w:pPr>
              <w:pStyle w:val="单元格样式4"/>
            </w:pPr>
          </w:p>
        </w:tc>
        <w:tc>
          <w:tcPr>
            <w:tcW w:w="1361" w:type="dxa"/>
            <w:vAlign w:val="center"/>
          </w:tcPr>
          <w:p>
            <w:pPr>
              <w:pStyle w:val="单元格样式4"/>
            </w:pPr>
            <w:r>
              <w:t xml:space="preserve">208.24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138.24</w:t>
            </w:r>
          </w:p>
        </w:tc>
        <w:tc>
          <w:tcPr>
            <w:tcW w:w="1361" w:type="dxa"/>
            <w:vAlign w:val="center"/>
          </w:tcPr>
          <w:p>
            <w:pPr>
              <w:pStyle w:val="单元格样式4"/>
            </w:pPr>
          </w:p>
        </w:tc>
        <w:tc>
          <w:tcPr>
            <w:tcW w:w="1361" w:type="dxa"/>
            <w:vAlign w:val="center"/>
          </w:tcPr>
          <w:p>
            <w:pPr>
              <w:pStyle w:val="单元格样式4"/>
            </w:pPr>
            <w:r>
              <w:t xml:space="preserve">138.24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138.24</w:t>
            </w:r>
          </w:p>
        </w:tc>
        <w:tc>
          <w:tcPr>
            <w:tcW w:w="1361" w:type="dxa"/>
            <w:vAlign w:val="center"/>
          </w:tcPr>
          <w:p>
            <w:pPr>
              <w:pStyle w:val="单元格样式4"/>
            </w:pPr>
          </w:p>
        </w:tc>
        <w:tc>
          <w:tcPr>
            <w:tcW w:w="1361" w:type="dxa"/>
            <w:vAlign w:val="center"/>
          </w:tcPr>
          <w:p>
            <w:pPr>
              <w:pStyle w:val="单元格样式4"/>
            </w:pPr>
            <w:r>
              <w:t xml:space="preserve">138.24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78.89</w:t>
            </w:r>
          </w:p>
        </w:tc>
        <w:tc>
          <w:tcPr>
            <w:tcW w:w="1361" w:type="dxa"/>
            <w:vAlign w:val="center"/>
          </w:tcPr>
          <w:p>
            <w:pPr>
              <w:pStyle w:val="单元格样式4"/>
            </w:pPr>
            <w:r>
              <w:t xml:space="preserve">78.89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78.89</w:t>
            </w:r>
          </w:p>
        </w:tc>
        <w:tc>
          <w:tcPr>
            <w:tcW w:w="1361" w:type="dxa"/>
            <w:vAlign w:val="center"/>
          </w:tcPr>
          <w:p>
            <w:pPr>
              <w:pStyle w:val="单元格样式4"/>
            </w:pPr>
            <w:r>
              <w:t xml:space="preserve">78.89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78.89</w:t>
            </w:r>
          </w:p>
        </w:tc>
        <w:tc>
          <w:tcPr>
            <w:tcW w:w="1361" w:type="dxa"/>
            <w:vAlign w:val="center"/>
          </w:tcPr>
          <w:p>
            <w:pPr>
              <w:pStyle w:val="单元格样式4"/>
            </w:pPr>
            <w:r>
              <w:t xml:space="preserve">78.89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1518.67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1020.84</w:t>
            </w:r>
          </w:p>
        </w:tc>
        <w:tc>
          <w:tcPr>
            <w:tcW w:w="1474" w:type="dxa"/>
            <w:vAlign w:val="center"/>
          </w:tcPr>
          <w:p>
            <w:pPr>
              <w:pStyle w:val="单元格样式4"/>
            </w:pPr>
            <w:r>
              <w:t xml:space="preserve">1020.84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13.00</w:t>
            </w:r>
          </w:p>
        </w:tc>
        <w:tc>
          <w:tcPr>
            <w:tcW w:w="1474" w:type="dxa"/>
            <w:vAlign w:val="center"/>
          </w:tcPr>
          <w:p>
            <w:pPr>
              <w:pStyle w:val="单元格样式4"/>
            </w:pPr>
            <w:r>
              <w:t xml:space="preserve">13.00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166.44</w:t>
            </w:r>
          </w:p>
        </w:tc>
        <w:tc>
          <w:tcPr>
            <w:tcW w:w="1474" w:type="dxa"/>
            <w:vAlign w:val="center"/>
          </w:tcPr>
          <w:p>
            <w:pPr>
              <w:pStyle w:val="单元格样式4"/>
            </w:pPr>
            <w:r>
              <w:t xml:space="preserve">166.44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30.52</w:t>
            </w:r>
          </w:p>
        </w:tc>
        <w:tc>
          <w:tcPr>
            <w:tcW w:w="1474" w:type="dxa"/>
            <w:vAlign w:val="center"/>
          </w:tcPr>
          <w:p>
            <w:pPr>
              <w:pStyle w:val="单元格样式4"/>
            </w:pPr>
            <w:r>
              <w:t xml:space="preserve">30.52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0.74</w:t>
            </w:r>
          </w:p>
        </w:tc>
        <w:tc>
          <w:tcPr>
            <w:tcW w:w="1474" w:type="dxa"/>
            <w:vAlign w:val="center"/>
          </w:tcPr>
          <w:p>
            <w:pPr>
              <w:pStyle w:val="单元格样式4"/>
            </w:pPr>
            <w:r>
              <w:t xml:space="preserve">0.74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208.24</w:t>
            </w:r>
          </w:p>
        </w:tc>
        <w:tc>
          <w:tcPr>
            <w:tcW w:w="1474" w:type="dxa"/>
            <w:vAlign w:val="center"/>
          </w:tcPr>
          <w:p>
            <w:pPr>
              <w:pStyle w:val="单元格样式4"/>
            </w:pPr>
            <w:r>
              <w:t xml:space="preserve">208.24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78.89</w:t>
            </w:r>
          </w:p>
        </w:tc>
        <w:tc>
          <w:tcPr>
            <w:tcW w:w="1474" w:type="dxa"/>
            <w:vAlign w:val="center"/>
          </w:tcPr>
          <w:p>
            <w:pPr>
              <w:pStyle w:val="单元格样式4"/>
            </w:pPr>
            <w:r>
              <w:t xml:space="preserve">78.89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1518.67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1518.67</w:t>
            </w:r>
          </w:p>
        </w:tc>
        <w:tc>
          <w:tcPr>
            <w:tcW w:w="1474" w:type="dxa"/>
            <w:vAlign w:val="center"/>
          </w:tcPr>
          <w:p>
            <w:pPr>
              <w:pStyle w:val="单元格样式7"/>
            </w:pPr>
            <w:r>
              <w:t xml:space="preserve">1518.67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1518.67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1518.67</w:t>
            </w:r>
          </w:p>
        </w:tc>
        <w:tc>
          <w:tcPr>
            <w:tcW w:w="1474" w:type="dxa"/>
            <w:vAlign w:val="center"/>
          </w:tcPr>
          <w:p>
            <w:pPr>
              <w:pStyle w:val="单元格样式7"/>
            </w:pPr>
            <w:r>
              <w:t xml:space="preserve">1518.67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1518.67</w:t>
            </w:r>
          </w:p>
        </w:tc>
        <w:tc>
          <w:tcPr>
            <w:tcW w:w="2551" w:type="dxa"/>
            <w:vAlign w:val="center"/>
          </w:tcPr>
          <w:p>
            <w:pPr>
              <w:pStyle w:val="单元格样式7"/>
            </w:pPr>
            <w:r>
              <w:t xml:space="preserve">1116.69</w:t>
            </w:r>
          </w:p>
        </w:tc>
        <w:tc>
          <w:tcPr>
            <w:tcW w:w="2551" w:type="dxa"/>
            <w:vAlign w:val="center"/>
          </w:tcPr>
          <w:p>
            <w:pPr>
              <w:pStyle w:val="单元格样式7"/>
            </w:pPr>
            <w:r>
              <w:t xml:space="preserve">401.98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1020.84</w:t>
            </w:r>
          </w:p>
        </w:tc>
        <w:tc>
          <w:tcPr>
            <w:tcW w:w="2551" w:type="dxa"/>
            <w:vAlign w:val="center"/>
          </w:tcPr>
          <w:p>
            <w:pPr>
              <w:pStyle w:val="单元格样式4"/>
            </w:pPr>
            <w:r>
              <w:t xml:space="preserve">840.84</w:t>
            </w: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840.84</w:t>
            </w:r>
          </w:p>
        </w:tc>
        <w:tc>
          <w:tcPr>
            <w:tcW w:w="2551" w:type="dxa"/>
            <w:vAlign w:val="center"/>
          </w:tcPr>
          <w:p>
            <w:pPr>
              <w:pStyle w:val="单元格样式4"/>
            </w:pPr>
            <w:r>
              <w:t xml:space="preserve">840.84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840.84</w:t>
            </w:r>
          </w:p>
        </w:tc>
        <w:tc>
          <w:tcPr>
            <w:tcW w:w="2551" w:type="dxa"/>
            <w:vAlign w:val="center"/>
          </w:tcPr>
          <w:p>
            <w:pPr>
              <w:pStyle w:val="单元格样式4"/>
            </w:pPr>
            <w:r>
              <w:t xml:space="preserve">840.84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180.00</w:t>
            </w:r>
          </w:p>
        </w:tc>
        <w:tc>
          <w:tcPr>
            <w:tcW w:w="2551" w:type="dxa"/>
            <w:vAlign w:val="center"/>
          </w:tcPr>
          <w:p>
            <w:pPr>
              <w:pStyle w:val="单元格样式4"/>
            </w:pP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180.00</w:t>
            </w:r>
          </w:p>
        </w:tc>
        <w:tc>
          <w:tcPr>
            <w:tcW w:w="2551" w:type="dxa"/>
            <w:vAlign w:val="center"/>
          </w:tcPr>
          <w:p>
            <w:pPr>
              <w:pStyle w:val="单元格样式4"/>
            </w:pP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166.44</w:t>
            </w:r>
          </w:p>
        </w:tc>
        <w:tc>
          <w:tcPr>
            <w:tcW w:w="2551" w:type="dxa"/>
            <w:vAlign w:val="center"/>
          </w:tcPr>
          <w:p>
            <w:pPr>
              <w:pStyle w:val="单元格样式4"/>
            </w:pPr>
            <w:r>
              <w:t xml:space="preserve">166.44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159.97</w:t>
            </w:r>
          </w:p>
        </w:tc>
        <w:tc>
          <w:tcPr>
            <w:tcW w:w="2551" w:type="dxa"/>
            <w:vAlign w:val="center"/>
          </w:tcPr>
          <w:p>
            <w:pPr>
              <w:pStyle w:val="单元格样式4"/>
            </w:pPr>
            <w:r>
              <w:t xml:space="preserve">159.97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57.18</w:t>
            </w:r>
          </w:p>
        </w:tc>
        <w:tc>
          <w:tcPr>
            <w:tcW w:w="2551" w:type="dxa"/>
            <w:vAlign w:val="center"/>
          </w:tcPr>
          <w:p>
            <w:pPr>
              <w:pStyle w:val="单元格样式4"/>
            </w:pPr>
            <w:r>
              <w:t xml:space="preserve">57.18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72.98</w:t>
            </w:r>
          </w:p>
        </w:tc>
        <w:tc>
          <w:tcPr>
            <w:tcW w:w="2551" w:type="dxa"/>
            <w:vAlign w:val="center"/>
          </w:tcPr>
          <w:p>
            <w:pPr>
              <w:pStyle w:val="单元格样式4"/>
            </w:pPr>
            <w:r>
              <w:t xml:space="preserve">72.98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29.81</w:t>
            </w:r>
          </w:p>
        </w:tc>
        <w:tc>
          <w:tcPr>
            <w:tcW w:w="2551" w:type="dxa"/>
            <w:vAlign w:val="center"/>
          </w:tcPr>
          <w:p>
            <w:pPr>
              <w:pStyle w:val="单元格样式4"/>
            </w:pPr>
            <w:r>
              <w:t xml:space="preserve">29.81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4.38</w:t>
            </w:r>
          </w:p>
        </w:tc>
        <w:tc>
          <w:tcPr>
            <w:tcW w:w="2551" w:type="dxa"/>
            <w:vAlign w:val="center"/>
          </w:tcPr>
          <w:p>
            <w:pPr>
              <w:pStyle w:val="单元格样式4"/>
            </w:pPr>
            <w:r>
              <w:t xml:space="preserve">4.38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4.38</w:t>
            </w:r>
          </w:p>
        </w:tc>
        <w:tc>
          <w:tcPr>
            <w:tcW w:w="2551" w:type="dxa"/>
            <w:vAlign w:val="center"/>
          </w:tcPr>
          <w:p>
            <w:pPr>
              <w:pStyle w:val="单元格样式4"/>
            </w:pPr>
            <w:r>
              <w:t xml:space="preserve">4.38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30.52</w:t>
            </w:r>
          </w:p>
        </w:tc>
        <w:tc>
          <w:tcPr>
            <w:tcW w:w="2551" w:type="dxa"/>
            <w:vAlign w:val="center"/>
          </w:tcPr>
          <w:p>
            <w:pPr>
              <w:pStyle w:val="单元格样式4"/>
            </w:pPr>
            <w:r>
              <w:t xml:space="preserve">30.52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30.52</w:t>
            </w:r>
          </w:p>
        </w:tc>
        <w:tc>
          <w:tcPr>
            <w:tcW w:w="2551" w:type="dxa"/>
            <w:vAlign w:val="center"/>
          </w:tcPr>
          <w:p>
            <w:pPr>
              <w:pStyle w:val="单元格样式4"/>
            </w:pPr>
            <w:r>
              <w:t xml:space="preserve">30.52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30.52</w:t>
            </w:r>
          </w:p>
        </w:tc>
        <w:tc>
          <w:tcPr>
            <w:tcW w:w="2551" w:type="dxa"/>
            <w:vAlign w:val="center"/>
          </w:tcPr>
          <w:p>
            <w:pPr>
              <w:pStyle w:val="单元格样式4"/>
            </w:pPr>
            <w:r>
              <w:t xml:space="preserve">30.52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0.74</w:t>
            </w:r>
          </w:p>
        </w:tc>
        <w:tc>
          <w:tcPr>
            <w:tcW w:w="2551" w:type="dxa"/>
            <w:vAlign w:val="center"/>
          </w:tcPr>
          <w:p>
            <w:pPr>
              <w:pStyle w:val="单元格样式4"/>
            </w:pPr>
          </w:p>
        </w:tc>
        <w:tc>
          <w:tcPr>
            <w:tcW w:w="2551" w:type="dxa"/>
            <w:vAlign w:val="center"/>
          </w:tcPr>
          <w:p>
            <w:pPr>
              <w:pStyle w:val="单元格样式4"/>
            </w:pPr>
            <w:r>
              <w:t xml:space="preserve">0.74</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0.74</w:t>
            </w:r>
          </w:p>
        </w:tc>
        <w:tc>
          <w:tcPr>
            <w:tcW w:w="2551" w:type="dxa"/>
            <w:vAlign w:val="center"/>
          </w:tcPr>
          <w:p>
            <w:pPr>
              <w:pStyle w:val="单元格样式4"/>
            </w:pPr>
          </w:p>
        </w:tc>
        <w:tc>
          <w:tcPr>
            <w:tcW w:w="2551" w:type="dxa"/>
            <w:vAlign w:val="center"/>
          </w:tcPr>
          <w:p>
            <w:pPr>
              <w:pStyle w:val="单元格样式4"/>
            </w:pPr>
            <w:r>
              <w:t xml:space="preserve">0.74</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0.74</w:t>
            </w:r>
          </w:p>
        </w:tc>
        <w:tc>
          <w:tcPr>
            <w:tcW w:w="2551" w:type="dxa"/>
            <w:vAlign w:val="center"/>
          </w:tcPr>
          <w:p>
            <w:pPr>
              <w:pStyle w:val="单元格样式4"/>
            </w:pPr>
          </w:p>
        </w:tc>
        <w:tc>
          <w:tcPr>
            <w:tcW w:w="2551" w:type="dxa"/>
            <w:vAlign w:val="center"/>
          </w:tcPr>
          <w:p>
            <w:pPr>
              <w:pStyle w:val="单元格样式4"/>
            </w:pPr>
            <w:r>
              <w:t xml:space="preserve">0.74</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208.24</w:t>
            </w:r>
          </w:p>
        </w:tc>
        <w:tc>
          <w:tcPr>
            <w:tcW w:w="2551" w:type="dxa"/>
            <w:vAlign w:val="center"/>
          </w:tcPr>
          <w:p>
            <w:pPr>
              <w:pStyle w:val="单元格样式4"/>
            </w:pPr>
          </w:p>
        </w:tc>
        <w:tc>
          <w:tcPr>
            <w:tcW w:w="2551" w:type="dxa"/>
            <w:vAlign w:val="center"/>
          </w:tcPr>
          <w:p>
            <w:pPr>
              <w:pStyle w:val="单元格样式4"/>
            </w:pPr>
            <w:r>
              <w:t xml:space="preserve">208.24</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70.00</w:t>
            </w:r>
          </w:p>
        </w:tc>
        <w:tc>
          <w:tcPr>
            <w:tcW w:w="2551" w:type="dxa"/>
            <w:vAlign w:val="center"/>
          </w:tcPr>
          <w:p>
            <w:pPr>
              <w:pStyle w:val="单元格样式4"/>
            </w:pPr>
          </w:p>
        </w:tc>
        <w:tc>
          <w:tcPr>
            <w:tcW w:w="2551" w:type="dxa"/>
            <w:vAlign w:val="center"/>
          </w:tcPr>
          <w:p>
            <w:pPr>
              <w:pStyle w:val="单元格样式4"/>
            </w:pPr>
            <w:r>
              <w:t xml:space="preserve">70.00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70.00</w:t>
            </w:r>
          </w:p>
        </w:tc>
        <w:tc>
          <w:tcPr>
            <w:tcW w:w="2551" w:type="dxa"/>
            <w:vAlign w:val="center"/>
          </w:tcPr>
          <w:p>
            <w:pPr>
              <w:pStyle w:val="单元格样式4"/>
            </w:pPr>
          </w:p>
        </w:tc>
        <w:tc>
          <w:tcPr>
            <w:tcW w:w="2551" w:type="dxa"/>
            <w:vAlign w:val="center"/>
          </w:tcPr>
          <w:p>
            <w:pPr>
              <w:pStyle w:val="单元格样式4"/>
            </w:pPr>
            <w:r>
              <w:t xml:space="preserve">70.00</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138.24</w:t>
            </w:r>
          </w:p>
        </w:tc>
        <w:tc>
          <w:tcPr>
            <w:tcW w:w="2551" w:type="dxa"/>
            <w:vAlign w:val="center"/>
          </w:tcPr>
          <w:p>
            <w:pPr>
              <w:pStyle w:val="单元格样式4"/>
            </w:pPr>
          </w:p>
        </w:tc>
        <w:tc>
          <w:tcPr>
            <w:tcW w:w="2551" w:type="dxa"/>
            <w:vAlign w:val="center"/>
          </w:tcPr>
          <w:p>
            <w:pPr>
              <w:pStyle w:val="单元格样式4"/>
            </w:pPr>
            <w:r>
              <w:t xml:space="preserve">138.24</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138.24</w:t>
            </w:r>
          </w:p>
        </w:tc>
        <w:tc>
          <w:tcPr>
            <w:tcW w:w="2551" w:type="dxa"/>
            <w:vAlign w:val="center"/>
          </w:tcPr>
          <w:p>
            <w:pPr>
              <w:pStyle w:val="单元格样式4"/>
            </w:pPr>
          </w:p>
        </w:tc>
        <w:tc>
          <w:tcPr>
            <w:tcW w:w="2551" w:type="dxa"/>
            <w:vAlign w:val="center"/>
          </w:tcPr>
          <w:p>
            <w:pPr>
              <w:pStyle w:val="单元格样式4"/>
            </w:pPr>
            <w:r>
              <w:t xml:space="preserve">138.24</w:t>
            </w: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78.89</w:t>
            </w:r>
          </w:p>
        </w:tc>
        <w:tc>
          <w:tcPr>
            <w:tcW w:w="2551" w:type="dxa"/>
            <w:vAlign w:val="center"/>
          </w:tcPr>
          <w:p>
            <w:pPr>
              <w:pStyle w:val="单元格样式4"/>
            </w:pPr>
            <w:r>
              <w:t xml:space="preserve">78.89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78.89</w:t>
            </w:r>
          </w:p>
        </w:tc>
        <w:tc>
          <w:tcPr>
            <w:tcW w:w="2551" w:type="dxa"/>
            <w:vAlign w:val="center"/>
          </w:tcPr>
          <w:p>
            <w:pPr>
              <w:pStyle w:val="单元格样式4"/>
            </w:pPr>
            <w:r>
              <w:t xml:space="preserve">78.89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78.89</w:t>
            </w:r>
          </w:p>
        </w:tc>
        <w:tc>
          <w:tcPr>
            <w:tcW w:w="2551" w:type="dxa"/>
            <w:vAlign w:val="center"/>
          </w:tcPr>
          <w:p>
            <w:pPr>
              <w:pStyle w:val="单元格样式4"/>
            </w:pPr>
            <w:r>
              <w:t xml:space="preserve">78.89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1116.69</w:t>
            </w:r>
          </w:p>
        </w:tc>
        <w:tc>
          <w:tcPr>
            <w:tcW w:w="2551" w:type="dxa"/>
            <w:vAlign w:val="center"/>
          </w:tcPr>
          <w:p>
            <w:pPr>
              <w:pStyle w:val="单元格样式7"/>
            </w:pPr>
            <w:r>
              <w:t xml:space="preserve">972.00</w:t>
            </w:r>
          </w:p>
        </w:tc>
        <w:tc>
          <w:tcPr>
            <w:tcW w:w="2551" w:type="dxa"/>
            <w:vAlign w:val="center"/>
          </w:tcPr>
          <w:p>
            <w:pPr>
              <w:pStyle w:val="单元格样式7"/>
            </w:pPr>
            <w:r>
              <w:t xml:space="preserve">144.69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912.73</w:t>
            </w:r>
          </w:p>
        </w:tc>
        <w:tc>
          <w:tcPr>
            <w:tcW w:w="2551" w:type="dxa"/>
            <w:vAlign w:val="center"/>
          </w:tcPr>
          <w:p>
            <w:pPr>
              <w:pStyle w:val="单元格样式4"/>
            </w:pPr>
            <w:r>
              <w:t xml:space="preserve">912.73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252.10</w:t>
            </w:r>
          </w:p>
        </w:tc>
        <w:tc>
          <w:tcPr>
            <w:tcW w:w="2551" w:type="dxa"/>
            <w:vAlign w:val="center"/>
          </w:tcPr>
          <w:p>
            <w:pPr>
              <w:pStyle w:val="单元格样式4"/>
            </w:pPr>
            <w:r>
              <w:t xml:space="preserve">252.10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147.13</w:t>
            </w:r>
          </w:p>
        </w:tc>
        <w:tc>
          <w:tcPr>
            <w:tcW w:w="2551" w:type="dxa"/>
            <w:vAlign w:val="center"/>
          </w:tcPr>
          <w:p>
            <w:pPr>
              <w:pStyle w:val="单元格样式4"/>
            </w:pPr>
            <w:r>
              <w:t xml:space="preserve">147.13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61.24</w:t>
            </w:r>
          </w:p>
        </w:tc>
        <w:tc>
          <w:tcPr>
            <w:tcW w:w="2551" w:type="dxa"/>
            <w:vAlign w:val="center"/>
          </w:tcPr>
          <w:p>
            <w:pPr>
              <w:pStyle w:val="单元格样式4"/>
            </w:pPr>
            <w:r>
              <w:t xml:space="preserve">61.24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106.40</w:t>
            </w:r>
          </w:p>
        </w:tc>
        <w:tc>
          <w:tcPr>
            <w:tcW w:w="2551" w:type="dxa"/>
            <w:vAlign w:val="center"/>
          </w:tcPr>
          <w:p>
            <w:pPr>
              <w:pStyle w:val="单元格样式4"/>
            </w:pPr>
            <w:r>
              <w:t xml:space="preserve">106.40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72.98</w:t>
            </w:r>
          </w:p>
        </w:tc>
        <w:tc>
          <w:tcPr>
            <w:tcW w:w="2551" w:type="dxa"/>
            <w:vAlign w:val="center"/>
          </w:tcPr>
          <w:p>
            <w:pPr>
              <w:pStyle w:val="单元格样式4"/>
            </w:pPr>
            <w:r>
              <w:t xml:space="preserve">72.98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29.81</w:t>
            </w:r>
          </w:p>
        </w:tc>
        <w:tc>
          <w:tcPr>
            <w:tcW w:w="2551" w:type="dxa"/>
            <w:vAlign w:val="center"/>
          </w:tcPr>
          <w:p>
            <w:pPr>
              <w:pStyle w:val="单元格样式4"/>
            </w:pPr>
            <w:r>
              <w:t xml:space="preserve">29.81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30.52</w:t>
            </w:r>
          </w:p>
        </w:tc>
        <w:tc>
          <w:tcPr>
            <w:tcW w:w="2551" w:type="dxa"/>
            <w:vAlign w:val="center"/>
          </w:tcPr>
          <w:p>
            <w:pPr>
              <w:pStyle w:val="单元格样式4"/>
            </w:pPr>
            <w:r>
              <w:t xml:space="preserve">30.52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4.38</w:t>
            </w:r>
          </w:p>
        </w:tc>
        <w:tc>
          <w:tcPr>
            <w:tcW w:w="2551" w:type="dxa"/>
            <w:vAlign w:val="center"/>
          </w:tcPr>
          <w:p>
            <w:pPr>
              <w:pStyle w:val="单元格样式4"/>
            </w:pPr>
            <w:r>
              <w:t xml:space="preserve">4.38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78.89</w:t>
            </w:r>
          </w:p>
        </w:tc>
        <w:tc>
          <w:tcPr>
            <w:tcW w:w="2551" w:type="dxa"/>
            <w:vAlign w:val="center"/>
          </w:tcPr>
          <w:p>
            <w:pPr>
              <w:pStyle w:val="单元格样式4"/>
            </w:pPr>
            <w:r>
              <w:t xml:space="preserve">78.89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129.28</w:t>
            </w:r>
          </w:p>
        </w:tc>
        <w:tc>
          <w:tcPr>
            <w:tcW w:w="2551" w:type="dxa"/>
            <w:vAlign w:val="center"/>
          </w:tcPr>
          <w:p>
            <w:pPr>
              <w:pStyle w:val="单元格样式4"/>
            </w:pPr>
            <w:r>
              <w:t xml:space="preserve">129.28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143.69</w:t>
            </w:r>
          </w:p>
        </w:tc>
        <w:tc>
          <w:tcPr>
            <w:tcW w:w="2551" w:type="dxa"/>
            <w:vAlign w:val="center"/>
          </w:tcPr>
          <w:p>
            <w:pPr>
              <w:pStyle w:val="单元格样式4"/>
            </w:pPr>
          </w:p>
        </w:tc>
        <w:tc>
          <w:tcPr>
            <w:tcW w:w="2551" w:type="dxa"/>
            <w:vAlign w:val="center"/>
          </w:tcPr>
          <w:p>
            <w:pPr>
              <w:pStyle w:val="单元格样式4"/>
            </w:pPr>
            <w:r>
              <w:t xml:space="preserve">143.69</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24.67</w:t>
            </w:r>
          </w:p>
        </w:tc>
        <w:tc>
          <w:tcPr>
            <w:tcW w:w="2551" w:type="dxa"/>
            <w:vAlign w:val="center"/>
          </w:tcPr>
          <w:p>
            <w:pPr>
              <w:pStyle w:val="单元格样式4"/>
            </w:pPr>
          </w:p>
        </w:tc>
        <w:tc>
          <w:tcPr>
            <w:tcW w:w="2551" w:type="dxa"/>
            <w:vAlign w:val="center"/>
          </w:tcPr>
          <w:p>
            <w:pPr>
              <w:pStyle w:val="单元格样式4"/>
            </w:pPr>
            <w:r>
              <w:t xml:space="preserve">24.67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22.00</w:t>
            </w:r>
          </w:p>
        </w:tc>
        <w:tc>
          <w:tcPr>
            <w:tcW w:w="2551" w:type="dxa"/>
            <w:vAlign w:val="center"/>
          </w:tcPr>
          <w:p>
            <w:pPr>
              <w:pStyle w:val="单元格样式4"/>
            </w:pPr>
          </w:p>
        </w:tc>
        <w:tc>
          <w:tcPr>
            <w:tcW w:w="2551" w:type="dxa"/>
            <w:vAlign w:val="center"/>
          </w:tcPr>
          <w:p>
            <w:pPr>
              <w:pStyle w:val="单元格样式4"/>
            </w:pPr>
            <w:r>
              <w:t xml:space="preserve">22.00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15.56</w:t>
            </w:r>
          </w:p>
        </w:tc>
        <w:tc>
          <w:tcPr>
            <w:tcW w:w="2551" w:type="dxa"/>
            <w:vAlign w:val="center"/>
          </w:tcPr>
          <w:p>
            <w:pPr>
              <w:pStyle w:val="单元格样式4"/>
            </w:pPr>
          </w:p>
        </w:tc>
        <w:tc>
          <w:tcPr>
            <w:tcW w:w="2551" w:type="dxa"/>
            <w:vAlign w:val="center"/>
          </w:tcPr>
          <w:p>
            <w:pPr>
              <w:pStyle w:val="单元格样式4"/>
            </w:pPr>
            <w:r>
              <w:t xml:space="preserve">15.56</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6.81</w:t>
            </w:r>
          </w:p>
        </w:tc>
        <w:tc>
          <w:tcPr>
            <w:tcW w:w="2551" w:type="dxa"/>
            <w:vAlign w:val="center"/>
          </w:tcPr>
          <w:p>
            <w:pPr>
              <w:pStyle w:val="单元格样式4"/>
            </w:pPr>
          </w:p>
        </w:tc>
        <w:tc>
          <w:tcPr>
            <w:tcW w:w="2551" w:type="dxa"/>
            <w:vAlign w:val="center"/>
          </w:tcPr>
          <w:p>
            <w:pPr>
              <w:pStyle w:val="单元格样式4"/>
            </w:pPr>
            <w:r>
              <w:t xml:space="preserve">6.81</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5.01</w:t>
            </w:r>
          </w:p>
        </w:tc>
        <w:tc>
          <w:tcPr>
            <w:tcW w:w="2551" w:type="dxa"/>
            <w:vAlign w:val="center"/>
          </w:tcPr>
          <w:p>
            <w:pPr>
              <w:pStyle w:val="单元格样式4"/>
            </w:pPr>
          </w:p>
        </w:tc>
        <w:tc>
          <w:tcPr>
            <w:tcW w:w="2551" w:type="dxa"/>
            <w:vAlign w:val="center"/>
          </w:tcPr>
          <w:p>
            <w:pPr>
              <w:pStyle w:val="单元格样式4"/>
            </w:pPr>
            <w:r>
              <w:t xml:space="preserve">5.01</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5.63</w:t>
            </w:r>
          </w:p>
        </w:tc>
        <w:tc>
          <w:tcPr>
            <w:tcW w:w="2551" w:type="dxa"/>
            <w:vAlign w:val="center"/>
          </w:tcPr>
          <w:p>
            <w:pPr>
              <w:pStyle w:val="单元格样式4"/>
            </w:pPr>
          </w:p>
        </w:tc>
        <w:tc>
          <w:tcPr>
            <w:tcW w:w="2551" w:type="dxa"/>
            <w:vAlign w:val="center"/>
          </w:tcPr>
          <w:p>
            <w:pPr>
              <w:pStyle w:val="单元格样式4"/>
            </w:pPr>
            <w:r>
              <w:t xml:space="preserve">5.63</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28.58</w:t>
            </w:r>
          </w:p>
        </w:tc>
        <w:tc>
          <w:tcPr>
            <w:tcW w:w="2551" w:type="dxa"/>
            <w:vAlign w:val="center"/>
          </w:tcPr>
          <w:p>
            <w:pPr>
              <w:pStyle w:val="单元格样式4"/>
            </w:pPr>
          </w:p>
        </w:tc>
        <w:tc>
          <w:tcPr>
            <w:tcW w:w="2551" w:type="dxa"/>
            <w:vAlign w:val="center"/>
          </w:tcPr>
          <w:p>
            <w:pPr>
              <w:pStyle w:val="单元格样式4"/>
            </w:pPr>
            <w:r>
              <w:t xml:space="preserve">28.58</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12.43</w:t>
            </w:r>
          </w:p>
        </w:tc>
        <w:tc>
          <w:tcPr>
            <w:tcW w:w="2551" w:type="dxa"/>
            <w:vAlign w:val="center"/>
          </w:tcPr>
          <w:p>
            <w:pPr>
              <w:pStyle w:val="单元格样式4"/>
            </w:pPr>
          </w:p>
        </w:tc>
        <w:tc>
          <w:tcPr>
            <w:tcW w:w="2551" w:type="dxa"/>
            <w:vAlign w:val="center"/>
          </w:tcPr>
          <w:p>
            <w:pPr>
              <w:pStyle w:val="单元格样式4"/>
            </w:pPr>
            <w:r>
              <w:t xml:space="preserve">12.43</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59.27</w:t>
            </w:r>
          </w:p>
        </w:tc>
        <w:tc>
          <w:tcPr>
            <w:tcW w:w="2551" w:type="dxa"/>
            <w:vAlign w:val="center"/>
          </w:tcPr>
          <w:p>
            <w:pPr>
              <w:pStyle w:val="单元格样式4"/>
            </w:pPr>
            <w:r>
              <w:t xml:space="preserve">59.27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57.18</w:t>
            </w:r>
          </w:p>
        </w:tc>
        <w:tc>
          <w:tcPr>
            <w:tcW w:w="2551" w:type="dxa"/>
            <w:vAlign w:val="center"/>
          </w:tcPr>
          <w:p>
            <w:pPr>
              <w:pStyle w:val="单元格样式4"/>
            </w:pPr>
            <w:r>
              <w:t xml:space="preserve">57.18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2.09</w:t>
            </w:r>
          </w:p>
        </w:tc>
        <w:tc>
          <w:tcPr>
            <w:tcW w:w="2551" w:type="dxa"/>
            <w:vAlign w:val="center"/>
          </w:tcPr>
          <w:p>
            <w:pPr>
              <w:pStyle w:val="单元格样式4"/>
            </w:pPr>
            <w:r>
              <w:t xml:space="preserve">2.09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5.63</w:t>
            </w:r>
          </w:p>
        </w:tc>
        <w:tc>
          <w:tcPr>
            <w:tcW w:w="2381" w:type="dxa"/>
            <w:vAlign w:val="center"/>
          </w:tcPr>
          <w:p>
            <w:pPr>
              <w:pStyle w:val="单元格样式7"/>
            </w:pPr>
            <w:r>
              <w:t xml:space="preserve">5.63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5.63</w:t>
            </w:r>
          </w:p>
        </w:tc>
        <w:tc>
          <w:tcPr>
            <w:tcW w:w="2381" w:type="dxa"/>
            <w:vAlign w:val="center"/>
          </w:tcPr>
          <w:p>
            <w:pPr>
              <w:pStyle w:val="单元格样式4"/>
            </w:pPr>
            <w:r>
              <w:t xml:space="preserve">5.63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5.63</w:t>
            </w:r>
          </w:p>
        </w:tc>
        <w:tc>
          <w:tcPr>
            <w:tcW w:w="2381" w:type="dxa"/>
            <w:vAlign w:val="center"/>
          </w:tcPr>
          <w:p>
            <w:pPr>
              <w:pStyle w:val="单元格样式4"/>
            </w:pPr>
            <w:r>
              <w:t xml:space="preserve">5.63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新乐市木村乡人民政府本级2026年单位预算信息公开情况说明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按照《中华人民共和国预算法》、《地方预决算公开操作规程》和《关于进一步推进预算公开工作的实施意见》规定，现将新乐市木村乡人民政府本级2026年单位预算公开如下：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据《新乐市木村乡职能配置、内设机构和人员编制规定》， 新乐市木村乡的主要职责是：</w:t>
      </w:r>
    </w:p>
    <w:p>
      <w:pPr>
        <w:pStyle w:val="插入文本样式-插入单位职责文件"/>
      </w:pPr>
      <w:r>
        <w:t xml:space="preserve">单位职责：</w:t>
      </w:r>
    </w:p>
    <w:p>
      <w:pPr>
        <w:pStyle w:val="插入文本样式-插入单位职责文件"/>
      </w:pPr>
      <w:r>
        <w:t xml:space="preserve">（一）党政事务管理</w:t>
      </w:r>
    </w:p>
    <w:p>
      <w:pPr>
        <w:pStyle w:val="插入文本样式-插入单位职责文件"/>
      </w:pPr>
      <w:r>
        <w:t xml:space="preserve">1.1办公室综合事务,严控会议计划、会议规模和会期，严格会议开支标准，严控活动数量，降低会议和活动费用开支。严格执行接待标准，降低接待费规模。领导满意，批示率高。及时完善网站信息。机关基础设施运转良好。</w:t>
      </w:r>
    </w:p>
    <w:p>
      <w:pPr>
        <w:pStyle w:val="插入文本样式-插入单位职责文件"/>
      </w:pPr>
      <w:r>
        <w:t xml:space="preserve">1.2人大综合事务,组织召开乡人大代表会议，组织人大代表搞好视察调研活动，组织人大代表评议站所活动。</w:t>
      </w:r>
    </w:p>
    <w:p>
      <w:pPr>
        <w:pStyle w:val="插入文本样式-插入单位职责文件"/>
      </w:pPr>
      <w:r>
        <w:t xml:space="preserve">1.3纪委综合事务,严肃查处各项违纪违法案件，坚决维护党纪国法尊严。组织协调党风廉政建设和反腐败宣传教育工作。</w:t>
      </w:r>
    </w:p>
    <w:p>
      <w:pPr>
        <w:pStyle w:val="插入文本样式-插入单位职责文件"/>
      </w:pPr>
      <w:r>
        <w:t xml:space="preserve">1.4党委组织综合事务,持续深入推进作风建设，加强辖区内党（总）支部班子、村（居）两委干部、大学生村官队伍建设，扎实推进基层服务型党组织建设，切实履行管党职责；落实社区党建经费；做好发展党员、党员管理、党员教育培训工作；开展党员志愿服务、党员活动日工作。</w:t>
      </w:r>
    </w:p>
    <w:p>
      <w:pPr>
        <w:pStyle w:val="插入文本样式-插入单位职责文件"/>
      </w:pPr>
      <w:r>
        <w:t xml:space="preserve">1.5宣传综合事务,做好对国家政策的宣传工作。全年完成工作份额。推动全乡基层群众文化艺术健康发展。</w:t>
      </w:r>
    </w:p>
    <w:p>
      <w:pPr>
        <w:pStyle w:val="插入文本样式-插入单位职责文件"/>
      </w:pPr>
      <w:r>
        <w:t xml:space="preserve">1.6妇联综合事务,完成上级交办的各项任务目标，加强文明生态村建设，提高妇女素质。利用“三八”维权周活动并加强日常法律、法规的宣传，提高妇女儿童的维权意识和维权能力，积极维护妇女儿童的合法权益。不断提高妇联组织自身建设，提升妇女干部服务妇女的能力和水平，保障妇女维权，妇女事业有序发展。</w:t>
      </w:r>
    </w:p>
    <w:p>
      <w:pPr>
        <w:pStyle w:val="插入文本样式-插入单位职责文件"/>
      </w:pPr>
      <w:r>
        <w:t xml:space="preserve">1.7工会综合事务,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插入文本样式-插入单位职责文件"/>
      </w:pPr>
      <w:r>
        <w:t xml:space="preserve">1.8共青团综合事务,依托党建带团建做好推优入党工作，开展学雷锋日活动，帮扶孤寡老人，慰问困难学生，组织青年开展文体活动。</w:t>
      </w:r>
    </w:p>
    <w:p>
      <w:pPr>
        <w:pStyle w:val="插入文本样式-插入单位职责文件"/>
      </w:pPr>
      <w:r>
        <w:t xml:space="preserve">（二）经济发展事务管理</w:t>
      </w:r>
    </w:p>
    <w:p>
      <w:pPr>
        <w:pStyle w:val="插入文本样式-插入单位职责文件"/>
      </w:pPr>
      <w:r>
        <w:t xml:space="preserve">2.1项目管理综合事务,配合土地局查处土地违法行为。</w:t>
      </w:r>
    </w:p>
    <w:p>
      <w:pPr>
        <w:pStyle w:val="插入文本样式-插入单位职责文件"/>
      </w:pPr>
      <w:r>
        <w:t xml:space="preserve">2.2财务管理综合事务,编制乡年度财政预决算、管理和监督乡各项财政收支、协调完成税收征管任务、管理专项资金、国有资产转让管理、产权登记等工作。</w:t>
      </w:r>
    </w:p>
    <w:p>
      <w:pPr>
        <w:pStyle w:val="插入文本样式-插入单位职责文件"/>
      </w:pPr>
      <w:r>
        <w:t xml:space="preserve">2.3农业综合管理事务,做好畜禽普查、对养殖户定期发放疫苗和消毒液。确保不发生重大农产品质量安全事件，宣传农业技术，指导农业生产，宣传农技补贴政策。</w:t>
      </w:r>
    </w:p>
    <w:p>
      <w:pPr>
        <w:pStyle w:val="插入文本样式-插入单位职责文件"/>
      </w:pPr>
      <w:r>
        <w:t xml:space="preserve">2.4统计综合事务,分年度完成普查工作，确保普查的顺利完成。组织开展专项统计调查工作，了解基层情况和动态提供统计信息和咨询意见。保证统计数据的顺利报送。</w:t>
      </w:r>
    </w:p>
    <w:p>
      <w:pPr>
        <w:pStyle w:val="插入文本样式-插入单位职责文件"/>
      </w:pPr>
      <w:r>
        <w:t xml:space="preserve">2.5农村集体经济管理事务,对农村集体经济组织的经营活动进行指导、检查、监督、对村干部及时进行离任审计，农村财务人员和审计人员培训、股份制改革、村务公开。</w:t>
      </w:r>
    </w:p>
    <w:p>
      <w:pPr>
        <w:pStyle w:val="插入文本样式-插入单位职责文件"/>
      </w:pPr>
      <w:r>
        <w:t xml:space="preserve">（三）计划生育事务管理</w:t>
      </w:r>
    </w:p>
    <w:p>
      <w:pPr>
        <w:pStyle w:val="插入文本样式-插入单位职责文件"/>
      </w:pPr>
      <w:r>
        <w:t xml:space="preserve">3.1计划生育事务管理，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已婚育龄妇女生殖健康检查及普查工作，做好孕前优生检测指导。</w:t>
      </w:r>
    </w:p>
    <w:p>
      <w:pPr>
        <w:pStyle w:val="插入文本样式-插入单位职责文件"/>
      </w:pPr>
      <w:r>
        <w:t xml:space="preserve">（四）社会事务管理</w:t>
      </w:r>
    </w:p>
    <w:p>
      <w:pPr>
        <w:pStyle w:val="插入文本样式-插入单位职责文件"/>
      </w:pPr>
      <w:r>
        <w:t xml:space="preserve">4.1民政综合事务,低保每年进行复审复核做到应保尽保，对困难群众做好救助，救灾，慰问困难群众。及时上报优抚对象资金，慰问优抚对象，拥军优属。做好残疾人摸排，档案整理，助残日发放材料，办理公交爱心卡。做好教徒维稳摸排工作。做好村委会换届选举工作，敬老院管理工作。</w:t>
      </w:r>
    </w:p>
    <w:p>
      <w:pPr>
        <w:pStyle w:val="插入文本样式-插入单位职责文件"/>
      </w:pPr>
      <w:r>
        <w:t xml:space="preserve">4.2武装综合事务,民兵组织建设、政治教育、军事训练及武器装备管理，防汛物资抢险救灾，征兵工作，国防教育，军事设施保护。</w:t>
      </w:r>
    </w:p>
    <w:p>
      <w:pPr>
        <w:pStyle w:val="插入文本样式-插入单位职责文件"/>
      </w:pPr>
      <w:r>
        <w:t xml:space="preserve">4.3食品安全综合事务,确保我乡食品安全，不出现重大事故。提升食品安全监管水平。协调乡村联动，对突发事件处置及时并在全乡开展食品药品安全考评。代发放食品安全协管员工资奖金。</w:t>
      </w:r>
    </w:p>
    <w:p>
      <w:pPr>
        <w:pStyle w:val="插入文本样式-插入单位职责文件"/>
      </w:pPr>
      <w:r>
        <w:t xml:space="preserve">4.4城市管理综合事务,贯彻有关城市法律、法规和规章制度，制定辖区内城市管理工作计划并实施。负责辖区内背街小巷和居民区的环境卫生“门前三包”；查处露天烧烤摊点的管理工作。对辖区内各村环境卫生工作监督检查；各村建立卫生保洁队伍，建立规章制度。负责机关和下属单位开展爱国卫生运动。组织开展八方村经济林管护工作。</w:t>
      </w:r>
    </w:p>
    <w:p>
      <w:pPr>
        <w:pStyle w:val="插入文本样式-插入单位职责文件"/>
      </w:pPr>
      <w:r>
        <w:t xml:space="preserve">（五）社会治安综合治理事务管理</w:t>
      </w:r>
    </w:p>
    <w:p>
      <w:pPr>
        <w:pStyle w:val="插入文本样式-插入单位职责文件"/>
      </w:pPr>
      <w:r>
        <w:t xml:space="preserve">5.1综合治理事务,实现全乡经济社会发展、安全、安定、推进网格化管理，进一步健全立体化社会治安防控体系。就地化解矛盾，做到小事不出村，大事不出乡。反邪教宣传、应急处置防止小事端引发大事件。</w:t>
      </w:r>
    </w:p>
    <w:p>
      <w:pPr>
        <w:pStyle w:val="插入文本样式-插入单位职责文件"/>
      </w:pPr>
      <w:r>
        <w:t xml:space="preserve">5.2信访维稳,受理来信，接待来访，为信访人提供服务。敏感时期对重点信访人稳控。进京、赴省、到市值班。</w:t>
      </w:r>
    </w:p>
    <w:p>
      <w:pPr>
        <w:pStyle w:val="插入文本样式-插入单位职责文件"/>
      </w:pPr>
      <w:r>
        <w:t xml:space="preserve">5.3司法综合事务,严格执行社区矫正相关法规，确保不出现脱管、漏管。法制宣传教育进学校、进社区、进机关、进厂矿。有法律服务机构、落实法律援助政策村有完善的调解机构和调解员。</w:t>
      </w:r>
    </w:p>
    <w:p>
      <w:pPr>
        <w:pStyle w:val="插入文本样式-插入单位职责文件"/>
      </w:pPr>
      <w:r>
        <w:t xml:space="preserve">（六）劳动保障服务事务</w:t>
      </w:r>
    </w:p>
    <w:p>
      <w:pPr>
        <w:pStyle w:val="插入文本样式-插入单位职责文件"/>
      </w:pPr>
      <w:r>
        <w:t xml:space="preserve">6.1劳动保障，促进就业工作，健全公共就业服务体系。完善城乡居民养老保险政策。企业退休人员管理。社保补贴，就业困难认定。落实调解仲裁制度和劳动关系政策，特殊劳动保护政策，组织实施劳动监察，协调劳动者维权工作。</w:t>
      </w:r>
    </w:p>
    <w:p>
      <w:pPr>
        <w:pStyle w:val="插入文本样式-插入单位职责文件"/>
      </w:pPr>
      <w:r>
        <w:t xml:space="preserve">6.2安全监察事务,不发生较大以上生产安全事故，严格控制一般生产安全事故，不发生死亡生产安全事故.对全乡的污染源实施全方位监控和治理，切配合市环保部门做好其它环境保护工作。</w:t>
      </w:r>
    </w:p>
    <w:p>
      <w:pPr>
        <w:pStyle w:val="插入文本样式-插入单位职责文件"/>
      </w:pPr>
      <w:r>
        <w:t xml:space="preserve">（七）文化卫生服务事务</w:t>
      </w:r>
    </w:p>
    <w:p>
      <w:pPr>
        <w:pStyle w:val="插入文本样式-插入单位职责文件"/>
      </w:pPr>
      <w:r>
        <w:t xml:space="preserve">7.1科普宣传事务,完善科普阵地，提高群众科普知识意识、利用展牌、条幅、宣传单、群众演出等各种形式，开展科普知识宣传。</w:t>
      </w:r>
    </w:p>
    <w:p>
      <w:pPr>
        <w:pStyle w:val="插入文本样式-插入单位职责文件"/>
      </w:pPr>
      <w:r>
        <w:t xml:space="preserve">7.2文体活动,加强全乡基层文化队伍建设、提高群众体育运动水平。</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新乐市木村乡人民政府本级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1518.67万元，其中：一般公共预算收入1518.67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木村乡人民政府本级年度单位预算中支出预算的总体情况。2026年支出预算1518.67万元，其中基本支出1116.69万元，包括人员经费972.00万元和日常公用经费144.69万元；项目支出401.98万元，主要为村级组织运转经费138.24万元，乡村振兴、农村人居环境整治资金80.6万元，占补平衡资金24.4万元，机关事务管理运行保障经费75万元，2026年革命老区转移支付预算（木村乡中同村道路硬化项目）经费70万元，2026年中央支持地方公共文化服务体系建设补助资金-一般和绩效8万元，2026年中央支持地方公共文化服务体系建设补助资金-三馆站免费开放3万元，公共文化设施免费开放（乡镇文化站）1.5万元，2026年中央大气污染防治资金（用于农村地区气代煤电代煤改造任务运行补助）0.74万元，2026年省级基层三馆一站免费开放运行保障经费-三馆站免费开放0.5万元；预计下年使用的单位资金结余0.00万元。委托业务费共计安排4.00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1518.67万元，较2025年预算减少22.33万元，其中：基本支出增加50.53万元，主要为人员经费增加；项目支出减少72.86万元，主要为乡村振兴、人居环境整治等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2026年，我单位机关运行经费共计安排144.69万元，主要用于日常维修、办公用房水电费、办公用房取暖费、办公用房物业管理费等日常运行支出。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5.63万元，其中因公出国（境）费0.00万元；公务用车购置及运维费5.63万元（其中：公务用车购置费为0.00万元，公务用车运维费5.63万元)；公务接待费0.00万元。与2025年相比减少0.17万元，增减变化的主要原因是公务用车运行维护费压减。</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4.03</w:t>
            </w:r>
          </w:p>
        </w:tc>
        <w:tc>
          <w:tcPr>
            <w:tcW w:w="2835" w:type="dxa"/>
            <w:vAlign w:val="center"/>
          </w:tcPr>
          <w:p>
            <w:pPr>
              <w:pStyle w:val="单元格样式3"/>
            </w:pPr>
            <w:r>
              <w:t xml:space="preserve">8.41</w:t>
            </w:r>
          </w:p>
        </w:tc>
        <w:tc>
          <w:tcPr>
            <w:tcW w:w="2551" w:type="dxa"/>
            <w:vAlign w:val="center"/>
          </w:tcPr>
          <w:p>
            <w:pPr>
              <w:pStyle w:val="单元格样式3"/>
            </w:pPr>
            <w:r>
              <w:t xml:space="preserve">12.62</w:t>
            </w:r>
          </w:p>
        </w:tc>
        <w:tc>
          <w:tcPr>
            <w:tcW w:w="3544" w:type="dxa"/>
            <w:gridSpan w:val="2"/>
            <w:vAlign w:val="center"/>
          </w:tcPr>
          <w:p>
            <w:pPr>
              <w:pStyle w:val="单元格样式3"/>
            </w:pPr>
            <w:r>
              <w:t xml:space="preserve">16.82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1.保证村级组织的正常运行。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13018426P00001010149W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村党组织书记、村民委员会主任基本补贴</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6.95</w:t>
            </w:r>
          </w:p>
        </w:tc>
        <w:tc>
          <w:tcPr>
            <w:tcW w:w="2835" w:type="dxa"/>
            <w:vAlign w:val="center"/>
          </w:tcPr>
          <w:p>
            <w:pPr>
              <w:pStyle w:val="单元格样式3"/>
            </w:pPr>
            <w:r>
              <w:t xml:space="preserve">13.89</w:t>
            </w:r>
          </w:p>
        </w:tc>
        <w:tc>
          <w:tcPr>
            <w:tcW w:w="2551" w:type="dxa"/>
            <w:vAlign w:val="center"/>
          </w:tcPr>
          <w:p>
            <w:pPr>
              <w:pStyle w:val="单元格样式3"/>
            </w:pPr>
            <w:r>
              <w:t xml:space="preserve">20.84</w:t>
            </w:r>
          </w:p>
        </w:tc>
        <w:tc>
          <w:tcPr>
            <w:tcW w:w="3544" w:type="dxa"/>
            <w:gridSpan w:val="2"/>
            <w:vAlign w:val="center"/>
          </w:tcPr>
          <w:p>
            <w:pPr>
              <w:pStyle w:val="单元格样式3"/>
            </w:pPr>
            <w:r>
              <w:t xml:space="preserve">27.78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1.保证我乡村党组织书记、村民委员会主任基本补贴发放到位。</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0.63</w:t>
            </w:r>
          </w:p>
        </w:tc>
        <w:tc>
          <w:tcPr>
            <w:tcW w:w="2835" w:type="dxa"/>
            <w:vAlign w:val="center"/>
          </w:tcPr>
          <w:p>
            <w:pPr>
              <w:pStyle w:val="单元格样式3"/>
            </w:pPr>
            <w:r>
              <w:t xml:space="preserve">1.25</w:t>
            </w:r>
          </w:p>
        </w:tc>
        <w:tc>
          <w:tcPr>
            <w:tcW w:w="2551" w:type="dxa"/>
            <w:vAlign w:val="center"/>
          </w:tcPr>
          <w:p>
            <w:pPr>
              <w:pStyle w:val="单元格样式3"/>
            </w:pPr>
            <w:r>
              <w:t xml:space="preserve">1.88</w:t>
            </w:r>
          </w:p>
        </w:tc>
        <w:tc>
          <w:tcPr>
            <w:tcW w:w="3544" w:type="dxa"/>
            <w:gridSpan w:val="2"/>
            <w:vAlign w:val="center"/>
          </w:tcPr>
          <w:p>
            <w:pPr>
              <w:pStyle w:val="单元格样式3"/>
            </w:pPr>
            <w:r>
              <w:t xml:space="preserve">2.50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1.保证村级组织的正常运行。</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6.25</w:t>
            </w:r>
          </w:p>
        </w:tc>
        <w:tc>
          <w:tcPr>
            <w:tcW w:w="2835" w:type="dxa"/>
            <w:vAlign w:val="center"/>
          </w:tcPr>
          <w:p>
            <w:pPr>
              <w:pStyle w:val="单元格样式3"/>
            </w:pPr>
            <w:r>
              <w:t xml:space="preserve">12.50</w:t>
            </w:r>
          </w:p>
        </w:tc>
        <w:tc>
          <w:tcPr>
            <w:tcW w:w="2551" w:type="dxa"/>
            <w:vAlign w:val="center"/>
          </w:tcPr>
          <w:p>
            <w:pPr>
              <w:pStyle w:val="单元格样式3"/>
            </w:pPr>
            <w:r>
              <w:t xml:space="preserve">18.75</w:t>
            </w:r>
          </w:p>
        </w:tc>
        <w:tc>
          <w:tcPr>
            <w:tcW w:w="3544" w:type="dxa"/>
            <w:gridSpan w:val="2"/>
            <w:vAlign w:val="center"/>
          </w:tcPr>
          <w:p>
            <w:pPr>
              <w:pStyle w:val="单元格样式3"/>
            </w:pPr>
            <w:r>
              <w:t xml:space="preserve">25.00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1.保证村级组织的正常运行。</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16.20</w:t>
            </w:r>
          </w:p>
        </w:tc>
        <w:tc>
          <w:tcPr>
            <w:tcW w:w="2835" w:type="dxa"/>
            <w:vAlign w:val="center"/>
          </w:tcPr>
          <w:p>
            <w:pPr>
              <w:pStyle w:val="单元格样式3"/>
            </w:pPr>
            <w:r>
              <w:t xml:space="preserve">32.40</w:t>
            </w:r>
          </w:p>
        </w:tc>
        <w:tc>
          <w:tcPr>
            <w:tcW w:w="2551" w:type="dxa"/>
            <w:vAlign w:val="center"/>
          </w:tcPr>
          <w:p>
            <w:pPr>
              <w:pStyle w:val="单元格样式3"/>
            </w:pPr>
            <w:r>
              <w:t xml:space="preserve">48.60</w:t>
            </w:r>
          </w:p>
        </w:tc>
        <w:tc>
          <w:tcPr>
            <w:tcW w:w="3544" w:type="dxa"/>
            <w:gridSpan w:val="2"/>
            <w:vAlign w:val="center"/>
          </w:tcPr>
          <w:p>
            <w:pPr>
              <w:pStyle w:val="单元格样式3"/>
            </w:pPr>
            <w:r>
              <w:t xml:space="preserve">64.80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1.保证我乡其他村两委干部基本补贴发放到位。</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13018426P00001010151U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0.34</w:t>
            </w:r>
          </w:p>
        </w:tc>
        <w:tc>
          <w:tcPr>
            <w:tcW w:w="2835" w:type="dxa"/>
            <w:vAlign w:val="center"/>
          </w:tcPr>
          <w:p>
            <w:pPr>
              <w:pStyle w:val="单元格样式3"/>
            </w:pPr>
            <w:r>
              <w:t xml:space="preserve">0.67</w:t>
            </w:r>
          </w:p>
        </w:tc>
        <w:tc>
          <w:tcPr>
            <w:tcW w:w="2551" w:type="dxa"/>
            <w:vAlign w:val="center"/>
          </w:tcPr>
          <w:p>
            <w:pPr>
              <w:pStyle w:val="单元格样式3"/>
            </w:pPr>
            <w:r>
              <w:t xml:space="preserve">1.01</w:t>
            </w:r>
          </w:p>
        </w:tc>
        <w:tc>
          <w:tcPr>
            <w:tcW w:w="3544" w:type="dxa"/>
            <w:gridSpan w:val="2"/>
            <w:vAlign w:val="center"/>
          </w:tcPr>
          <w:p>
            <w:pPr>
              <w:pStyle w:val="单元格样式3"/>
            </w:pPr>
            <w:r>
              <w:t xml:space="preserve">1.34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1.保证我乡正常离任村干部补贴发放到位。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&gt;5人</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13018426P00001110096R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提高基层群众的业余生活水平，丰富群众的精神世界，满足其需求，促进社会和谐稳定发展。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0.75</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1.提高基层群众的业余生活水平，丰富群众的精神世界，满足其需求，促进社会和谐稳定发展。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≥30%</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按计划及时开放</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与此指标无关</w:t>
            </w:r>
          </w:p>
        </w:tc>
        <w:tc>
          <w:tcPr>
            <w:tcW w:w="5386" w:type="dxa"/>
            <w:vAlign w:val="center"/>
          </w:tcPr>
          <w:p>
            <w:pPr>
              <w:pStyle w:val="单元格样式2"/>
            </w:pPr>
            <w:r>
              <w:t xml:space="preserve">与此指标无关</w:t>
            </w:r>
          </w:p>
        </w:tc>
        <w:tc>
          <w:tcPr>
            <w:tcW w:w="2268" w:type="dxa"/>
            <w:vAlign w:val="center"/>
          </w:tcPr>
          <w:p>
            <w:pPr>
              <w:pStyle w:val="单元格样式2"/>
            </w:pPr>
            <w:r>
              <w:t xml:space="preserve">无关</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带动其他相关消费项目的增收情况</w:t>
            </w:r>
          </w:p>
        </w:tc>
        <w:tc>
          <w:tcPr>
            <w:tcW w:w="5386" w:type="dxa"/>
            <w:vAlign w:val="center"/>
          </w:tcPr>
          <w:p>
            <w:pPr>
              <w:pStyle w:val="单元格样式2"/>
            </w:pPr>
            <w:r>
              <w:t xml:space="preserve">带动其他相关消费项目的增收情况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免费开放文化场馆正常运转</w:t>
            </w:r>
          </w:p>
        </w:tc>
        <w:tc>
          <w:tcPr>
            <w:tcW w:w="5386" w:type="dxa"/>
            <w:vAlign w:val="center"/>
          </w:tcPr>
          <w:p>
            <w:pPr>
              <w:pStyle w:val="单元格样式2"/>
            </w:pPr>
            <w:r>
              <w:t xml:space="preserve">免费开放文化场馆正常运转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按行业相关标准计量</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按行业相关标准计量</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8、2026年本级支出-木村乡机关运行费绩效目标表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13018426P005223101743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2026年本级支出-木村乡机关运行费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支付单位去年未支付项目，保障单位机关正常运行。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25.00</w:t>
            </w:r>
          </w:p>
        </w:tc>
        <w:tc>
          <w:tcPr>
            <w:tcW w:w="2551" w:type="dxa"/>
            <w:vAlign w:val="center"/>
          </w:tcPr>
          <w:p>
            <w:pPr>
              <w:pStyle w:val="单元格样式3"/>
            </w:pPr>
            <w:r>
              <w:t xml:space="preserve">45.00</w:t>
            </w:r>
          </w:p>
        </w:tc>
        <w:tc>
          <w:tcPr>
            <w:tcW w:w="3544" w:type="dxa"/>
            <w:gridSpan w:val="2"/>
            <w:vAlign w:val="center"/>
          </w:tcPr>
          <w:p>
            <w:pPr>
              <w:pStyle w:val="单元格样式3"/>
            </w:pPr>
            <w:r>
              <w:t xml:space="preserve">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1.支付单位去年未支付项目，保障单位机关正常运行。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项目成本预算</w:t>
            </w:r>
          </w:p>
        </w:tc>
        <w:tc>
          <w:tcPr>
            <w:tcW w:w="5386" w:type="dxa"/>
            <w:vAlign w:val="center"/>
          </w:tcPr>
          <w:p>
            <w:pPr>
              <w:pStyle w:val="单元格样式2"/>
            </w:pPr>
            <w:r>
              <w:t xml:space="preserve">项目成本预算</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增加就业</w:t>
            </w:r>
          </w:p>
        </w:tc>
        <w:tc>
          <w:tcPr>
            <w:tcW w:w="2268" w:type="dxa"/>
            <w:vAlign w:val="center"/>
          </w:tcPr>
          <w:p>
            <w:pPr>
              <w:pStyle w:val="单元格样式2"/>
            </w:pPr>
            <w:r>
              <w:t xml:space="preserve">≥15人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9、2026年本级支出-木村乡乡村振兴、农村人居环境整治资金绩效目标表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2026年本级支出-木村乡乡村振兴、农村人居环境整治资金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支出单位去年未支付项目，保障辖区内人居环境、乡村振兴等工作的正常开展。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25.00</w:t>
            </w:r>
          </w:p>
        </w:tc>
        <w:tc>
          <w:tcPr>
            <w:tcW w:w="2551" w:type="dxa"/>
            <w:vAlign w:val="center"/>
          </w:tcPr>
          <w:p>
            <w:pPr>
              <w:pStyle w:val="单元格样式3"/>
            </w:pPr>
            <w:r>
              <w:t xml:space="preserve">35.00</w:t>
            </w:r>
          </w:p>
        </w:tc>
        <w:tc>
          <w:tcPr>
            <w:tcW w:w="3544" w:type="dxa"/>
            <w:gridSpan w:val="2"/>
            <w:vAlign w:val="center"/>
          </w:tcPr>
          <w:p>
            <w:pPr>
              <w:pStyle w:val="单元格样式3"/>
            </w:pPr>
            <w:r>
              <w:t xml:space="preserve">80.60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1.支出单位去年未支付项目，保障辖区内人居环境、乡村振兴等工作的正常开展。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 </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项目成本预算</w:t>
            </w:r>
          </w:p>
        </w:tc>
        <w:tc>
          <w:tcPr>
            <w:tcW w:w="5386" w:type="dxa"/>
            <w:vAlign w:val="center"/>
          </w:tcPr>
          <w:p>
            <w:pPr>
              <w:pStyle w:val="单元格样式2"/>
            </w:pPr>
            <w:r>
              <w:t xml:space="preserve">项目成本预算</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增加就业</w:t>
            </w:r>
          </w:p>
        </w:tc>
        <w:tc>
          <w:tcPr>
            <w:tcW w:w="2268" w:type="dxa"/>
            <w:vAlign w:val="center"/>
          </w:tcPr>
          <w:p>
            <w:pPr>
              <w:pStyle w:val="单元格样式2"/>
            </w:pPr>
            <w:r>
              <w:t xml:space="preserve">≥15人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10、2026年本级支出-木村乡占补平衡资金绩效目标表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2026年本级支出-木村乡占补平衡资金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用于支付2025年及以前年度占补平衡资金未结款项。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15.00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24.40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1.用于支付2025年及以前年度占补平衡资金未结款项。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项目成本预算</w:t>
            </w:r>
          </w:p>
        </w:tc>
        <w:tc>
          <w:tcPr>
            <w:tcW w:w="5386" w:type="dxa"/>
            <w:vAlign w:val="center"/>
          </w:tcPr>
          <w:p>
            <w:pPr>
              <w:pStyle w:val="单元格样式2"/>
            </w:pPr>
            <w:r>
              <w:t xml:space="preserve">项目成本预算</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增加就业</w:t>
            </w:r>
          </w:p>
        </w:tc>
        <w:tc>
          <w:tcPr>
            <w:tcW w:w="2268" w:type="dxa"/>
            <w:vAlign w:val="center"/>
          </w:tcPr>
          <w:p>
            <w:pPr>
              <w:pStyle w:val="单元格样式2"/>
            </w:pPr>
            <w:r>
              <w:t xml:space="preserve">≥15人</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按相关标准测算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11、冀财建〔2025〕187号关于提前下达2026年中央大气污染防治资金（用于农村地区气代煤电代煤改造任务运行补助）预算的通知绩效目标表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13018426P000075100184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冀财建〔2025〕187号关于提前下达2026年中央大气污染防治资金（用于农村地区气代煤电代煤改造任务运行补助）预算的通知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“北方地区冬季清洁取暖项目”农村地区运营补贴等重点工作，促进区域环境空气质量持续改善。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0.20</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0.74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≤41微克每立方米</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持续改善</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成本降低</w:t>
            </w:r>
          </w:p>
        </w:tc>
        <w:tc>
          <w:tcPr>
            <w:tcW w:w="5386" w:type="dxa"/>
            <w:vAlign w:val="center"/>
          </w:tcPr>
          <w:p>
            <w:pPr>
              <w:pStyle w:val="单元格样式2"/>
            </w:pPr>
            <w:r>
              <w:t xml:space="preserve">成本降低</w:t>
            </w:r>
          </w:p>
        </w:tc>
        <w:tc>
          <w:tcPr>
            <w:tcW w:w="2268" w:type="dxa"/>
            <w:vAlign w:val="center"/>
          </w:tcPr>
          <w:p>
            <w:pPr>
              <w:pStyle w:val="单元格样式2"/>
            </w:pPr>
            <w:r>
              <w:t xml:space="preserve">持续降低</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持续改善</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主要污染物减排</w:t>
            </w:r>
          </w:p>
        </w:tc>
        <w:tc>
          <w:tcPr>
            <w:tcW w:w="5386" w:type="dxa"/>
            <w:vAlign w:val="center"/>
          </w:tcPr>
          <w:p>
            <w:pPr>
              <w:pStyle w:val="单元格样式2"/>
            </w:pPr>
            <w:r>
              <w:t xml:space="preserve">主要污染物减排</w:t>
            </w:r>
          </w:p>
        </w:tc>
        <w:tc>
          <w:tcPr>
            <w:tcW w:w="2268" w:type="dxa"/>
            <w:vAlign w:val="center"/>
          </w:tcPr>
          <w:p>
            <w:pPr>
              <w:pStyle w:val="单元格样式2"/>
            </w:pPr>
            <w:r>
              <w:t xml:space="preserve">持续减少</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13018425P00004410043U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确保文化站正常运转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1.50</w:t>
            </w:r>
          </w:p>
        </w:tc>
        <w:tc>
          <w:tcPr>
            <w:tcW w:w="2551" w:type="dxa"/>
            <w:vAlign w:val="center"/>
          </w:tcPr>
          <w:p>
            <w:pPr>
              <w:pStyle w:val="单元格样式3"/>
            </w:pPr>
            <w:r>
              <w:t xml:space="preserve">2.00</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和支持地方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项目免费开放的及时性</w:t>
            </w:r>
          </w:p>
        </w:tc>
        <w:tc>
          <w:tcPr>
            <w:tcW w:w="5386" w:type="dxa"/>
            <w:vAlign w:val="center"/>
          </w:tcPr>
          <w:p>
            <w:pPr>
              <w:pStyle w:val="单元格样式2"/>
            </w:pPr>
            <w:r>
              <w:t xml:space="preserve"> 项目免费开放的及时性</w:t>
            </w:r>
          </w:p>
        </w:tc>
        <w:tc>
          <w:tcPr>
            <w:tcW w:w="2268" w:type="dxa"/>
            <w:vAlign w:val="center"/>
          </w:tcPr>
          <w:p>
            <w:pPr>
              <w:pStyle w:val="单元格样式2"/>
            </w:pPr>
            <w:r>
              <w:t xml:space="preserve">按计划及时开放</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各公共体育场馆年均免费或低收费开放天数</w:t>
            </w:r>
          </w:p>
        </w:tc>
        <w:tc>
          <w:tcPr>
            <w:tcW w:w="5386" w:type="dxa"/>
            <w:vAlign w:val="center"/>
          </w:tcPr>
          <w:p>
            <w:pPr>
              <w:pStyle w:val="单元格样式2"/>
            </w:pPr>
            <w:r>
              <w:t xml:space="preserve">各公共体育场馆年均免费或低收费开放天数</w:t>
            </w:r>
          </w:p>
        </w:tc>
        <w:tc>
          <w:tcPr>
            <w:tcW w:w="2268" w:type="dxa"/>
            <w:vAlign w:val="center"/>
          </w:tcPr>
          <w:p>
            <w:pPr>
              <w:pStyle w:val="单元格样式2"/>
            </w:pPr>
            <w:r>
              <w:t xml:space="preserve">≥15天</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与此指标无关</w:t>
            </w:r>
          </w:p>
        </w:tc>
        <w:tc>
          <w:tcPr>
            <w:tcW w:w="5386" w:type="dxa"/>
            <w:vAlign w:val="center"/>
          </w:tcPr>
          <w:p>
            <w:pPr>
              <w:pStyle w:val="单元格样式2"/>
            </w:pPr>
            <w:r>
              <w:t xml:space="preserve">与此指标无关</w:t>
            </w:r>
          </w:p>
        </w:tc>
        <w:tc>
          <w:tcPr>
            <w:tcW w:w="2268" w:type="dxa"/>
            <w:vAlign w:val="center"/>
          </w:tcPr>
          <w:p>
            <w:pPr>
              <w:pStyle w:val="单元格样式2"/>
            </w:pPr>
            <w:r>
              <w:t xml:space="preserve">无关</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带动其他项目增收情况</w:t>
            </w:r>
          </w:p>
        </w:tc>
        <w:tc>
          <w:tcPr>
            <w:tcW w:w="5386" w:type="dxa"/>
            <w:vAlign w:val="center"/>
          </w:tcPr>
          <w:p>
            <w:pPr>
              <w:pStyle w:val="单元格样式2"/>
            </w:pPr>
            <w:r>
              <w:t xml:space="preserve">带动其他项目增收情况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提升</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国民综合阅读率</w:t>
            </w:r>
          </w:p>
        </w:tc>
        <w:tc>
          <w:tcPr>
            <w:tcW w:w="5386" w:type="dxa"/>
            <w:vAlign w:val="center"/>
          </w:tcPr>
          <w:p>
            <w:pPr>
              <w:pStyle w:val="单元格样式2"/>
            </w:pPr>
            <w:r>
              <w:t xml:space="preserve">国民综合阅读率</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≥10%</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群众对国家基本公共文化服务满意度</w:t>
            </w:r>
          </w:p>
        </w:tc>
        <w:tc>
          <w:tcPr>
            <w:tcW w:w="5386" w:type="dxa"/>
            <w:vAlign w:val="center"/>
          </w:tcPr>
          <w:p>
            <w:pPr>
              <w:pStyle w:val="单元格样式2"/>
            </w:pPr>
            <w:r>
              <w:t xml:space="preserve">群众对国家基本公共文化服务满意度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13018426P000044100659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木村乡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3.00</w:t>
            </w:r>
          </w:p>
        </w:tc>
        <w:tc>
          <w:tcPr>
            <w:tcW w:w="2551" w:type="dxa"/>
            <w:vAlign w:val="center"/>
          </w:tcPr>
          <w:p>
            <w:pPr>
              <w:pStyle w:val="单元格样式3"/>
            </w:pPr>
            <w:r>
              <w:t xml:space="preserve">5.00</w:t>
            </w:r>
          </w:p>
        </w:tc>
        <w:tc>
          <w:tcPr>
            <w:tcW w:w="3544" w:type="dxa"/>
            <w:gridSpan w:val="2"/>
            <w:vAlign w:val="center"/>
          </w:tcPr>
          <w:p>
            <w:pPr>
              <w:pStyle w:val="单元格样式3"/>
            </w:pPr>
            <w:r>
              <w:t xml:space="preserve">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木村乡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文化站及时开放</w:t>
            </w:r>
          </w:p>
        </w:tc>
        <w:tc>
          <w:tcPr>
            <w:tcW w:w="5386" w:type="dxa"/>
            <w:vAlign w:val="center"/>
          </w:tcPr>
          <w:p>
            <w:pPr>
              <w:pStyle w:val="单元格样式2"/>
            </w:pPr>
            <w:r>
              <w:t xml:space="preserve">文化站及时开放</w:t>
            </w:r>
          </w:p>
        </w:tc>
        <w:tc>
          <w:tcPr>
            <w:tcW w:w="2268" w:type="dxa"/>
            <w:vAlign w:val="center"/>
          </w:tcPr>
          <w:p>
            <w:pPr>
              <w:pStyle w:val="单元格样式2"/>
            </w:pPr>
            <w:r>
              <w:t xml:space="preserve">及时开放</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各公共体育场馆年均免费或低收费开放天数</w:t>
            </w:r>
          </w:p>
        </w:tc>
        <w:tc>
          <w:tcPr>
            <w:tcW w:w="5386" w:type="dxa"/>
            <w:vAlign w:val="center"/>
          </w:tcPr>
          <w:p>
            <w:pPr>
              <w:pStyle w:val="单元格样式2"/>
            </w:pPr>
            <w:r>
              <w:t xml:space="preserve">各公共体育场馆年均免费或低收费开放天数</w:t>
            </w:r>
          </w:p>
        </w:tc>
        <w:tc>
          <w:tcPr>
            <w:tcW w:w="2268" w:type="dxa"/>
            <w:vAlign w:val="center"/>
          </w:tcPr>
          <w:p>
            <w:pPr>
              <w:pStyle w:val="单元格样式2"/>
            </w:pPr>
            <w:r>
              <w:t xml:space="preserve">≥15天</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不涉及此项指标</w:t>
            </w:r>
          </w:p>
        </w:tc>
        <w:tc>
          <w:tcPr>
            <w:tcW w:w="5386" w:type="dxa"/>
            <w:vAlign w:val="center"/>
          </w:tcPr>
          <w:p>
            <w:pPr>
              <w:pStyle w:val="单元格样式2"/>
            </w:pPr>
            <w:r>
              <w:t xml:space="preserve">不涉及此项指标</w:t>
            </w:r>
          </w:p>
        </w:tc>
        <w:tc>
          <w:tcPr>
            <w:tcW w:w="2268" w:type="dxa"/>
            <w:vAlign w:val="center"/>
          </w:tcPr>
          <w:p>
            <w:pPr>
              <w:pStyle w:val="单元格样式2"/>
            </w:pPr>
            <w:r>
              <w:t xml:space="preserve">无</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广播电视综合人口覆盖率</w:t>
            </w:r>
          </w:p>
        </w:tc>
        <w:tc>
          <w:tcPr>
            <w:tcW w:w="5386" w:type="dxa"/>
            <w:vAlign w:val="center"/>
          </w:tcPr>
          <w:p>
            <w:pPr>
              <w:pStyle w:val="单元格样式2"/>
            </w:pPr>
            <w:r>
              <w:t xml:space="preserve">广播电视综合人口覆盖率</w:t>
            </w:r>
          </w:p>
        </w:tc>
        <w:tc>
          <w:tcPr>
            <w:tcW w:w="2268" w:type="dxa"/>
            <w:vAlign w:val="center"/>
          </w:tcPr>
          <w:p>
            <w:pPr>
              <w:pStyle w:val="单元格样式2"/>
            </w:pPr>
            <w:r>
              <w:t xml:space="preserve">≥90%</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公共数字文化服务人次增长率</w:t>
            </w:r>
          </w:p>
        </w:tc>
        <w:tc>
          <w:tcPr>
            <w:tcW w:w="5386" w:type="dxa"/>
            <w:vAlign w:val="center"/>
          </w:tcPr>
          <w:p>
            <w:pPr>
              <w:pStyle w:val="单元格样式2"/>
            </w:pPr>
            <w:r>
              <w:t xml:space="preserve">公共数字文化服务人次增长率</w:t>
            </w:r>
          </w:p>
        </w:tc>
        <w:tc>
          <w:tcPr>
            <w:tcW w:w="2268" w:type="dxa"/>
            <w:vAlign w:val="center"/>
          </w:tcPr>
          <w:p>
            <w:pPr>
              <w:pStyle w:val="单元格样式2"/>
            </w:pPr>
            <w:r>
              <w:t xml:space="preserve">≥15%</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国民综合阅读率</w:t>
            </w:r>
          </w:p>
        </w:tc>
        <w:tc>
          <w:tcPr>
            <w:tcW w:w="5386" w:type="dxa"/>
            <w:vAlign w:val="center"/>
          </w:tcPr>
          <w:p>
            <w:pPr>
              <w:pStyle w:val="单元格样式2"/>
            </w:pPr>
            <w:r>
              <w:t xml:space="preserve">国民综合阅读率</w:t>
            </w:r>
          </w:p>
        </w:tc>
        <w:tc>
          <w:tcPr>
            <w:tcW w:w="2268" w:type="dxa"/>
            <w:vAlign w:val="center"/>
          </w:tcPr>
          <w:p>
            <w:pPr>
              <w:pStyle w:val="单元格样式2"/>
            </w:pPr>
            <w:r>
              <w:t xml:space="preserve">≥90%</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≥15%</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群众对促进文化消费活动满意度</w:t>
            </w:r>
          </w:p>
        </w:tc>
        <w:tc>
          <w:tcPr>
            <w:tcW w:w="5386" w:type="dxa"/>
            <w:vAlign w:val="center"/>
          </w:tcPr>
          <w:p>
            <w:pPr>
              <w:pStyle w:val="单元格样式2"/>
            </w:pPr>
            <w:r>
              <w:t xml:space="preserve">群众对促进文化消费活动满意度</w:t>
            </w:r>
          </w:p>
        </w:tc>
        <w:tc>
          <w:tcPr>
            <w:tcW w:w="2268" w:type="dxa"/>
            <w:vAlign w:val="center"/>
          </w:tcPr>
          <w:p>
            <w:pPr>
              <w:pStyle w:val="单元格样式2"/>
            </w:pPr>
            <w:r>
              <w:t xml:space="preserve">≥90%</w:t>
            </w:r>
          </w:p>
        </w:tc>
        <w:tc>
          <w:tcPr>
            <w:tcW w:w="1276" w:type="dxa"/>
            <w:vAlign w:val="center"/>
          </w:tcPr>
          <w:p>
            <w:pPr>
              <w:pStyle w:val="单元格样式2"/>
            </w:pPr>
            <w:r>
              <w:t xml:space="preserve">以上级下达任务量计</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13018426P00001110074T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确保文化站正常运行。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0.20</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1.主要用于木村乡综合文化站全部免费向社会公众开展基本公共文化服务。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按计划及时开放</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与此指标无关</w:t>
            </w:r>
          </w:p>
        </w:tc>
        <w:tc>
          <w:tcPr>
            <w:tcW w:w="5386" w:type="dxa"/>
            <w:vAlign w:val="center"/>
          </w:tcPr>
          <w:p>
            <w:pPr>
              <w:pStyle w:val="单元格样式2"/>
            </w:pPr>
            <w:r>
              <w:t xml:space="preserve">与此指标无关</w:t>
            </w:r>
          </w:p>
        </w:tc>
        <w:tc>
          <w:tcPr>
            <w:tcW w:w="2268" w:type="dxa"/>
            <w:vAlign w:val="center"/>
          </w:tcPr>
          <w:p>
            <w:pPr>
              <w:pStyle w:val="单元格样式2"/>
            </w:pPr>
            <w:r>
              <w:t xml:space="preserve">无关</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≥5%</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提升</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免费开放文化站馆正常运转</w:t>
            </w:r>
          </w:p>
        </w:tc>
        <w:tc>
          <w:tcPr>
            <w:tcW w:w="5386" w:type="dxa"/>
            <w:vAlign w:val="center"/>
          </w:tcPr>
          <w:p>
            <w:pPr>
              <w:pStyle w:val="单元格样式2"/>
            </w:pPr>
            <w:r>
              <w:t xml:space="preserve">免费开放文化站馆正常运转</w:t>
            </w:r>
          </w:p>
        </w:tc>
        <w:tc>
          <w:tcPr>
            <w:tcW w:w="2268" w:type="dxa"/>
            <w:vAlign w:val="center"/>
          </w:tcPr>
          <w:p>
            <w:pPr>
              <w:pStyle w:val="单元格样式2"/>
            </w:pPr>
            <w:r>
              <w:t xml:space="preserve">正常运转</w:t>
            </w:r>
          </w:p>
        </w:tc>
        <w:tc>
          <w:tcPr>
            <w:tcW w:w="1276" w:type="dxa"/>
            <w:vAlign w:val="center"/>
          </w:tcPr>
          <w:p>
            <w:pPr>
              <w:pStyle w:val="单元格样式2"/>
            </w:pPr>
            <w:r>
              <w:t xml:space="preserve">按行业相关标准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按行业相关标准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15、冀财预〔2025〕35号-提前下达2026年革命老区转移支付预算（木村乡中同村道路硬化项目）绩效目标表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13018426P005221100147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冀财预〔2025〕35号-提前下达2026年革命老区转移支付预算（木村乡中同村道路硬化项目）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冀财预〔2025〕35号-提前下达2026年革命老区转移支付预算（木村乡中同村道路硬化项目），为木村乡中同村道路硬化约9500平方米。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30.00</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70.00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1.冀财预〔2025〕35号-提前下达2026年革命老区转移支付预算（木村乡中同村道路硬化项目），为木村乡中同村道路硬化约9500平方米。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道路硬化面积</w:t>
            </w:r>
          </w:p>
        </w:tc>
        <w:tc>
          <w:tcPr>
            <w:tcW w:w="5386" w:type="dxa"/>
            <w:vAlign w:val="center"/>
          </w:tcPr>
          <w:p>
            <w:pPr>
              <w:pStyle w:val="单元格样式2"/>
            </w:pPr>
            <w:r>
              <w:t xml:space="preserve">道路硬化面积</w:t>
            </w:r>
          </w:p>
        </w:tc>
        <w:tc>
          <w:tcPr>
            <w:tcW w:w="2268" w:type="dxa"/>
            <w:vAlign w:val="center"/>
          </w:tcPr>
          <w:p>
            <w:pPr>
              <w:pStyle w:val="单元格样式2"/>
            </w:pPr>
            <w:r>
              <w:t xml:space="preserve">≥9000平方米</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及时拨付</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≤70万元</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促使区域经济社会发展情况</w:t>
            </w:r>
          </w:p>
        </w:tc>
        <w:tc>
          <w:tcPr>
            <w:tcW w:w="5386" w:type="dxa"/>
            <w:vAlign w:val="center"/>
          </w:tcPr>
          <w:p>
            <w:pPr>
              <w:pStyle w:val="单元格样式2"/>
            </w:pPr>
            <w:r>
              <w:t xml:space="preserve">促使区域经济社会发展情况</w:t>
            </w:r>
          </w:p>
        </w:tc>
        <w:tc>
          <w:tcPr>
            <w:tcW w:w="2268" w:type="dxa"/>
            <w:vAlign w:val="center"/>
          </w:tcPr>
          <w:p>
            <w:pPr>
              <w:pStyle w:val="单元格样式2"/>
            </w:pPr>
            <w:r>
              <w:t xml:space="preserve">提高</w:t>
            </w:r>
          </w:p>
        </w:tc>
        <w:tc>
          <w:tcPr>
            <w:tcW w:w="1276" w:type="dxa"/>
            <w:vAlign w:val="center"/>
          </w:tcPr>
          <w:p>
            <w:pPr>
              <w:pStyle w:val="单元格样式2"/>
            </w:pPr>
            <w:r>
              <w:t xml:space="preserve">按行业相关标准测算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按行业相关标准测算</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70.00</w:t>
            </w:r>
          </w:p>
        </w:tc>
        <w:tc>
          <w:tcPr>
            <w:tcW w:w="964" w:type="dxa"/>
            <w:vAlign w:val="center"/>
          </w:tcPr>
          <w:p>
            <w:pPr>
              <w:pStyle w:val="单元格样式7"/>
            </w:pPr>
            <w:r>
              <w:t xml:space="preserve">70.00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70.00</w:t>
            </w:r>
          </w:p>
        </w:tc>
      </w:tr>
      <w:tr>
        <w:tblPrEx>
          <w:jc w:val="center"/>
          <w:tblLayout w:type="fixed"/>
        </w:tblPrEx>
        <w:trPr>
          <w:jc w:val="center"/>
        </w:trPr>
        <w:tc>
          <w:tcPr>
            <w:tcW w:w="1701" w:type="dxa"/>
            <w:vAlign w:val="center"/>
          </w:tcPr>
          <w:p>
            <w:pPr>
              <w:pStyle w:val="单元格样式6"/>
            </w:pPr>
            <w:r>
              <w:t xml:space="preserve">新乐市木村乡人民政府本级小计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70.00</w:t>
            </w:r>
          </w:p>
        </w:tc>
        <w:tc>
          <w:tcPr>
            <w:tcW w:w="964" w:type="dxa"/>
            <w:vAlign w:val="center"/>
          </w:tcPr>
          <w:p>
            <w:pPr>
              <w:pStyle w:val="单元格样式7"/>
            </w:pPr>
            <w:r>
              <w:t xml:space="preserve">70.00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70.00</w:t>
            </w:r>
          </w:p>
        </w:tc>
      </w:tr>
      <w:tr>
        <w:tblPrEx>
          <w:jc w:val="center"/>
          <w:tblLayout w:type="fixed"/>
        </w:tblPrEx>
        <w:trPr>
          <w:jc w:val="center"/>
        </w:trPr>
        <w:tc>
          <w:tcPr>
            <w:tcW w:w="1701" w:type="dxa"/>
            <w:vAlign w:val="center"/>
          </w:tcPr>
          <w:p>
            <w:pPr>
              <w:pStyle w:val="单元格样式2"/>
            </w:pPr>
            <w:r>
              <w:t xml:space="preserve">冀财预〔2025〕35号-提前下达2026年革命老区转移支付预算（木村乡中同村道路硬化项目）</w:t>
            </w:r>
          </w:p>
        </w:tc>
        <w:tc>
          <w:tcPr>
            <w:tcW w:w="964" w:type="dxa"/>
            <w:vAlign w:val="center"/>
          </w:tcPr>
          <w:p>
            <w:pPr>
              <w:pStyle w:val="单元格样式4"/>
            </w:pPr>
            <w:r>
              <w:t xml:space="preserve">70.00</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70.00</w:t>
            </w:r>
          </w:p>
        </w:tc>
        <w:tc>
          <w:tcPr>
            <w:tcW w:w="964" w:type="dxa"/>
            <w:vAlign w:val="center"/>
          </w:tcPr>
          <w:p>
            <w:pPr>
              <w:pStyle w:val="单元格样式4"/>
            </w:pPr>
            <w:r>
              <w:t xml:space="preserve">70.00</w:t>
            </w:r>
          </w:p>
        </w:tc>
        <w:tc>
          <w:tcPr>
            <w:tcW w:w="964" w:type="dxa"/>
            <w:vAlign w:val="center"/>
          </w:tcPr>
          <w:p>
            <w:pPr>
              <w:pStyle w:val="单元格样式4"/>
            </w:pPr>
            <w:r>
              <w:t xml:space="preserve">70.00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新乐市木村乡人民政府本级上年末固定资产金额为624.48万元（详见下表）。本年度拟购置固定资产总额为0.00万元，已按要求列入政府采购预算，详见政府采购预算表。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915001新乐市木村乡人民政府本级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624.48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3404.86</w:t>
            </w:r>
          </w:p>
        </w:tc>
        <w:tc>
          <w:tcPr>
            <w:tcW w:w="2835" w:type="dxa"/>
            <w:vAlign w:val="center"/>
          </w:tcPr>
          <w:p>
            <w:pPr>
              <w:pStyle w:val="单元格样式4"/>
            </w:pPr>
            <w:r>
              <w:t xml:space="preserve">235.84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3404.86</w:t>
            </w:r>
          </w:p>
        </w:tc>
        <w:tc>
          <w:tcPr>
            <w:tcW w:w="2835" w:type="dxa"/>
            <w:vAlign w:val="center"/>
          </w:tcPr>
          <w:p>
            <w:pPr>
              <w:pStyle w:val="单元格样式4"/>
            </w:pPr>
            <w:r>
              <w:t xml:space="preserve">235.84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4</w:t>
            </w:r>
          </w:p>
        </w:tc>
        <w:tc>
          <w:tcPr>
            <w:tcW w:w="2835" w:type="dxa"/>
            <w:vAlign w:val="center"/>
          </w:tcPr>
          <w:p>
            <w:pPr>
              <w:pStyle w:val="单元格样式4"/>
            </w:pPr>
            <w:r>
              <w:t xml:space="preserve">54.43</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2</w:t>
            </w:r>
          </w:p>
        </w:tc>
        <w:tc>
          <w:tcPr>
            <w:tcW w:w="2835" w:type="dxa"/>
            <w:vAlign w:val="center"/>
          </w:tcPr>
          <w:p>
            <w:pPr>
              <w:pStyle w:val="单元格样式4"/>
            </w:pPr>
            <w:r>
              <w:t xml:space="preserve">135.57</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473</w:t>
            </w:r>
          </w:p>
        </w:tc>
        <w:tc>
          <w:tcPr>
            <w:tcW w:w="2835" w:type="dxa"/>
            <w:vAlign w:val="center"/>
          </w:tcPr>
          <w:p>
            <w:pPr>
              <w:pStyle w:val="单元格样式4"/>
            </w:pPr>
            <w:r>
              <w:t xml:space="preserve">198.64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53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2026-03-09T10:46:11Z</dcterms:created>
  <dcterms:modified xsi:type="dcterms:W3CDTF">2026-03-09T10:46:11Z</dcterms:modified>
</cp:coreProperties>
</file>