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17</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34</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35</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62</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62</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63</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64</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915新乐市木村乡</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1518.67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1020.84</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166.44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30.52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0.74</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208.24</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78.89</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1518.67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1518.67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1518.67</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1518.67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915新乐市木村乡</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1518.67</w:t>
            </w:r>
          </w:p>
        </w:tc>
        <w:tc>
          <w:tcPr>
            <w:tcW w:w="1134" w:type="dxa"/>
            <w:vAlign w:val="center"/>
          </w:tcPr>
          <w:p>
            <w:pPr>
              <w:pStyle w:val="单元格样式7"/>
            </w:pPr>
            <w:r>
              <w:t xml:space="preserve">1518.67</w:t>
            </w:r>
          </w:p>
        </w:tc>
        <w:tc>
          <w:tcPr>
            <w:tcW w:w="1134" w:type="dxa"/>
            <w:vAlign w:val="center"/>
          </w:tcPr>
          <w:p>
            <w:pPr>
              <w:pStyle w:val="单元格样式7"/>
            </w:pPr>
            <w:r>
              <w:t xml:space="preserve">1518.67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1020.84</w:t>
            </w:r>
          </w:p>
        </w:tc>
        <w:tc>
          <w:tcPr>
            <w:tcW w:w="1134" w:type="dxa"/>
            <w:vAlign w:val="center"/>
          </w:tcPr>
          <w:p>
            <w:pPr>
              <w:pStyle w:val="单元格样式4"/>
            </w:pPr>
            <w:r>
              <w:t xml:space="preserve">1020.84</w:t>
            </w:r>
          </w:p>
        </w:tc>
        <w:tc>
          <w:tcPr>
            <w:tcW w:w="1134" w:type="dxa"/>
            <w:vAlign w:val="center"/>
          </w:tcPr>
          <w:p>
            <w:pPr>
              <w:pStyle w:val="单元格样式4"/>
            </w:pPr>
            <w:r>
              <w:t xml:space="preserve">1020.84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840.84</w:t>
            </w:r>
          </w:p>
        </w:tc>
        <w:tc>
          <w:tcPr>
            <w:tcW w:w="1134" w:type="dxa"/>
            <w:vAlign w:val="center"/>
          </w:tcPr>
          <w:p>
            <w:pPr>
              <w:pStyle w:val="单元格样式4"/>
            </w:pPr>
            <w:r>
              <w:t xml:space="preserve">840.84</w:t>
            </w:r>
          </w:p>
        </w:tc>
        <w:tc>
          <w:tcPr>
            <w:tcW w:w="1134" w:type="dxa"/>
            <w:vAlign w:val="center"/>
          </w:tcPr>
          <w:p>
            <w:pPr>
              <w:pStyle w:val="单元格样式4"/>
            </w:pPr>
            <w:r>
              <w:t xml:space="preserve">840.84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840.84</w:t>
            </w:r>
          </w:p>
        </w:tc>
        <w:tc>
          <w:tcPr>
            <w:tcW w:w="1134" w:type="dxa"/>
            <w:vAlign w:val="center"/>
          </w:tcPr>
          <w:p>
            <w:pPr>
              <w:pStyle w:val="单元格样式4"/>
            </w:pPr>
            <w:r>
              <w:t xml:space="preserve">840.84</w:t>
            </w:r>
          </w:p>
        </w:tc>
        <w:tc>
          <w:tcPr>
            <w:tcW w:w="1134" w:type="dxa"/>
            <w:vAlign w:val="center"/>
          </w:tcPr>
          <w:p>
            <w:pPr>
              <w:pStyle w:val="单元格样式4"/>
            </w:pPr>
            <w:r>
              <w:t xml:space="preserve">840.84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2019999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166.44</w:t>
            </w:r>
          </w:p>
        </w:tc>
        <w:tc>
          <w:tcPr>
            <w:tcW w:w="1134" w:type="dxa"/>
            <w:vAlign w:val="center"/>
          </w:tcPr>
          <w:p>
            <w:pPr>
              <w:pStyle w:val="单元格样式4"/>
            </w:pPr>
            <w:r>
              <w:t xml:space="preserve">166.44</w:t>
            </w:r>
          </w:p>
        </w:tc>
        <w:tc>
          <w:tcPr>
            <w:tcW w:w="1134" w:type="dxa"/>
            <w:vAlign w:val="center"/>
          </w:tcPr>
          <w:p>
            <w:pPr>
              <w:pStyle w:val="单元格样式4"/>
            </w:pPr>
            <w:r>
              <w:t xml:space="preserve">166.44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159.97</w:t>
            </w:r>
          </w:p>
        </w:tc>
        <w:tc>
          <w:tcPr>
            <w:tcW w:w="1134" w:type="dxa"/>
            <w:vAlign w:val="center"/>
          </w:tcPr>
          <w:p>
            <w:pPr>
              <w:pStyle w:val="单元格样式4"/>
            </w:pPr>
            <w:r>
              <w:t xml:space="preserve">159.97</w:t>
            </w:r>
          </w:p>
        </w:tc>
        <w:tc>
          <w:tcPr>
            <w:tcW w:w="1134" w:type="dxa"/>
            <w:vAlign w:val="center"/>
          </w:tcPr>
          <w:p>
            <w:pPr>
              <w:pStyle w:val="单元格样式4"/>
            </w:pPr>
            <w:r>
              <w:t xml:space="preserve">159.97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57.18</w:t>
            </w:r>
          </w:p>
        </w:tc>
        <w:tc>
          <w:tcPr>
            <w:tcW w:w="1134" w:type="dxa"/>
            <w:vAlign w:val="center"/>
          </w:tcPr>
          <w:p>
            <w:pPr>
              <w:pStyle w:val="单元格样式4"/>
            </w:pPr>
            <w:r>
              <w:t xml:space="preserve">57.18</w:t>
            </w:r>
          </w:p>
        </w:tc>
        <w:tc>
          <w:tcPr>
            <w:tcW w:w="1134" w:type="dxa"/>
            <w:vAlign w:val="center"/>
          </w:tcPr>
          <w:p>
            <w:pPr>
              <w:pStyle w:val="单元格样式4"/>
            </w:pPr>
            <w:r>
              <w:t xml:space="preserve">57.18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72.98</w:t>
            </w:r>
          </w:p>
        </w:tc>
        <w:tc>
          <w:tcPr>
            <w:tcW w:w="1134" w:type="dxa"/>
            <w:vAlign w:val="center"/>
          </w:tcPr>
          <w:p>
            <w:pPr>
              <w:pStyle w:val="单元格样式4"/>
            </w:pPr>
            <w:r>
              <w:t xml:space="preserve">72.98</w:t>
            </w:r>
          </w:p>
        </w:tc>
        <w:tc>
          <w:tcPr>
            <w:tcW w:w="1134" w:type="dxa"/>
            <w:vAlign w:val="center"/>
          </w:tcPr>
          <w:p>
            <w:pPr>
              <w:pStyle w:val="单元格样式4"/>
            </w:pPr>
            <w:r>
              <w:t xml:space="preserve">72.98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29.81</w:t>
            </w:r>
          </w:p>
        </w:tc>
        <w:tc>
          <w:tcPr>
            <w:tcW w:w="1134" w:type="dxa"/>
            <w:vAlign w:val="center"/>
          </w:tcPr>
          <w:p>
            <w:pPr>
              <w:pStyle w:val="单元格样式4"/>
            </w:pPr>
            <w:r>
              <w:t xml:space="preserve">29.81</w:t>
            </w:r>
          </w:p>
        </w:tc>
        <w:tc>
          <w:tcPr>
            <w:tcW w:w="1134" w:type="dxa"/>
            <w:vAlign w:val="center"/>
          </w:tcPr>
          <w:p>
            <w:pPr>
              <w:pStyle w:val="单元格样式4"/>
            </w:pPr>
            <w:r>
              <w:t xml:space="preserve">29.81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4.38</w:t>
            </w:r>
          </w:p>
        </w:tc>
        <w:tc>
          <w:tcPr>
            <w:tcW w:w="1134" w:type="dxa"/>
            <w:vAlign w:val="center"/>
          </w:tcPr>
          <w:p>
            <w:pPr>
              <w:pStyle w:val="单元格样式4"/>
            </w:pPr>
            <w:r>
              <w:t xml:space="preserve">4.38</w:t>
            </w:r>
          </w:p>
        </w:tc>
        <w:tc>
          <w:tcPr>
            <w:tcW w:w="1134" w:type="dxa"/>
            <w:vAlign w:val="center"/>
          </w:tcPr>
          <w:p>
            <w:pPr>
              <w:pStyle w:val="单元格样式4"/>
            </w:pPr>
            <w:r>
              <w:t xml:space="preserve">4.38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4.38</w:t>
            </w:r>
          </w:p>
        </w:tc>
        <w:tc>
          <w:tcPr>
            <w:tcW w:w="1134" w:type="dxa"/>
            <w:vAlign w:val="center"/>
          </w:tcPr>
          <w:p>
            <w:pPr>
              <w:pStyle w:val="单元格样式4"/>
            </w:pPr>
            <w:r>
              <w:t xml:space="preserve">4.38</w:t>
            </w:r>
          </w:p>
        </w:tc>
        <w:tc>
          <w:tcPr>
            <w:tcW w:w="1134" w:type="dxa"/>
            <w:vAlign w:val="center"/>
          </w:tcPr>
          <w:p>
            <w:pPr>
              <w:pStyle w:val="单元格样式4"/>
            </w:pPr>
            <w:r>
              <w:t xml:space="preserve">4.38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208.24</w:t>
            </w:r>
          </w:p>
        </w:tc>
        <w:tc>
          <w:tcPr>
            <w:tcW w:w="1134" w:type="dxa"/>
            <w:vAlign w:val="center"/>
          </w:tcPr>
          <w:p>
            <w:pPr>
              <w:pStyle w:val="单元格样式4"/>
            </w:pPr>
            <w:r>
              <w:t xml:space="preserve">208.24</w:t>
            </w:r>
          </w:p>
        </w:tc>
        <w:tc>
          <w:tcPr>
            <w:tcW w:w="1134" w:type="dxa"/>
            <w:vAlign w:val="center"/>
          </w:tcPr>
          <w:p>
            <w:pPr>
              <w:pStyle w:val="单元格样式4"/>
            </w:pPr>
            <w:r>
              <w:t xml:space="preserve">208.24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138.24</w:t>
            </w:r>
          </w:p>
        </w:tc>
        <w:tc>
          <w:tcPr>
            <w:tcW w:w="1134" w:type="dxa"/>
            <w:vAlign w:val="center"/>
          </w:tcPr>
          <w:p>
            <w:pPr>
              <w:pStyle w:val="单元格样式4"/>
            </w:pPr>
            <w:r>
              <w:t xml:space="preserve">138.24</w:t>
            </w:r>
          </w:p>
        </w:tc>
        <w:tc>
          <w:tcPr>
            <w:tcW w:w="1134" w:type="dxa"/>
            <w:vAlign w:val="center"/>
          </w:tcPr>
          <w:p>
            <w:pPr>
              <w:pStyle w:val="单元格样式4"/>
            </w:pPr>
            <w:r>
              <w:t xml:space="preserve">138.24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138.24</w:t>
            </w:r>
          </w:p>
        </w:tc>
        <w:tc>
          <w:tcPr>
            <w:tcW w:w="1134" w:type="dxa"/>
            <w:vAlign w:val="center"/>
          </w:tcPr>
          <w:p>
            <w:pPr>
              <w:pStyle w:val="单元格样式4"/>
            </w:pPr>
            <w:r>
              <w:t xml:space="preserve">138.24</w:t>
            </w:r>
          </w:p>
        </w:tc>
        <w:tc>
          <w:tcPr>
            <w:tcW w:w="1134" w:type="dxa"/>
            <w:vAlign w:val="center"/>
          </w:tcPr>
          <w:p>
            <w:pPr>
              <w:pStyle w:val="单元格样式4"/>
            </w:pPr>
            <w:r>
              <w:t xml:space="preserve">138.24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915新乐市木村乡</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1518.67</w:t>
            </w:r>
          </w:p>
        </w:tc>
        <w:tc>
          <w:tcPr>
            <w:tcW w:w="1361" w:type="dxa"/>
            <w:vAlign w:val="center"/>
          </w:tcPr>
          <w:p>
            <w:pPr>
              <w:pStyle w:val="单元格样式7"/>
            </w:pPr>
            <w:r>
              <w:t xml:space="preserve">1116.69</w:t>
            </w:r>
          </w:p>
        </w:tc>
        <w:tc>
          <w:tcPr>
            <w:tcW w:w="1361" w:type="dxa"/>
            <w:vAlign w:val="center"/>
          </w:tcPr>
          <w:p>
            <w:pPr>
              <w:pStyle w:val="单元格样式7"/>
            </w:pPr>
            <w:r>
              <w:t xml:space="preserve">401.98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1020.84</w:t>
            </w:r>
          </w:p>
        </w:tc>
        <w:tc>
          <w:tcPr>
            <w:tcW w:w="1361" w:type="dxa"/>
            <w:vAlign w:val="center"/>
          </w:tcPr>
          <w:p>
            <w:pPr>
              <w:pStyle w:val="单元格样式4"/>
            </w:pPr>
            <w:r>
              <w:t xml:space="preserve">840.84</w:t>
            </w: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840.84</w:t>
            </w:r>
          </w:p>
        </w:tc>
        <w:tc>
          <w:tcPr>
            <w:tcW w:w="1361" w:type="dxa"/>
            <w:vAlign w:val="center"/>
          </w:tcPr>
          <w:p>
            <w:pPr>
              <w:pStyle w:val="单元格样式4"/>
            </w:pPr>
            <w:r>
              <w:t xml:space="preserve">840.84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840.84</w:t>
            </w:r>
          </w:p>
        </w:tc>
        <w:tc>
          <w:tcPr>
            <w:tcW w:w="1361" w:type="dxa"/>
            <w:vAlign w:val="center"/>
          </w:tcPr>
          <w:p>
            <w:pPr>
              <w:pStyle w:val="单元格样式4"/>
            </w:pPr>
            <w:r>
              <w:t xml:space="preserve">840.84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166.44</w:t>
            </w:r>
          </w:p>
        </w:tc>
        <w:tc>
          <w:tcPr>
            <w:tcW w:w="1361" w:type="dxa"/>
            <w:vAlign w:val="center"/>
          </w:tcPr>
          <w:p>
            <w:pPr>
              <w:pStyle w:val="单元格样式4"/>
            </w:pPr>
            <w:r>
              <w:t xml:space="preserve">166.44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159.97</w:t>
            </w:r>
          </w:p>
        </w:tc>
        <w:tc>
          <w:tcPr>
            <w:tcW w:w="1361" w:type="dxa"/>
            <w:vAlign w:val="center"/>
          </w:tcPr>
          <w:p>
            <w:pPr>
              <w:pStyle w:val="单元格样式4"/>
            </w:pPr>
            <w:r>
              <w:t xml:space="preserve">159.97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57.18</w:t>
            </w:r>
          </w:p>
        </w:tc>
        <w:tc>
          <w:tcPr>
            <w:tcW w:w="1361" w:type="dxa"/>
            <w:vAlign w:val="center"/>
          </w:tcPr>
          <w:p>
            <w:pPr>
              <w:pStyle w:val="单元格样式4"/>
            </w:pPr>
            <w:r>
              <w:t xml:space="preserve">57.18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72.98</w:t>
            </w:r>
          </w:p>
        </w:tc>
        <w:tc>
          <w:tcPr>
            <w:tcW w:w="1361" w:type="dxa"/>
            <w:vAlign w:val="center"/>
          </w:tcPr>
          <w:p>
            <w:pPr>
              <w:pStyle w:val="单元格样式4"/>
            </w:pPr>
            <w:r>
              <w:t xml:space="preserve">72.98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29.81</w:t>
            </w:r>
          </w:p>
        </w:tc>
        <w:tc>
          <w:tcPr>
            <w:tcW w:w="1361" w:type="dxa"/>
            <w:vAlign w:val="center"/>
          </w:tcPr>
          <w:p>
            <w:pPr>
              <w:pStyle w:val="单元格样式4"/>
            </w:pPr>
            <w:r>
              <w:t xml:space="preserve">29.81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2.09</w:t>
            </w:r>
          </w:p>
        </w:tc>
        <w:tc>
          <w:tcPr>
            <w:tcW w:w="1361" w:type="dxa"/>
            <w:vAlign w:val="center"/>
          </w:tcPr>
          <w:p>
            <w:pPr>
              <w:pStyle w:val="单元格样式4"/>
            </w:pPr>
            <w:r>
              <w:t xml:space="preserve">2.09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2.09</w:t>
            </w:r>
          </w:p>
        </w:tc>
        <w:tc>
          <w:tcPr>
            <w:tcW w:w="1361" w:type="dxa"/>
            <w:vAlign w:val="center"/>
          </w:tcPr>
          <w:p>
            <w:pPr>
              <w:pStyle w:val="单元格样式4"/>
            </w:pPr>
            <w:r>
              <w:t xml:space="preserve">2.09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4.38</w:t>
            </w:r>
          </w:p>
        </w:tc>
        <w:tc>
          <w:tcPr>
            <w:tcW w:w="1361" w:type="dxa"/>
            <w:vAlign w:val="center"/>
          </w:tcPr>
          <w:p>
            <w:pPr>
              <w:pStyle w:val="单元格样式4"/>
            </w:pPr>
            <w:r>
              <w:t xml:space="preserve">4.38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4.38</w:t>
            </w:r>
          </w:p>
        </w:tc>
        <w:tc>
          <w:tcPr>
            <w:tcW w:w="1361" w:type="dxa"/>
            <w:vAlign w:val="center"/>
          </w:tcPr>
          <w:p>
            <w:pPr>
              <w:pStyle w:val="单元格样式4"/>
            </w:pPr>
            <w:r>
              <w:t xml:space="preserve">4.38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30.52</w:t>
            </w:r>
          </w:p>
        </w:tc>
        <w:tc>
          <w:tcPr>
            <w:tcW w:w="1361" w:type="dxa"/>
            <w:vAlign w:val="center"/>
          </w:tcPr>
          <w:p>
            <w:pPr>
              <w:pStyle w:val="单元格样式4"/>
            </w:pPr>
            <w:r>
              <w:t xml:space="preserve">30.52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30.52</w:t>
            </w:r>
          </w:p>
        </w:tc>
        <w:tc>
          <w:tcPr>
            <w:tcW w:w="1361" w:type="dxa"/>
            <w:vAlign w:val="center"/>
          </w:tcPr>
          <w:p>
            <w:pPr>
              <w:pStyle w:val="单元格样式4"/>
            </w:pPr>
            <w:r>
              <w:t xml:space="preserve">30.52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30.52</w:t>
            </w:r>
          </w:p>
        </w:tc>
        <w:tc>
          <w:tcPr>
            <w:tcW w:w="1361" w:type="dxa"/>
            <w:vAlign w:val="center"/>
          </w:tcPr>
          <w:p>
            <w:pPr>
              <w:pStyle w:val="单元格样式4"/>
            </w:pPr>
            <w:r>
              <w:t xml:space="preserve">30.52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208.24</w:t>
            </w:r>
          </w:p>
        </w:tc>
        <w:tc>
          <w:tcPr>
            <w:tcW w:w="1361" w:type="dxa"/>
            <w:vAlign w:val="center"/>
          </w:tcPr>
          <w:p>
            <w:pPr>
              <w:pStyle w:val="单元格样式4"/>
            </w:pPr>
          </w:p>
        </w:tc>
        <w:tc>
          <w:tcPr>
            <w:tcW w:w="1361" w:type="dxa"/>
            <w:vAlign w:val="center"/>
          </w:tcPr>
          <w:p>
            <w:pPr>
              <w:pStyle w:val="单元格样式4"/>
            </w:pPr>
            <w:r>
              <w:t xml:space="preserve">208.24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138.24</w:t>
            </w:r>
          </w:p>
        </w:tc>
        <w:tc>
          <w:tcPr>
            <w:tcW w:w="1361" w:type="dxa"/>
            <w:vAlign w:val="center"/>
          </w:tcPr>
          <w:p>
            <w:pPr>
              <w:pStyle w:val="单元格样式4"/>
            </w:pPr>
          </w:p>
        </w:tc>
        <w:tc>
          <w:tcPr>
            <w:tcW w:w="1361" w:type="dxa"/>
            <w:vAlign w:val="center"/>
          </w:tcPr>
          <w:p>
            <w:pPr>
              <w:pStyle w:val="单元格样式4"/>
            </w:pPr>
            <w:r>
              <w:t xml:space="preserve">138.24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138.24</w:t>
            </w:r>
          </w:p>
        </w:tc>
        <w:tc>
          <w:tcPr>
            <w:tcW w:w="1361" w:type="dxa"/>
            <w:vAlign w:val="center"/>
          </w:tcPr>
          <w:p>
            <w:pPr>
              <w:pStyle w:val="单元格样式4"/>
            </w:pPr>
          </w:p>
        </w:tc>
        <w:tc>
          <w:tcPr>
            <w:tcW w:w="1361" w:type="dxa"/>
            <w:vAlign w:val="center"/>
          </w:tcPr>
          <w:p>
            <w:pPr>
              <w:pStyle w:val="单元格样式4"/>
            </w:pPr>
            <w:r>
              <w:t xml:space="preserve">138.24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78.89</w:t>
            </w:r>
          </w:p>
        </w:tc>
        <w:tc>
          <w:tcPr>
            <w:tcW w:w="1361" w:type="dxa"/>
            <w:vAlign w:val="center"/>
          </w:tcPr>
          <w:p>
            <w:pPr>
              <w:pStyle w:val="单元格样式4"/>
            </w:pPr>
            <w:r>
              <w:t xml:space="preserve">78.89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78.89</w:t>
            </w:r>
          </w:p>
        </w:tc>
        <w:tc>
          <w:tcPr>
            <w:tcW w:w="1361" w:type="dxa"/>
            <w:vAlign w:val="center"/>
          </w:tcPr>
          <w:p>
            <w:pPr>
              <w:pStyle w:val="单元格样式4"/>
            </w:pPr>
            <w:r>
              <w:t xml:space="preserve">78.89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78.89</w:t>
            </w:r>
          </w:p>
        </w:tc>
        <w:tc>
          <w:tcPr>
            <w:tcW w:w="1361" w:type="dxa"/>
            <w:vAlign w:val="center"/>
          </w:tcPr>
          <w:p>
            <w:pPr>
              <w:pStyle w:val="单元格样式4"/>
            </w:pPr>
            <w:r>
              <w:t xml:space="preserve">78.89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915新乐市木村乡</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1518.67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1020.84</w:t>
            </w:r>
          </w:p>
        </w:tc>
        <w:tc>
          <w:tcPr>
            <w:tcW w:w="1474" w:type="dxa"/>
            <w:vAlign w:val="center"/>
          </w:tcPr>
          <w:p>
            <w:pPr>
              <w:pStyle w:val="单元格样式4"/>
            </w:pPr>
            <w:r>
              <w:t xml:space="preserve">1020.84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13.00</w:t>
            </w:r>
          </w:p>
        </w:tc>
        <w:tc>
          <w:tcPr>
            <w:tcW w:w="1474" w:type="dxa"/>
            <w:vAlign w:val="center"/>
          </w:tcPr>
          <w:p>
            <w:pPr>
              <w:pStyle w:val="单元格样式4"/>
            </w:pPr>
            <w:r>
              <w:t xml:space="preserve">13.00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166.44</w:t>
            </w:r>
          </w:p>
        </w:tc>
        <w:tc>
          <w:tcPr>
            <w:tcW w:w="1474" w:type="dxa"/>
            <w:vAlign w:val="center"/>
          </w:tcPr>
          <w:p>
            <w:pPr>
              <w:pStyle w:val="单元格样式4"/>
            </w:pPr>
            <w:r>
              <w:t xml:space="preserve">166.44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30.52</w:t>
            </w:r>
          </w:p>
        </w:tc>
        <w:tc>
          <w:tcPr>
            <w:tcW w:w="1474" w:type="dxa"/>
            <w:vAlign w:val="center"/>
          </w:tcPr>
          <w:p>
            <w:pPr>
              <w:pStyle w:val="单元格样式4"/>
            </w:pPr>
            <w:r>
              <w:t xml:space="preserve">30.52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0.74</w:t>
            </w:r>
          </w:p>
        </w:tc>
        <w:tc>
          <w:tcPr>
            <w:tcW w:w="1474" w:type="dxa"/>
            <w:vAlign w:val="center"/>
          </w:tcPr>
          <w:p>
            <w:pPr>
              <w:pStyle w:val="单元格样式4"/>
            </w:pPr>
            <w:r>
              <w:t xml:space="preserve">0.74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208.24</w:t>
            </w:r>
          </w:p>
        </w:tc>
        <w:tc>
          <w:tcPr>
            <w:tcW w:w="1474" w:type="dxa"/>
            <w:vAlign w:val="center"/>
          </w:tcPr>
          <w:p>
            <w:pPr>
              <w:pStyle w:val="单元格样式4"/>
            </w:pPr>
            <w:r>
              <w:t xml:space="preserve">208.24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78.89</w:t>
            </w:r>
          </w:p>
        </w:tc>
        <w:tc>
          <w:tcPr>
            <w:tcW w:w="1474" w:type="dxa"/>
            <w:vAlign w:val="center"/>
          </w:tcPr>
          <w:p>
            <w:pPr>
              <w:pStyle w:val="单元格样式4"/>
            </w:pPr>
            <w:r>
              <w:t xml:space="preserve">78.89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1518.67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1518.67</w:t>
            </w:r>
          </w:p>
        </w:tc>
        <w:tc>
          <w:tcPr>
            <w:tcW w:w="1474" w:type="dxa"/>
            <w:vAlign w:val="center"/>
          </w:tcPr>
          <w:p>
            <w:pPr>
              <w:pStyle w:val="单元格样式7"/>
            </w:pPr>
            <w:r>
              <w:t xml:space="preserve">1518.67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1518.67</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1518.67</w:t>
            </w:r>
          </w:p>
        </w:tc>
        <w:tc>
          <w:tcPr>
            <w:tcW w:w="1474" w:type="dxa"/>
            <w:vAlign w:val="center"/>
          </w:tcPr>
          <w:p>
            <w:pPr>
              <w:pStyle w:val="单元格样式7"/>
            </w:pPr>
            <w:r>
              <w:t xml:space="preserve">1518.67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915新乐市木村乡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1518.67</w:t>
            </w:r>
          </w:p>
        </w:tc>
        <w:tc>
          <w:tcPr>
            <w:tcW w:w="2551" w:type="dxa"/>
            <w:vAlign w:val="center"/>
          </w:tcPr>
          <w:p>
            <w:pPr>
              <w:pStyle w:val="单元格样式7"/>
            </w:pPr>
            <w:r>
              <w:t xml:space="preserve">1116.69</w:t>
            </w:r>
          </w:p>
        </w:tc>
        <w:tc>
          <w:tcPr>
            <w:tcW w:w="2551" w:type="dxa"/>
            <w:vAlign w:val="center"/>
          </w:tcPr>
          <w:p>
            <w:pPr>
              <w:pStyle w:val="单元格样式7"/>
            </w:pPr>
            <w:r>
              <w:t xml:space="preserve">401.98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1020.84</w:t>
            </w:r>
          </w:p>
        </w:tc>
        <w:tc>
          <w:tcPr>
            <w:tcW w:w="2551" w:type="dxa"/>
            <w:vAlign w:val="center"/>
          </w:tcPr>
          <w:p>
            <w:pPr>
              <w:pStyle w:val="单元格样式4"/>
            </w:pPr>
            <w:r>
              <w:t xml:space="preserve">840.84</w:t>
            </w:r>
          </w:p>
        </w:tc>
        <w:tc>
          <w:tcPr>
            <w:tcW w:w="2551" w:type="dxa"/>
            <w:vAlign w:val="center"/>
          </w:tcPr>
          <w:p>
            <w:pPr>
              <w:pStyle w:val="单元格样式4"/>
            </w:pPr>
            <w:r>
              <w:t xml:space="preserve">180.00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840.84</w:t>
            </w:r>
          </w:p>
        </w:tc>
        <w:tc>
          <w:tcPr>
            <w:tcW w:w="2551" w:type="dxa"/>
            <w:vAlign w:val="center"/>
          </w:tcPr>
          <w:p>
            <w:pPr>
              <w:pStyle w:val="单元格样式4"/>
            </w:pPr>
            <w:r>
              <w:t xml:space="preserve">840.84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840.84</w:t>
            </w:r>
          </w:p>
        </w:tc>
        <w:tc>
          <w:tcPr>
            <w:tcW w:w="2551" w:type="dxa"/>
            <w:vAlign w:val="center"/>
          </w:tcPr>
          <w:p>
            <w:pPr>
              <w:pStyle w:val="单元格样式4"/>
            </w:pPr>
            <w:r>
              <w:t xml:space="preserve">840.84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180.00</w:t>
            </w:r>
          </w:p>
        </w:tc>
        <w:tc>
          <w:tcPr>
            <w:tcW w:w="2551" w:type="dxa"/>
            <w:vAlign w:val="center"/>
          </w:tcPr>
          <w:p>
            <w:pPr>
              <w:pStyle w:val="单元格样式4"/>
            </w:pPr>
          </w:p>
        </w:tc>
        <w:tc>
          <w:tcPr>
            <w:tcW w:w="2551" w:type="dxa"/>
            <w:vAlign w:val="center"/>
          </w:tcPr>
          <w:p>
            <w:pPr>
              <w:pStyle w:val="单元格样式4"/>
            </w:pPr>
            <w:r>
              <w:t xml:space="preserve">180.00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180.00</w:t>
            </w:r>
          </w:p>
        </w:tc>
        <w:tc>
          <w:tcPr>
            <w:tcW w:w="2551" w:type="dxa"/>
            <w:vAlign w:val="center"/>
          </w:tcPr>
          <w:p>
            <w:pPr>
              <w:pStyle w:val="单元格样式4"/>
            </w:pPr>
          </w:p>
        </w:tc>
        <w:tc>
          <w:tcPr>
            <w:tcW w:w="2551" w:type="dxa"/>
            <w:vAlign w:val="center"/>
          </w:tcPr>
          <w:p>
            <w:pPr>
              <w:pStyle w:val="单元格样式4"/>
            </w:pPr>
            <w:r>
              <w:t xml:space="preserve">180.00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13.00</w:t>
            </w:r>
          </w:p>
        </w:tc>
        <w:tc>
          <w:tcPr>
            <w:tcW w:w="2551" w:type="dxa"/>
            <w:vAlign w:val="center"/>
          </w:tcPr>
          <w:p>
            <w:pPr>
              <w:pStyle w:val="单元格样式4"/>
            </w:pPr>
          </w:p>
        </w:tc>
        <w:tc>
          <w:tcPr>
            <w:tcW w:w="2551"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166.44</w:t>
            </w:r>
          </w:p>
        </w:tc>
        <w:tc>
          <w:tcPr>
            <w:tcW w:w="2551" w:type="dxa"/>
            <w:vAlign w:val="center"/>
          </w:tcPr>
          <w:p>
            <w:pPr>
              <w:pStyle w:val="单元格样式4"/>
            </w:pPr>
            <w:r>
              <w:t xml:space="preserve">166.44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159.97</w:t>
            </w:r>
          </w:p>
        </w:tc>
        <w:tc>
          <w:tcPr>
            <w:tcW w:w="2551" w:type="dxa"/>
            <w:vAlign w:val="center"/>
          </w:tcPr>
          <w:p>
            <w:pPr>
              <w:pStyle w:val="单元格样式4"/>
            </w:pPr>
            <w:r>
              <w:t xml:space="preserve">159.97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57.18</w:t>
            </w:r>
          </w:p>
        </w:tc>
        <w:tc>
          <w:tcPr>
            <w:tcW w:w="2551" w:type="dxa"/>
            <w:vAlign w:val="center"/>
          </w:tcPr>
          <w:p>
            <w:pPr>
              <w:pStyle w:val="单元格样式4"/>
            </w:pPr>
            <w:r>
              <w:t xml:space="preserve">57.18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72.98</w:t>
            </w:r>
          </w:p>
        </w:tc>
        <w:tc>
          <w:tcPr>
            <w:tcW w:w="2551" w:type="dxa"/>
            <w:vAlign w:val="center"/>
          </w:tcPr>
          <w:p>
            <w:pPr>
              <w:pStyle w:val="单元格样式4"/>
            </w:pPr>
            <w:r>
              <w:t xml:space="preserve">72.98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29.81</w:t>
            </w:r>
          </w:p>
        </w:tc>
        <w:tc>
          <w:tcPr>
            <w:tcW w:w="2551" w:type="dxa"/>
            <w:vAlign w:val="center"/>
          </w:tcPr>
          <w:p>
            <w:pPr>
              <w:pStyle w:val="单元格样式4"/>
            </w:pPr>
            <w:r>
              <w:t xml:space="preserve">29.81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4.38</w:t>
            </w:r>
          </w:p>
        </w:tc>
        <w:tc>
          <w:tcPr>
            <w:tcW w:w="2551" w:type="dxa"/>
            <w:vAlign w:val="center"/>
          </w:tcPr>
          <w:p>
            <w:pPr>
              <w:pStyle w:val="单元格样式4"/>
            </w:pPr>
            <w:r>
              <w:t xml:space="preserve">4.38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4.38</w:t>
            </w:r>
          </w:p>
        </w:tc>
        <w:tc>
          <w:tcPr>
            <w:tcW w:w="2551" w:type="dxa"/>
            <w:vAlign w:val="center"/>
          </w:tcPr>
          <w:p>
            <w:pPr>
              <w:pStyle w:val="单元格样式4"/>
            </w:pPr>
            <w:r>
              <w:t xml:space="preserve">4.38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30.52</w:t>
            </w:r>
          </w:p>
        </w:tc>
        <w:tc>
          <w:tcPr>
            <w:tcW w:w="2551" w:type="dxa"/>
            <w:vAlign w:val="center"/>
          </w:tcPr>
          <w:p>
            <w:pPr>
              <w:pStyle w:val="单元格样式4"/>
            </w:pPr>
            <w:r>
              <w:t xml:space="preserve">30.52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30.52</w:t>
            </w:r>
          </w:p>
        </w:tc>
        <w:tc>
          <w:tcPr>
            <w:tcW w:w="2551" w:type="dxa"/>
            <w:vAlign w:val="center"/>
          </w:tcPr>
          <w:p>
            <w:pPr>
              <w:pStyle w:val="单元格样式4"/>
            </w:pPr>
            <w:r>
              <w:t xml:space="preserve">30.52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30.52</w:t>
            </w:r>
          </w:p>
        </w:tc>
        <w:tc>
          <w:tcPr>
            <w:tcW w:w="2551" w:type="dxa"/>
            <w:vAlign w:val="center"/>
          </w:tcPr>
          <w:p>
            <w:pPr>
              <w:pStyle w:val="单元格样式4"/>
            </w:pPr>
            <w:r>
              <w:t xml:space="preserve">30.52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0.74</w:t>
            </w:r>
          </w:p>
        </w:tc>
        <w:tc>
          <w:tcPr>
            <w:tcW w:w="2551" w:type="dxa"/>
            <w:vAlign w:val="center"/>
          </w:tcPr>
          <w:p>
            <w:pPr>
              <w:pStyle w:val="单元格样式4"/>
            </w:pPr>
          </w:p>
        </w:tc>
        <w:tc>
          <w:tcPr>
            <w:tcW w:w="2551" w:type="dxa"/>
            <w:vAlign w:val="center"/>
          </w:tcPr>
          <w:p>
            <w:pPr>
              <w:pStyle w:val="单元格样式4"/>
            </w:pPr>
            <w:r>
              <w:t xml:space="preserve">0.74</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0.74</w:t>
            </w:r>
          </w:p>
        </w:tc>
        <w:tc>
          <w:tcPr>
            <w:tcW w:w="2551" w:type="dxa"/>
            <w:vAlign w:val="center"/>
          </w:tcPr>
          <w:p>
            <w:pPr>
              <w:pStyle w:val="单元格样式4"/>
            </w:pPr>
          </w:p>
        </w:tc>
        <w:tc>
          <w:tcPr>
            <w:tcW w:w="2551" w:type="dxa"/>
            <w:vAlign w:val="center"/>
          </w:tcPr>
          <w:p>
            <w:pPr>
              <w:pStyle w:val="单元格样式4"/>
            </w:pPr>
            <w:r>
              <w:t xml:space="preserve">0.74</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0.74</w:t>
            </w:r>
          </w:p>
        </w:tc>
        <w:tc>
          <w:tcPr>
            <w:tcW w:w="2551" w:type="dxa"/>
            <w:vAlign w:val="center"/>
          </w:tcPr>
          <w:p>
            <w:pPr>
              <w:pStyle w:val="单元格样式4"/>
            </w:pPr>
          </w:p>
        </w:tc>
        <w:tc>
          <w:tcPr>
            <w:tcW w:w="2551" w:type="dxa"/>
            <w:vAlign w:val="center"/>
          </w:tcPr>
          <w:p>
            <w:pPr>
              <w:pStyle w:val="单元格样式4"/>
            </w:pPr>
            <w:r>
              <w:t xml:space="preserve">0.74</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208.24</w:t>
            </w:r>
          </w:p>
        </w:tc>
        <w:tc>
          <w:tcPr>
            <w:tcW w:w="2551" w:type="dxa"/>
            <w:vAlign w:val="center"/>
          </w:tcPr>
          <w:p>
            <w:pPr>
              <w:pStyle w:val="单元格样式4"/>
            </w:pPr>
          </w:p>
        </w:tc>
        <w:tc>
          <w:tcPr>
            <w:tcW w:w="2551" w:type="dxa"/>
            <w:vAlign w:val="center"/>
          </w:tcPr>
          <w:p>
            <w:pPr>
              <w:pStyle w:val="单元格样式4"/>
            </w:pPr>
            <w:r>
              <w:t xml:space="preserve">208.24</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70.00</w:t>
            </w:r>
          </w:p>
        </w:tc>
        <w:tc>
          <w:tcPr>
            <w:tcW w:w="2551" w:type="dxa"/>
            <w:vAlign w:val="center"/>
          </w:tcPr>
          <w:p>
            <w:pPr>
              <w:pStyle w:val="单元格样式4"/>
            </w:pPr>
          </w:p>
        </w:tc>
        <w:tc>
          <w:tcPr>
            <w:tcW w:w="2551" w:type="dxa"/>
            <w:vAlign w:val="center"/>
          </w:tcPr>
          <w:p>
            <w:pPr>
              <w:pStyle w:val="单元格样式4"/>
            </w:pPr>
            <w:r>
              <w:t xml:space="preserve">70.00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70.00</w:t>
            </w:r>
          </w:p>
        </w:tc>
        <w:tc>
          <w:tcPr>
            <w:tcW w:w="2551" w:type="dxa"/>
            <w:vAlign w:val="center"/>
          </w:tcPr>
          <w:p>
            <w:pPr>
              <w:pStyle w:val="单元格样式4"/>
            </w:pPr>
          </w:p>
        </w:tc>
        <w:tc>
          <w:tcPr>
            <w:tcW w:w="2551" w:type="dxa"/>
            <w:vAlign w:val="center"/>
          </w:tcPr>
          <w:p>
            <w:pPr>
              <w:pStyle w:val="单元格样式4"/>
            </w:pPr>
            <w:r>
              <w:t xml:space="preserve">70.00</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138.24</w:t>
            </w:r>
          </w:p>
        </w:tc>
        <w:tc>
          <w:tcPr>
            <w:tcW w:w="2551" w:type="dxa"/>
            <w:vAlign w:val="center"/>
          </w:tcPr>
          <w:p>
            <w:pPr>
              <w:pStyle w:val="单元格样式4"/>
            </w:pPr>
          </w:p>
        </w:tc>
        <w:tc>
          <w:tcPr>
            <w:tcW w:w="2551" w:type="dxa"/>
            <w:vAlign w:val="center"/>
          </w:tcPr>
          <w:p>
            <w:pPr>
              <w:pStyle w:val="单元格样式4"/>
            </w:pPr>
            <w:r>
              <w:t xml:space="preserve">138.24</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138.24</w:t>
            </w:r>
          </w:p>
        </w:tc>
        <w:tc>
          <w:tcPr>
            <w:tcW w:w="2551" w:type="dxa"/>
            <w:vAlign w:val="center"/>
          </w:tcPr>
          <w:p>
            <w:pPr>
              <w:pStyle w:val="单元格样式4"/>
            </w:pPr>
          </w:p>
        </w:tc>
        <w:tc>
          <w:tcPr>
            <w:tcW w:w="2551" w:type="dxa"/>
            <w:vAlign w:val="center"/>
          </w:tcPr>
          <w:p>
            <w:pPr>
              <w:pStyle w:val="单元格样式4"/>
            </w:pPr>
            <w:r>
              <w:t xml:space="preserve">138.24</w:t>
            </w: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78.89</w:t>
            </w:r>
          </w:p>
        </w:tc>
        <w:tc>
          <w:tcPr>
            <w:tcW w:w="2551" w:type="dxa"/>
            <w:vAlign w:val="center"/>
          </w:tcPr>
          <w:p>
            <w:pPr>
              <w:pStyle w:val="单元格样式4"/>
            </w:pPr>
            <w:r>
              <w:t xml:space="preserve">78.89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78.89</w:t>
            </w:r>
          </w:p>
        </w:tc>
        <w:tc>
          <w:tcPr>
            <w:tcW w:w="2551" w:type="dxa"/>
            <w:vAlign w:val="center"/>
          </w:tcPr>
          <w:p>
            <w:pPr>
              <w:pStyle w:val="单元格样式4"/>
            </w:pPr>
            <w:r>
              <w:t xml:space="preserve">78.89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78.89</w:t>
            </w:r>
          </w:p>
        </w:tc>
        <w:tc>
          <w:tcPr>
            <w:tcW w:w="2551" w:type="dxa"/>
            <w:vAlign w:val="center"/>
          </w:tcPr>
          <w:p>
            <w:pPr>
              <w:pStyle w:val="单元格样式4"/>
            </w:pPr>
            <w:r>
              <w:t xml:space="preserve">78.89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915新乐市木村乡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1116.69</w:t>
            </w:r>
          </w:p>
        </w:tc>
        <w:tc>
          <w:tcPr>
            <w:tcW w:w="2551" w:type="dxa"/>
            <w:vAlign w:val="center"/>
          </w:tcPr>
          <w:p>
            <w:pPr>
              <w:pStyle w:val="单元格样式7"/>
            </w:pPr>
            <w:r>
              <w:t xml:space="preserve">972.00</w:t>
            </w:r>
          </w:p>
        </w:tc>
        <w:tc>
          <w:tcPr>
            <w:tcW w:w="2551" w:type="dxa"/>
            <w:vAlign w:val="center"/>
          </w:tcPr>
          <w:p>
            <w:pPr>
              <w:pStyle w:val="单元格样式7"/>
            </w:pPr>
            <w:r>
              <w:t xml:space="preserve">144.69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912.73</w:t>
            </w:r>
          </w:p>
        </w:tc>
        <w:tc>
          <w:tcPr>
            <w:tcW w:w="2551" w:type="dxa"/>
            <w:vAlign w:val="center"/>
          </w:tcPr>
          <w:p>
            <w:pPr>
              <w:pStyle w:val="单元格样式4"/>
            </w:pPr>
            <w:r>
              <w:t xml:space="preserve">912.73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252.10</w:t>
            </w:r>
          </w:p>
        </w:tc>
        <w:tc>
          <w:tcPr>
            <w:tcW w:w="2551" w:type="dxa"/>
            <w:vAlign w:val="center"/>
          </w:tcPr>
          <w:p>
            <w:pPr>
              <w:pStyle w:val="单元格样式4"/>
            </w:pPr>
            <w:r>
              <w:t xml:space="preserve">252.10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147.13</w:t>
            </w:r>
          </w:p>
        </w:tc>
        <w:tc>
          <w:tcPr>
            <w:tcW w:w="2551" w:type="dxa"/>
            <w:vAlign w:val="center"/>
          </w:tcPr>
          <w:p>
            <w:pPr>
              <w:pStyle w:val="单元格样式4"/>
            </w:pPr>
            <w:r>
              <w:t xml:space="preserve">147.13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61.24</w:t>
            </w:r>
          </w:p>
        </w:tc>
        <w:tc>
          <w:tcPr>
            <w:tcW w:w="2551" w:type="dxa"/>
            <w:vAlign w:val="center"/>
          </w:tcPr>
          <w:p>
            <w:pPr>
              <w:pStyle w:val="单元格样式4"/>
            </w:pPr>
            <w:r>
              <w:t xml:space="preserve">61.24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106.40</w:t>
            </w:r>
          </w:p>
        </w:tc>
        <w:tc>
          <w:tcPr>
            <w:tcW w:w="2551" w:type="dxa"/>
            <w:vAlign w:val="center"/>
          </w:tcPr>
          <w:p>
            <w:pPr>
              <w:pStyle w:val="单元格样式4"/>
            </w:pPr>
            <w:r>
              <w:t xml:space="preserve">106.40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72.98</w:t>
            </w:r>
          </w:p>
        </w:tc>
        <w:tc>
          <w:tcPr>
            <w:tcW w:w="2551" w:type="dxa"/>
            <w:vAlign w:val="center"/>
          </w:tcPr>
          <w:p>
            <w:pPr>
              <w:pStyle w:val="单元格样式4"/>
            </w:pPr>
            <w:r>
              <w:t xml:space="preserve">72.98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29.81</w:t>
            </w:r>
          </w:p>
        </w:tc>
        <w:tc>
          <w:tcPr>
            <w:tcW w:w="2551" w:type="dxa"/>
            <w:vAlign w:val="center"/>
          </w:tcPr>
          <w:p>
            <w:pPr>
              <w:pStyle w:val="单元格样式4"/>
            </w:pPr>
            <w:r>
              <w:t xml:space="preserve">29.81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30.52</w:t>
            </w:r>
          </w:p>
        </w:tc>
        <w:tc>
          <w:tcPr>
            <w:tcW w:w="2551" w:type="dxa"/>
            <w:vAlign w:val="center"/>
          </w:tcPr>
          <w:p>
            <w:pPr>
              <w:pStyle w:val="单元格样式4"/>
            </w:pPr>
            <w:r>
              <w:t xml:space="preserve">30.52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4.38</w:t>
            </w:r>
          </w:p>
        </w:tc>
        <w:tc>
          <w:tcPr>
            <w:tcW w:w="2551" w:type="dxa"/>
            <w:vAlign w:val="center"/>
          </w:tcPr>
          <w:p>
            <w:pPr>
              <w:pStyle w:val="单元格样式4"/>
            </w:pPr>
            <w:r>
              <w:t xml:space="preserve">4.38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78.89</w:t>
            </w:r>
          </w:p>
        </w:tc>
        <w:tc>
          <w:tcPr>
            <w:tcW w:w="2551" w:type="dxa"/>
            <w:vAlign w:val="center"/>
          </w:tcPr>
          <w:p>
            <w:pPr>
              <w:pStyle w:val="单元格样式4"/>
            </w:pPr>
            <w:r>
              <w:t xml:space="preserve">78.89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129.28</w:t>
            </w:r>
          </w:p>
        </w:tc>
        <w:tc>
          <w:tcPr>
            <w:tcW w:w="2551" w:type="dxa"/>
            <w:vAlign w:val="center"/>
          </w:tcPr>
          <w:p>
            <w:pPr>
              <w:pStyle w:val="单元格样式4"/>
            </w:pPr>
            <w:r>
              <w:t xml:space="preserve">129.28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143.69</w:t>
            </w:r>
          </w:p>
        </w:tc>
        <w:tc>
          <w:tcPr>
            <w:tcW w:w="2551" w:type="dxa"/>
            <w:vAlign w:val="center"/>
          </w:tcPr>
          <w:p>
            <w:pPr>
              <w:pStyle w:val="单元格样式4"/>
            </w:pPr>
          </w:p>
        </w:tc>
        <w:tc>
          <w:tcPr>
            <w:tcW w:w="2551" w:type="dxa"/>
            <w:vAlign w:val="center"/>
          </w:tcPr>
          <w:p>
            <w:pPr>
              <w:pStyle w:val="单元格样式4"/>
            </w:pPr>
            <w:r>
              <w:t xml:space="preserve">143.69</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24.67</w:t>
            </w:r>
          </w:p>
        </w:tc>
        <w:tc>
          <w:tcPr>
            <w:tcW w:w="2551" w:type="dxa"/>
            <w:vAlign w:val="center"/>
          </w:tcPr>
          <w:p>
            <w:pPr>
              <w:pStyle w:val="单元格样式4"/>
            </w:pPr>
          </w:p>
        </w:tc>
        <w:tc>
          <w:tcPr>
            <w:tcW w:w="2551" w:type="dxa"/>
            <w:vAlign w:val="center"/>
          </w:tcPr>
          <w:p>
            <w:pPr>
              <w:pStyle w:val="单元格样式4"/>
            </w:pPr>
            <w:r>
              <w:t xml:space="preserve">24.67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22.00</w:t>
            </w:r>
          </w:p>
        </w:tc>
        <w:tc>
          <w:tcPr>
            <w:tcW w:w="2551" w:type="dxa"/>
            <w:vAlign w:val="center"/>
          </w:tcPr>
          <w:p>
            <w:pPr>
              <w:pStyle w:val="单元格样式4"/>
            </w:pPr>
          </w:p>
        </w:tc>
        <w:tc>
          <w:tcPr>
            <w:tcW w:w="2551" w:type="dxa"/>
            <w:vAlign w:val="center"/>
          </w:tcPr>
          <w:p>
            <w:pPr>
              <w:pStyle w:val="单元格样式4"/>
            </w:pPr>
            <w:r>
              <w:t xml:space="preserve">22.00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15.56</w:t>
            </w:r>
          </w:p>
        </w:tc>
        <w:tc>
          <w:tcPr>
            <w:tcW w:w="2551" w:type="dxa"/>
            <w:vAlign w:val="center"/>
          </w:tcPr>
          <w:p>
            <w:pPr>
              <w:pStyle w:val="单元格样式4"/>
            </w:pPr>
          </w:p>
        </w:tc>
        <w:tc>
          <w:tcPr>
            <w:tcW w:w="2551" w:type="dxa"/>
            <w:vAlign w:val="center"/>
          </w:tcPr>
          <w:p>
            <w:pPr>
              <w:pStyle w:val="单元格样式4"/>
            </w:pPr>
            <w:r>
              <w:t xml:space="preserve">15.56</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6.81</w:t>
            </w:r>
          </w:p>
        </w:tc>
        <w:tc>
          <w:tcPr>
            <w:tcW w:w="2551" w:type="dxa"/>
            <w:vAlign w:val="center"/>
          </w:tcPr>
          <w:p>
            <w:pPr>
              <w:pStyle w:val="单元格样式4"/>
            </w:pPr>
          </w:p>
        </w:tc>
        <w:tc>
          <w:tcPr>
            <w:tcW w:w="2551" w:type="dxa"/>
            <w:vAlign w:val="center"/>
          </w:tcPr>
          <w:p>
            <w:pPr>
              <w:pStyle w:val="单元格样式4"/>
            </w:pPr>
            <w:r>
              <w:t xml:space="preserve">6.81</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5.01</w:t>
            </w:r>
          </w:p>
        </w:tc>
        <w:tc>
          <w:tcPr>
            <w:tcW w:w="2551" w:type="dxa"/>
            <w:vAlign w:val="center"/>
          </w:tcPr>
          <w:p>
            <w:pPr>
              <w:pStyle w:val="单元格样式4"/>
            </w:pPr>
          </w:p>
        </w:tc>
        <w:tc>
          <w:tcPr>
            <w:tcW w:w="2551" w:type="dxa"/>
            <w:vAlign w:val="center"/>
          </w:tcPr>
          <w:p>
            <w:pPr>
              <w:pStyle w:val="单元格样式4"/>
            </w:pPr>
            <w:r>
              <w:t xml:space="preserve">5.01</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5.63</w:t>
            </w:r>
          </w:p>
        </w:tc>
        <w:tc>
          <w:tcPr>
            <w:tcW w:w="2551" w:type="dxa"/>
            <w:vAlign w:val="center"/>
          </w:tcPr>
          <w:p>
            <w:pPr>
              <w:pStyle w:val="单元格样式4"/>
            </w:pPr>
          </w:p>
        </w:tc>
        <w:tc>
          <w:tcPr>
            <w:tcW w:w="2551" w:type="dxa"/>
            <w:vAlign w:val="center"/>
          </w:tcPr>
          <w:p>
            <w:pPr>
              <w:pStyle w:val="单元格样式4"/>
            </w:pPr>
            <w:r>
              <w:t xml:space="preserve">5.63</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28.58</w:t>
            </w:r>
          </w:p>
        </w:tc>
        <w:tc>
          <w:tcPr>
            <w:tcW w:w="2551" w:type="dxa"/>
            <w:vAlign w:val="center"/>
          </w:tcPr>
          <w:p>
            <w:pPr>
              <w:pStyle w:val="单元格样式4"/>
            </w:pPr>
          </w:p>
        </w:tc>
        <w:tc>
          <w:tcPr>
            <w:tcW w:w="2551" w:type="dxa"/>
            <w:vAlign w:val="center"/>
          </w:tcPr>
          <w:p>
            <w:pPr>
              <w:pStyle w:val="单元格样式4"/>
            </w:pPr>
            <w:r>
              <w:t xml:space="preserve">28.58</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12.43</w:t>
            </w:r>
          </w:p>
        </w:tc>
        <w:tc>
          <w:tcPr>
            <w:tcW w:w="2551" w:type="dxa"/>
            <w:vAlign w:val="center"/>
          </w:tcPr>
          <w:p>
            <w:pPr>
              <w:pStyle w:val="单元格样式4"/>
            </w:pPr>
          </w:p>
        </w:tc>
        <w:tc>
          <w:tcPr>
            <w:tcW w:w="2551" w:type="dxa"/>
            <w:vAlign w:val="center"/>
          </w:tcPr>
          <w:p>
            <w:pPr>
              <w:pStyle w:val="单元格样式4"/>
            </w:pPr>
            <w:r>
              <w:t xml:space="preserve">12.43</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59.27</w:t>
            </w:r>
          </w:p>
        </w:tc>
        <w:tc>
          <w:tcPr>
            <w:tcW w:w="2551" w:type="dxa"/>
            <w:vAlign w:val="center"/>
          </w:tcPr>
          <w:p>
            <w:pPr>
              <w:pStyle w:val="单元格样式4"/>
            </w:pPr>
            <w:r>
              <w:t xml:space="preserve">59.27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57.18</w:t>
            </w:r>
          </w:p>
        </w:tc>
        <w:tc>
          <w:tcPr>
            <w:tcW w:w="2551" w:type="dxa"/>
            <w:vAlign w:val="center"/>
          </w:tcPr>
          <w:p>
            <w:pPr>
              <w:pStyle w:val="单元格样式4"/>
            </w:pPr>
            <w:r>
              <w:t xml:space="preserve">57.18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915新乐市木村乡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915新乐市木村乡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915新乐市木村乡</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5.63</w:t>
            </w:r>
          </w:p>
        </w:tc>
        <w:tc>
          <w:tcPr>
            <w:tcW w:w="2381" w:type="dxa"/>
            <w:vAlign w:val="center"/>
          </w:tcPr>
          <w:p>
            <w:pPr>
              <w:pStyle w:val="单元格样式7"/>
            </w:pPr>
            <w:r>
              <w:t xml:space="preserve">5.63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5.63</w:t>
            </w:r>
          </w:p>
        </w:tc>
        <w:tc>
          <w:tcPr>
            <w:tcW w:w="2381" w:type="dxa"/>
            <w:vAlign w:val="center"/>
          </w:tcPr>
          <w:p>
            <w:pPr>
              <w:pStyle w:val="单元格样式4"/>
            </w:pPr>
            <w:r>
              <w:t xml:space="preserve">5.63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5.63</w:t>
            </w:r>
          </w:p>
        </w:tc>
        <w:tc>
          <w:tcPr>
            <w:tcW w:w="2381" w:type="dxa"/>
            <w:vAlign w:val="center"/>
          </w:tcPr>
          <w:p>
            <w:pPr>
              <w:pStyle w:val="单元格样式4"/>
            </w:pPr>
            <w:r>
              <w:t xml:space="preserve">5.63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新乐市木村乡2026年部门预算信息公开情况说明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新乐市木村乡2026年部门预算信息公开情况说明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按照《中华人民共和国预算法》、《地方预决算公开操作规程》和《关于进一步推进预算公开工作的实施意见》规定，现将新乐市木村乡2026年部门预算公开如下：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根据《新乐市木村乡职能配置、内设机构和人员编制规定》， </w:t>
      </w:r>
    </w:p>
    <w:p>
      <w:pPr>
        <w:pStyle w:val="插入文本样式-插入预算公开部门职责文件"/>
      </w:pPr>
      <w:r>
        <w:t xml:space="preserve">新乐市木村乡的主要职责是：</w:t>
      </w:r>
    </w:p>
    <w:p>
      <w:pPr>
        <w:pStyle w:val="插入文本样式-插入预算公开部门职责文件"/>
      </w:pPr>
      <w:r>
        <w:t xml:space="preserve">部门职责：</w:t>
      </w:r>
    </w:p>
    <w:p>
      <w:pPr>
        <w:pStyle w:val="插入文本样式-插入预算公开部门职责文件"/>
      </w:pPr>
      <w:r>
        <w:t xml:space="preserve">（一）党政事务管理</w:t>
      </w:r>
    </w:p>
    <w:p>
      <w:pPr>
        <w:pStyle w:val="插入文本样式-插入预算公开部门职责文件"/>
      </w:pPr>
      <w:r>
        <w:t xml:space="preserve">1.1办公室综合事务,严控会议计划、会议规模和会期，严格会议开支标准，严控活动数量，降低会议和活动费用开支。严格执行接待标准，降低接待费规模。领导满意，批示率高。及时完善网站信息。机关基础设施运转良好。</w:t>
      </w:r>
    </w:p>
    <w:p>
      <w:pPr>
        <w:pStyle w:val="插入文本样式-插入预算公开部门职责文件"/>
      </w:pPr>
      <w:r>
        <w:t xml:space="preserve">1.2人大综合事务,组织召开乡人大代表会议，组织人大代表搞好视察调研活动，组织人大代表评议站所活动。</w:t>
      </w:r>
    </w:p>
    <w:p>
      <w:pPr>
        <w:pStyle w:val="插入文本样式-插入预算公开部门职责文件"/>
      </w:pPr>
      <w:r>
        <w:t xml:space="preserve">1.3纪委综合事务,严肃查处各项违纪违法案件，坚决维护党纪国法尊严。组织协调党风廉政建设和反腐败宣传教育工作。</w:t>
      </w:r>
    </w:p>
    <w:p>
      <w:pPr>
        <w:pStyle w:val="插入文本样式-插入预算公开部门职责文件"/>
      </w:pPr>
      <w:r>
        <w:t xml:space="preserve">1.4党委组织综合事务,持续深入推进作风建设，加强辖区内党（总）支部班子、村（居）两委干部、大学生村官队伍建设，扎实推进基层服务型党组织建设，切实履行管党职责；落实社区党建经费；做好发展党员、党员管理、党员教育培训工作；开展党员志愿服务、党员活动日工作。</w:t>
      </w:r>
    </w:p>
    <w:p>
      <w:pPr>
        <w:pStyle w:val="插入文本样式-插入预算公开部门职责文件"/>
      </w:pPr>
      <w:r>
        <w:t xml:space="preserve">1.5宣传综合事务,做好对国家政策的宣传工作。全年完成工作份额。推动全乡基层群众文化艺术健康发展。</w:t>
      </w:r>
    </w:p>
    <w:p>
      <w:pPr>
        <w:pStyle w:val="插入文本样式-插入预算公开部门职责文件"/>
      </w:pPr>
      <w:r>
        <w:t xml:space="preserve">1.6妇联综合事务,完成上级交办的各项任务目标，加强文明生态村建设，提高妇女素质。利用“三八”维权周活动并加强日常法律、法规的宣传，提高妇女儿童的维权意识和维权能力，积极维护妇女儿童的合法权益。不断提高妇联组织自身建设，提升妇女干部服务妇女的能力和水平，保障妇女维权，妇女事业有序发展。</w:t>
      </w:r>
    </w:p>
    <w:p>
      <w:pPr>
        <w:pStyle w:val="插入文本样式-插入预算公开部门职责文件"/>
      </w:pPr>
      <w:r>
        <w:t xml:space="preserve">1.7工会综合事务,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pPr>
        <w:pStyle w:val="插入文本样式-插入预算公开部门职责文件"/>
      </w:pPr>
      <w:r>
        <w:t xml:space="preserve">1.8共青团综合事务,依托党建带团建做好推优入党工作，开展学雷锋日活动，帮扶孤寡老人，慰问困难学生，组织青年开展文体活动。</w:t>
      </w:r>
    </w:p>
    <w:p>
      <w:pPr>
        <w:pStyle w:val="插入文本样式-插入预算公开部门职责文件"/>
      </w:pPr>
      <w:r>
        <w:t xml:space="preserve">（二）经济发展事务管理</w:t>
      </w:r>
    </w:p>
    <w:p>
      <w:pPr>
        <w:pStyle w:val="插入文本样式-插入预算公开部门职责文件"/>
      </w:pPr>
      <w:r>
        <w:t xml:space="preserve">2.1项目管理综合事务,配合土地局查处土地违法行为。</w:t>
      </w:r>
    </w:p>
    <w:p>
      <w:pPr>
        <w:pStyle w:val="插入文本样式-插入预算公开部门职责文件"/>
      </w:pPr>
      <w:r>
        <w:t xml:space="preserve">2.2财务管理综合事务,编制乡年度财政预决算、管理和监督乡各项财政收支、协调完成税收征管任务、管理专项资金、国有资产转让管理、产权登记等工作。</w:t>
      </w:r>
    </w:p>
    <w:p>
      <w:pPr>
        <w:pStyle w:val="插入文本样式-插入预算公开部门职责文件"/>
      </w:pPr>
      <w:r>
        <w:t xml:space="preserve">2.3农业综合管理事务,做好畜禽普查、对养殖户定期发放疫苗和消毒液。确保不发生重大农产品质量安全事件，宣传农业技术，指导农业生产，宣传农技补贴政策。</w:t>
      </w:r>
    </w:p>
    <w:p>
      <w:pPr>
        <w:pStyle w:val="插入文本样式-插入预算公开部门职责文件"/>
      </w:pPr>
      <w:r>
        <w:t xml:space="preserve">2.4统计综合事务,分年度完成普查工作，确保普查的顺利完成。组织开展专项统计调查工作，了解基层情况和动态提供统计信息和咨询意见。保证统计数据的顺利报送。</w:t>
      </w:r>
    </w:p>
    <w:p>
      <w:pPr>
        <w:pStyle w:val="插入文本样式-插入预算公开部门职责文件"/>
      </w:pPr>
      <w:r>
        <w:t xml:space="preserve">2.5农村集体经济管理事务,对农村集体经济组织的经营活动进行指导、检查、监督、对村干部及时进行离任审计，农村财务人员和审计人员培训、股份制改革、村务公开。</w:t>
      </w:r>
    </w:p>
    <w:p>
      <w:pPr>
        <w:pStyle w:val="插入文本样式-插入预算公开部门职责文件"/>
      </w:pPr>
      <w:r>
        <w:t xml:space="preserve">（三）计划生育事务管理</w:t>
      </w:r>
    </w:p>
    <w:p>
      <w:pPr>
        <w:pStyle w:val="插入文本样式-插入预算公开部门职责文件"/>
      </w:pPr>
      <w:r>
        <w:t xml:space="preserve">3.1计划生育事务管理，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已婚育龄妇女生殖健康检查及普查工作，做好孕前优生检测指导。</w:t>
      </w:r>
    </w:p>
    <w:p>
      <w:pPr>
        <w:pStyle w:val="插入文本样式-插入预算公开部门职责文件"/>
      </w:pPr>
      <w:r>
        <w:t xml:space="preserve">（四）社会事务管理</w:t>
      </w:r>
    </w:p>
    <w:p>
      <w:pPr>
        <w:pStyle w:val="插入文本样式-插入预算公开部门职责文件"/>
      </w:pPr>
      <w:r>
        <w:t xml:space="preserve">4.1民政综合事务,低保每年进行复审复核做到应保尽保，对困难群众做好救助，救灾，慰问困难群众。及时上报优抚对象资金，慰问优抚对象，拥军拥属。做好残疾人摸排，档案整理，助残日发放材料，办理公交爱心卡。做好教徒维稳摸排工作。做好村委会换届选举工作，敬老院管理工作。</w:t>
      </w:r>
    </w:p>
    <w:p>
      <w:pPr>
        <w:pStyle w:val="插入文本样式-插入预算公开部门职责文件"/>
      </w:pPr>
      <w:r>
        <w:t xml:space="preserve">4.2武装综合事务,民兵组织建设、政治教育、军事训练及武器装备管理，防汛物资抢险救灾，征兵工作，国防教育，军事设施保护。</w:t>
      </w:r>
    </w:p>
    <w:p>
      <w:pPr>
        <w:pStyle w:val="插入文本样式-插入预算公开部门职责文件"/>
      </w:pPr>
      <w:r>
        <w:t xml:space="preserve">4.3食品安全综合事务,确保我乡食品安全，不出现重大事故。提升食品安全监管水平。协调乡村联动，对突发事件处置及时并在全乡开展食品药品安全考评。代发放食品安全协管员工资奖金。</w:t>
      </w:r>
    </w:p>
    <w:p>
      <w:pPr>
        <w:pStyle w:val="插入文本样式-插入预算公开部门职责文件"/>
      </w:pPr>
      <w:r>
        <w:t xml:space="preserve">4.4城市管理综合事务,贯彻有关城市法律、法规和规章制度，制定辖区内城市管理工作计划并实施。负责辖区内背街小巷和居民区的环境卫生“门前三包”；查处露天烧烤摊点的管理工作。对辖区内各村环境卫生工作监督检查；各村建立卫生保洁队伍，建立规章制度。负责机关和下属单位开展爱国卫生运动。组织开展八方村经济林管护工作。</w:t>
      </w:r>
    </w:p>
    <w:p>
      <w:pPr>
        <w:pStyle w:val="插入文本样式-插入预算公开部门职责文件"/>
      </w:pPr>
      <w:r>
        <w:t xml:space="preserve">（五）社会治安综合治理事务管理</w:t>
      </w:r>
    </w:p>
    <w:p>
      <w:pPr>
        <w:pStyle w:val="插入文本样式-插入预算公开部门职责文件"/>
      </w:pPr>
      <w:r>
        <w:t xml:space="preserve">5.1综合治理事务,实现全乡经济社会发展、安全、安定、推进网格化管理，进一步健全立体化社会治安防控体系。就地化解矛盾，做到小事不出村，大事不出乡。反邪教宣传、应急处置防止小事端引发大事件。</w:t>
      </w:r>
    </w:p>
    <w:p>
      <w:pPr>
        <w:pStyle w:val="插入文本样式-插入预算公开部门职责文件"/>
      </w:pPr>
      <w:r>
        <w:t xml:space="preserve">5.2信访维稳,受理来信，接待来访，为信访人提供服务。敏感时期对重点信访人稳控。进京、赴省、到市值班。</w:t>
      </w:r>
    </w:p>
    <w:p>
      <w:pPr>
        <w:pStyle w:val="插入文本样式-插入预算公开部门职责文件"/>
      </w:pPr>
      <w:r>
        <w:t xml:space="preserve">5.3司法综合事务,严格执行社区矫正相关法规，确保不出现脱管、漏管。法制宣传教育进学校、进社区、进机关、进厂矿。有法律服务机构、落实法律援助政策村有完善的调解机构和调解员。</w:t>
      </w:r>
    </w:p>
    <w:p>
      <w:pPr>
        <w:pStyle w:val="插入文本样式-插入预算公开部门职责文件"/>
      </w:pPr>
      <w:r>
        <w:t xml:space="preserve">（六）劳动保障服务事务</w:t>
      </w:r>
    </w:p>
    <w:p>
      <w:pPr>
        <w:pStyle w:val="插入文本样式-插入预算公开部门职责文件"/>
      </w:pPr>
      <w:r>
        <w:t xml:space="preserve">6.1劳动保障，促进就业工作，健全公共就业服务体系。完善城乡居民养老保险政策。企业退休人员管理。社保补贴，就业困难认定。落实调解仲裁制度和劳动关系政策，特殊劳动保护政策，组织实施劳动监察，协调劳动者维权工作。</w:t>
      </w:r>
    </w:p>
    <w:p>
      <w:pPr>
        <w:pStyle w:val="插入文本样式-插入预算公开部门职责文件"/>
      </w:pPr>
      <w:r>
        <w:t xml:space="preserve">6.2安全监察事务,不发生较大以上生产安全事故，严格控制一般生产安全事故，不发生死亡生产安全事故.对全乡的污染源实施全方位监控和治理，切配合市环保部门做好其它环境保护工作。</w:t>
      </w:r>
    </w:p>
    <w:p>
      <w:pPr>
        <w:pStyle w:val="插入文本样式-插入预算公开部门职责文件"/>
      </w:pPr>
      <w:r>
        <w:t xml:space="preserve">（七）文化卫生服务事务</w:t>
      </w:r>
    </w:p>
    <w:p>
      <w:pPr>
        <w:pStyle w:val="插入文本样式-插入预算公开部门职责文件"/>
      </w:pPr>
      <w:r>
        <w:t xml:space="preserve">7.1科普宣传事务,完善科普阵地，提高群众科普知识意识、利用展牌、条幅、宣传单、群众演出等各种形式，开展科普知识宣传。</w:t>
      </w:r>
    </w:p>
    <w:p>
      <w:pPr>
        <w:pStyle w:val="插入文本样式-插入预算公开部门职责文件"/>
      </w:pPr>
      <w:r>
        <w:t xml:space="preserve">7.2文体活动,加强全乡基层文化队伍建设、提高群众体育运动水平。</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新乐市木村乡人民政府本级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按照预算管理有关规定，目前部门预算的编制实行综合预算管理，即全部收入和支出都反映在预算中。新乐市木村乡机关及所属事业单位的收支包含在部门预算中。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1518.67万元，其中：一般公共预算收入1518.67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木村乡年度部门预算中支出预算的总体情况。2026年支出预算1518.67万元，其中基本支出1116.69万元，包括人员经费972.00万元和日常公用经费144.69万元；项目支出401.98万元，主要为村级组织运转经费138.24万元，乡村振兴、农村人居环境整治资金80.6万元，占补平衡资金24.4万元，机关事务管理运行保障经费75万元，2026年革命老区转移支付预算（木村乡中同村道路硬化项目）经费70万元，2026年中央支持地方公共文化服务体系建设补助资金-一般和绩效8万元，2026年中央支持地方公共文化服务体系建设补助资金-三馆站免费开放3万元，公共文化设施免费开放（乡镇文化站）1.5万元，2026年中央大气污染防治资金（用于农村地区气代煤电代煤改造任务运行补助）0.74万元，2026年省级基层三馆一站免费开放运行保障经费-三馆站免费开放0.5万元；预计下年使用的单位资金结余0.00万元。委托业务费共计安排4.00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1518.67万元，较2025年预算减少22.33万元，其中：基本支出增加50.53万元，主要为人员经费增加；项目支出减少72.86万元，主要为乡村振兴、人居环境整治等经费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2026年，我部门机关运行经费共计安排144.69万元，主要用于日常维修、办公用房水电费、办公用房取暖费、办公用房物业管理费等日常运行支出。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5.63万元，其中因公出国（境）费0.00万元；公务用车购置及运维费5.63万元（其中：公务用车购置费为0.00万元，公务用车运维费5.63万元)；公务接待费0.00万元。与2025年相比减少0.17万元，增减变化的主要原因是公务用车运行维护费压减。</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1、把学习和宣传党的十九大精神作为首要的政治任务。号召全乡党员干部开展丰富多彩的学习活动，同时结合本职工作，带着问题、带着思考学习。组织开展“中心理论组学习”、记好学习笔记。</w:t>
      </w:r>
    </w:p>
    <w:p>
      <w:pPr>
        <w:pStyle w:val="插入文本样式-插入总体目标文件"/>
      </w:pPr>
      <w:r>
        <w:t xml:space="preserve">2、抓好党支部的建设。通过抓班子、带队伍，营造良好的民风。推动“两学一做”学习教育常态化制度化。坚持用党章党规规范党组织和党员行为，用习近平总书记系列重要讲话精神武装头脑、指导实践、推动工作。狠抓党性、党风、党纪教育和廉政警示教育，教育每名党员做到抗腐蚀、拒诱惑、守清廉。充分利用“三会一课”有效地与各支部中心工作的开展有机结合起来，相互渗透、相互促进，起到良好的效果。</w:t>
      </w:r>
    </w:p>
    <w:p>
      <w:pPr>
        <w:pStyle w:val="插入文本样式-插入总体目标文件"/>
      </w:pPr>
      <w:r>
        <w:t xml:space="preserve">3、抓好信访稳定的工作。我乡退伍军人多、上访人数多，新的矛盾隐患层出不穷，尽可能在确保稳定的前提下开展各种工作。一是充分发挥防保会、农村党员、村民代表等治安骨干的作用，形成群防群治网络和格局，尽可能将矛盾化解在乡村。二是重点抓好对因征地拆迁、项目建设、建房纠纷等历史遗留问题形成的信访积案和老信访户有关诉求的化解工作，完成“双百日攻坚”活动。三是加强社会治安综合治理，特别是涉军和非法集资等重点突出问题，确保全乡治安稳定，群众生活安居乐业。</w:t>
      </w:r>
    </w:p>
    <w:p>
      <w:pPr>
        <w:pStyle w:val="插入文本样式-插入总体目标文件"/>
      </w:pPr>
      <w:r>
        <w:t xml:space="preserve">4、抓好经常性的拆违工作。努力把违法占地消除在萌芽状态。</w:t>
      </w:r>
    </w:p>
    <w:p>
      <w:pPr>
        <w:pStyle w:val="插入文本样式-插入总体目标文件"/>
      </w:pPr>
      <w:r>
        <w:t xml:space="preserve">5、抓好大气污染防治工作。2026年，继续将环保作为我乡主要工作来抓，实行大气污染防治网格化管理，深入推进大气污染治理。通过实施散煤回收、散煤管控、气代煤、电代煤、推广分户式壁挂炉等治理措施，进一步提升空气质量。认真做好三夏、三秋安全防火工作。抓好“散乱污”企业治理，严防已关停企业“死灰复燃”。设立环保专干，负责环境保护工作方面的督促检查和协调工作，制定各项规章制度和措施，建立环保工作长效机制。</w:t>
      </w:r>
    </w:p>
    <w:p>
      <w:pPr>
        <w:pStyle w:val="插入文本样式-插入总体目标文件"/>
      </w:pPr>
      <w:r>
        <w:t xml:space="preserve">6、做好保障改善民生工作。做好城乡居民养老保险和医疗保险新参保人员的参保工作。继续做好低保工作，推进医疗救助服务，对大病的优抚对象、低保户及困难家庭持续提供救助服务，减轻困难家庭的经济负担。做好残疾人的帮扶救助工作，强化重残人员生活补贴、护理补贴发放的动态管理。加强与评估机构的沟通，对于重度失能老人、90周岁高龄老人、低保老人及失独老人随时提供政府购买养老服务，快速享受服务。</w:t>
      </w:r>
    </w:p>
    <w:p>
      <w:pPr>
        <w:pStyle w:val="插入文本样式-插入总体目标文件"/>
      </w:pPr>
      <w:r>
        <w:t xml:space="preserve">7、提升卫生计生服务水平。开展“关爱女孩”活动，做好性别比综合治理。以全国流动人口信息平台和人口文化活动为工作载体,以查验流动人口《婚育证明》为主线,为流动人口提供全方位优质服务。做好2026年奖励扶助、特别扶助、关怀扶助摸底、审核、上报工作。协助卫生院做好0-6岁儿童保健及预防工作及65岁以上重点人群高血压、糖尿病人群摸底上报工作。</w:t>
      </w:r>
    </w:p>
    <w:p>
      <w:pPr>
        <w:pStyle w:val="插入文本样式-插入总体目标文件"/>
      </w:pPr>
      <w:r>
        <w:t xml:space="preserve">8、加强城市环境综合治理。积极配合市主管部门、市综合执法大队以及市考评办数字化城市管理工作。大力气整治乱堆乱放、乱张贴、发放小广告、乱设广告牌匾、乱涂乱画等现象。继续保持对辖区内占道经营、私搭乱建、乱倒渣土的查处力度。做好各村环境卫生整治工作，加强街道的清扫保洁，做到垃圾日产日清。</w:t>
      </w:r>
    </w:p>
    <w:p>
      <w:pPr>
        <w:pStyle w:val="插入文本样式-插入总体目标文件"/>
      </w:pPr>
      <w:r>
        <w:t xml:space="preserve">9、加强食品安全监管。扎实开展食品安全专项检查行动，加强对重点环节、重点区域、重点品种和重点对象的监督。开展形式多样的食品安全宣传教育活动，普及食品安全法律法规和食品安全常识。</w:t>
      </w:r>
    </w:p>
    <w:p>
      <w:pPr>
        <w:pStyle w:val="插入文本样式-插入总体目标文件"/>
      </w:pPr>
      <w:r>
        <w:t xml:space="preserve">10、防范安全生产事故。认真贯彻上级安全生产工作文件精神和下达的各项安全任务指标。认真开展对危险化学品、粉尘防爆、建筑施工、烟花爆竹、人员密集场所等专项检查，督促企业制定各项事故救援应急预案，督促企业单位定期开展应急救援演练活动。每月召开一次安全生产工作例会。加强安全生产宣传教育和培训工作，营造安全氛围。做好职业病防治工作。</w:t>
      </w:r>
    </w:p>
    <w:p>
      <w:pPr>
        <w:pStyle w:val="插入文本样式-插入总体目标文件"/>
      </w:pPr>
      <w:r>
        <w:t xml:space="preserve">2026年，在市委、市政府的正确领导和精心指导下，我乡党委、政府将认真贯彻落实上级部署，扎实开展各项工作，深入贯彻落实习近平新时代中国特色社会主义思想，全力以赴抓好各项工作，确保完成全年任务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1、提高村级组织运转经费保障，落实村组织工作经费。</w:t>
      </w:r>
    </w:p>
    <w:p>
      <w:pPr>
        <w:pStyle w:val="插入文本样式-插入职责分类绩效目标文件"/>
      </w:pPr>
      <w:r>
        <w:t xml:space="preserve">绩效目标：村级组织运转正常，村内工作稳定。</w:t>
      </w:r>
    </w:p>
    <w:p>
      <w:pPr>
        <w:pStyle w:val="插入文本样式-插入职责分类绩效目标文件"/>
      </w:pPr>
      <w:r>
        <w:t xml:space="preserve">绩效指标：村内工作稳定完成率≥95%</w:t>
      </w:r>
    </w:p>
    <w:p>
      <w:pPr>
        <w:pStyle w:val="插入文本样式-插入职责分类绩效目标文件"/>
      </w:pPr>
      <w:r>
        <w:t xml:space="preserve">2、加快农村基础设施建设改善农村环境。</w:t>
      </w:r>
    </w:p>
    <w:p>
      <w:pPr>
        <w:pStyle w:val="插入文本样式-插入职责分类绩效目标文件"/>
      </w:pPr>
      <w:r>
        <w:t xml:space="preserve">绩效目标：改善落后状况，提高人民的生活水平，改善群众出行难得问题。</w:t>
      </w:r>
    </w:p>
    <w:p>
      <w:pPr>
        <w:pStyle w:val="插入文本样式-插入职责分类绩效目标文件"/>
      </w:pPr>
      <w:r>
        <w:t xml:space="preserve">绩效指标：道路修建项目按时完成率≥95%</w:t>
      </w:r>
    </w:p>
    <w:p>
      <w:pPr>
        <w:pStyle w:val="插入文本样式-插入职责分类绩效目标文件"/>
      </w:pPr>
      <w:r>
        <w:t xml:space="preserve">3、开展党风党纪教育，加强党内监督。</w:t>
      </w:r>
    </w:p>
    <w:p>
      <w:pPr>
        <w:pStyle w:val="插入文本样式-插入职责分类绩效目标文件"/>
      </w:pPr>
      <w:r>
        <w:t xml:space="preserve">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插入文本样式-插入职责分类绩效目标文件"/>
      </w:pPr>
      <w:r>
        <w:t xml:space="preserve">绩效指标：廉政教育与党内监督工作完成率95%以上。</w:t>
      </w:r>
    </w:p>
    <w:p>
      <w:pPr>
        <w:pStyle w:val="插入文本样式-插入职责分类绩效目标文件"/>
      </w:pPr>
      <w:r>
        <w:t xml:space="preserve">4、协调机关综合事务和乡镇综合业务，强化社会管理和公共服务，完成上级交办的各项任务。</w:t>
      </w:r>
    </w:p>
    <w:p>
      <w:pPr>
        <w:pStyle w:val="插入文本样式-插入职责分类绩效目标文件"/>
      </w:pPr>
      <w:r>
        <w:t xml:space="preserve">绩效目标：改善硬件、软件水平，加强队伍和教育建设，加快信息化建设，保障机关工作正常高效运转，确保各项业务工作谋划到位、顺利开展。</w:t>
      </w:r>
    </w:p>
    <w:p>
      <w:pPr>
        <w:pStyle w:val="插入文本样式-插入职责分类绩效目标文件"/>
      </w:pPr>
      <w:r>
        <w:t xml:space="preserve">绩效指标：公共服务工作完成率90%以上。</w:t>
      </w:r>
    </w:p>
    <w:p>
      <w:pPr>
        <w:pStyle w:val="插入文本样式-插入职责分类绩效目标文件"/>
      </w:pPr>
      <w:r>
        <w:t xml:space="preserve">5、乡镇的信息化建设和维护，平稳推进信访工作和新闻宣传工作。</w:t>
      </w:r>
    </w:p>
    <w:p>
      <w:pPr>
        <w:pStyle w:val="插入文本样式-插入职责分类绩效目标文件"/>
      </w:pPr>
      <w:r>
        <w:t xml:space="preserve">绩效目标：确保新闻宣传工作正常开展，信息系统运行正常，机关基础设施运转良好，信访工作平稳。机关文书档案印信管理和保密，机关人事、离退休人员服务、基建、后勤服务。</w:t>
      </w:r>
    </w:p>
    <w:p>
      <w:pPr>
        <w:pStyle w:val="插入文本样式-插入职责分类绩效目标文件"/>
      </w:pPr>
      <w:r>
        <w:t xml:space="preserve">绩效指标：综合事务管理工作完成率90%以上。</w:t>
      </w:r>
    </w:p>
    <w:p>
      <w:pPr>
        <w:pStyle w:val="插入文本样式-插入职责分类绩效目标文件"/>
      </w:pPr>
      <w:r>
        <w:t xml:space="preserve">6、按照统筹城乡发展的要求，组织实施农村面貌改造提升行动，加快社会主义新农村建设。</w:t>
      </w:r>
    </w:p>
    <w:p>
      <w:pPr>
        <w:pStyle w:val="插入文本样式-插入职责分类绩效目标文件"/>
      </w:pPr>
      <w:r>
        <w:t xml:space="preserve">绩效目标：通过实施农村面貌改造提升行动，加快农村基础设施建设，改善农村环境面貌，提升农民生产生活条件。</w:t>
      </w:r>
    </w:p>
    <w:p>
      <w:pPr>
        <w:pStyle w:val="插入文本样式-插入职责分类绩效目标文件"/>
      </w:pPr>
      <w:r>
        <w:t xml:space="preserve">绩效指标：改造提升完成率90%以上。</w:t>
      </w:r>
    </w:p>
    <w:p>
      <w:pPr>
        <w:pStyle w:val="插入文本样式-插入职责分类绩效目标文件"/>
      </w:pPr>
      <w:r>
        <w:t xml:space="preserve">7、按照可持续发展和建设生态农业的要求，保护农业资源，改善和保护农村环境。</w:t>
      </w:r>
    </w:p>
    <w:p>
      <w:pPr>
        <w:pStyle w:val="插入文本样式-插入职责分类绩效目标文件"/>
      </w:pPr>
      <w:r>
        <w:t xml:space="preserve">绩效目标：组织开展农业统计，监测分析农业和农村经济运行，发布农业和农村经济信息，建设农业信息管理体系，指导农业信息服务。按照国家、省部署，组织开展职业教育和新型职业农民教育培训。</w:t>
      </w:r>
    </w:p>
    <w:p>
      <w:pPr>
        <w:pStyle w:val="插入文本样式-插入职责分类绩效目标文件"/>
      </w:pPr>
      <w:r>
        <w:t xml:space="preserve">绩效指标：持续清理垃圾、治理污水、推进亮化工程，向社会主义新农村进一步迈进。</w:t>
      </w:r>
    </w:p>
    <w:p>
      <w:pPr>
        <w:pStyle w:val="插入文本样式-插入职责分类绩效目标文件"/>
      </w:pPr>
      <w:r>
        <w:t xml:space="preserve">8、严格执行财政法与财经制度，管理乡镇财政收入和支出，编制预算，合理配置财政资源。</w:t>
      </w:r>
    </w:p>
    <w:p>
      <w:pPr>
        <w:pStyle w:val="插入文本样式-插入职责分类绩效目标文件"/>
      </w:pPr>
      <w:r>
        <w:t xml:space="preserve">绩效目标：贯彻国家税收政策，负责制定财政和预算收入计划，管理和监督各项财政收入；管理财政票据；研究制定完善的预算政策体系，提高预算管理的科学化水平。</w:t>
      </w:r>
    </w:p>
    <w:p>
      <w:pPr>
        <w:pStyle w:val="插入文本样式-插入职责分类绩效目标文件"/>
      </w:pPr>
      <w:r>
        <w:t xml:space="preserve">绩效指标：按时、按量、按质保证各项经费的发放，保障乡镇各项工作的正常运转。</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（一）党政事务管理</w:t>
      </w:r>
    </w:p>
    <w:p>
      <w:pPr>
        <w:pStyle w:val="插入文本样式-插入实现年度发展规划目标的保障措施文件"/>
      </w:pPr>
      <w:r>
        <w:t xml:space="preserve">1.1办公室综合事务</w:t>
      </w:r>
    </w:p>
    <w:p>
      <w:pPr>
        <w:pStyle w:val="插入文本样式-插入实现年度发展规划目标的保障措施文件"/>
      </w:pPr>
      <w:r>
        <w:t xml:space="preserve">1、定期对办公楼基础设施、安全设施进行检查，维护良好的办公环境。</w:t>
      </w:r>
    </w:p>
    <w:p>
      <w:pPr>
        <w:pStyle w:val="插入文本样式-插入实现年度发展规划目标的保障措施文件"/>
      </w:pPr>
      <w:r>
        <w:t xml:space="preserve">2、对办公用品的发放使用进行登记留档，杜绝浪费。</w:t>
      </w:r>
    </w:p>
    <w:p>
      <w:pPr>
        <w:pStyle w:val="插入文本样式-插入实现年度发展规划目标的保障措施文件"/>
      </w:pPr>
      <w:r>
        <w:t xml:space="preserve">3、以重点工作为中心搞好各部门之间的协调，做好服务保障工作。</w:t>
      </w:r>
    </w:p>
    <w:p>
      <w:pPr>
        <w:pStyle w:val="插入文本样式-插入实现年度发展规划目标的保障措施文件"/>
      </w:pPr>
      <w:r>
        <w:t xml:space="preserve">4、指定专人负责各类文件的收发传递和处理，确保政令畅通。</w:t>
      </w:r>
    </w:p>
    <w:p>
      <w:pPr>
        <w:pStyle w:val="插入文本样式-插入实现年度发展规划目标的保障措施文件"/>
      </w:pPr>
      <w:r>
        <w:t xml:space="preserve">5、修订完善考勤、休假、值班、车辆派遣制度，严格按照程序办理各种手续并留档，每日检查考勤记录，每周进行汇总，每月进行通报。</w:t>
      </w:r>
    </w:p>
    <w:p>
      <w:pPr>
        <w:pStyle w:val="插入文本样式-插入实现年度发展规划目标的保障措施文件"/>
      </w:pPr>
      <w:r>
        <w:t xml:space="preserve">1.2人大综合事务-组织召开本级人代会、财政预决算、人事任免；主席团会、人大调研、代表之家建设。-组织召开乡人大代表会议，组织人大代表搞好视察调研活动，组织人大代表评议站所活动-召开人大会</w:t>
      </w:r>
    </w:p>
    <w:p>
      <w:pPr>
        <w:pStyle w:val="插入文本样式-插入实现年度发展规划目标的保障措施文件"/>
      </w:pPr>
      <w:r>
        <w:t xml:space="preserve">1.3纪委综合事务-对有关对象违反党纪政纪和违纪违法行为进行调查处理，组织协调案件查办工作，组织协调党风廉政建设和反腐败宣传教育工作。严肃查处各项违纪违法案件，坚决维护党纪国法尊严。组织协调党风廉政建设和反腐败宣传教育工作。组织反腐宣传教育活动。每年四次培训。</w:t>
      </w:r>
    </w:p>
    <w:p>
      <w:pPr>
        <w:pStyle w:val="插入文本样式-插入实现年度发展规划目标的保障措施文件"/>
      </w:pPr>
      <w:r>
        <w:t xml:space="preserve">1.4党委组织综合事务负责全乡思想作风建设；全面负责基层党组织建设和党员教育及管理工作；指导基层党支部，做好发展党员工作；对农村“两委”干部、机关干部进行考核、管理，不定期培训；组织开展各种形式的党员主题实践活动及党员活动日。持续深入推进作风建设，加强辖区内党支部班子、村（居）两委干部、大学生村官队伍建设，扎实推进基层服务型党组织建设，切实履行管党职责；落实社区党建经费；做好发展党员、党员管理、党员教育培训工作；开展党员志愿服务、党员活动日工作农村、社区党组织换届率。对村干部进行月考核、年审查，保证村干部、离任干部工资福利待遇按时发放。同时加强大学生村官管理和考核，保证大学生村官工资等福利待遇按时发放。按指标开展“两先一优”评选活动。组织党员开展上党课、赴爱国主义教育基地参观学习等多种形式的党员活动1-3次及以上。严格落实“三会一课”制度，定期组织党员培训学习4次及以上。加大现代远程教育覆盖率。</w:t>
      </w:r>
    </w:p>
    <w:p>
      <w:pPr>
        <w:pStyle w:val="插入文本样式-插入实现年度发展规划目标的保障措施文件"/>
      </w:pPr>
      <w:r>
        <w:t xml:space="preserve">1.5宣传综合事务做好对国家政策的宣传工作，完成各村，各单位党报党刊征订。构建现代公共文化服务体系，推动基层群众文化艺术健康发展。做好对国家政策的宣传工作。全年完成工作份额。推动全乡基层群众文化艺术健康发展。保证各类报纸征订完成，组织系列文化活动，做好对国家政策的宣传。</w:t>
      </w:r>
    </w:p>
    <w:p>
      <w:pPr>
        <w:pStyle w:val="插入文本样式-插入实现年度发展规划目标的保障措施文件"/>
      </w:pPr>
      <w:r>
        <w:t xml:space="preserve">1.6妇联综合事务团结动员全乡妇女参加经济社会建设，加强法律、法规宣传，维护妇女儿童合法权益促进妇女儿童发展。提高妇女组织综合业务管理，提高妇联干部自身素质，为妇联事业发展提供有力保障-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加强法律法规宣传，不断掌握新知识，开拓新思路，更好的开展妇女工作，促进社会和谐稳定。</w:t>
      </w:r>
    </w:p>
    <w:p>
      <w:pPr>
        <w:pStyle w:val="插入文本样式-插入实现年度发展规划目标的保障措施文件"/>
      </w:pPr>
      <w:r>
        <w:t xml:space="preserve">1.7工会综合事务本单位的民主管理、民主监督协商解决涉及职工切身利益的问题组织职工开展劳动竞赛、工作创新和团体协作活动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pPr>
        <w:pStyle w:val="插入文本样式-插入实现年度发展规划目标的保障措施文件"/>
      </w:pPr>
      <w:r>
        <w:t xml:space="preserve">1.8共青团综合事务加强团组织建设工作，开展青年志愿活动，青年文体活动依托党建带团建做好推优入党工作，开展学雷锋日活动，帮扶孤寡老人，慰问困难学生，组织青年开展文体活动-组织建设和宣传教育。</w:t>
      </w:r>
    </w:p>
    <w:p>
      <w:pPr>
        <w:pStyle w:val="插入文本样式-插入实现年度发展规划目标的保障措施文件"/>
      </w:pPr>
      <w:r>
        <w:t xml:space="preserve">（二）经济发展事务管理</w:t>
      </w:r>
    </w:p>
    <w:p>
      <w:pPr>
        <w:pStyle w:val="插入文本样式-插入实现年度发展规划目标的保障措施文件"/>
      </w:pPr>
      <w:r>
        <w:t xml:space="preserve">2.1项目管理综合事务配合土地局查处土地违法行为</w:t>
      </w:r>
    </w:p>
    <w:p>
      <w:pPr>
        <w:pStyle w:val="插入文本样式-插入实现年度发展规划目标的保障措施文件"/>
      </w:pPr>
      <w:r>
        <w:t xml:space="preserve">2.2财务管理综合事务编制年度预决算，并严格按照年度预算进行开支。</w:t>
      </w:r>
    </w:p>
    <w:p>
      <w:pPr>
        <w:pStyle w:val="插入文本样式-插入实现年度发展规划目标的保障措施文件"/>
      </w:pPr>
      <w:r>
        <w:t xml:space="preserve">对国有资产进行管理，保证国有资产不流失。严格按照公务用车制度进行管理</w:t>
      </w:r>
    </w:p>
    <w:p>
      <w:pPr>
        <w:pStyle w:val="插入文本样式-插入实现年度发展规划目标的保障措施文件"/>
      </w:pPr>
      <w:r>
        <w:t xml:space="preserve">强化税源控制，促进财政收入增长。保证全乡机关事业单位人员工资，保险，津补贴等各项制度的落实。保证各项惠农资金按时发放到位。加强各项资金管理工作，确保资金有效使用。</w:t>
      </w:r>
    </w:p>
    <w:p>
      <w:pPr>
        <w:pStyle w:val="插入文本样式-插入实现年度发展规划目标的保障措施文件"/>
      </w:pPr>
      <w:r>
        <w:t xml:space="preserve">2.3农业综合管理事务</w:t>
      </w:r>
    </w:p>
    <w:p>
      <w:pPr>
        <w:pStyle w:val="插入文本样式-插入实现年度发展规划目标的保障措施文件"/>
      </w:pPr>
      <w:r>
        <w:t xml:space="preserve">建立农业、农资检验检测体系---协助购机户办理购机补贴。</w:t>
      </w:r>
    </w:p>
    <w:p>
      <w:pPr>
        <w:pStyle w:val="插入文本样式-插入实现年度发展规划目标的保障措施文件"/>
      </w:pPr>
      <w:r>
        <w:t xml:space="preserve">2.4统计综合事务-组织完成国家部署的国情国力普查及重要调查任务,根据部门职责及《中华人民共和国统计法》和国家统计局、县政府有关文件要求，组织实施涉及相关行业数据的专项统计调查。指导全乡统计信息化系统建设。组织全乡各企业实施以企业一套表制度为核心的统计四大工程。分年度完成普查工作，确保普查的顺利完成。组织开展专项统计调查工作，了解基层情况和动态提供统计信息和咨询意见。保证统计数据的顺利报送。</w:t>
      </w:r>
    </w:p>
    <w:p>
      <w:pPr>
        <w:pStyle w:val="插入文本样式-插入实现年度发展规划目标的保障措施文件"/>
      </w:pPr>
      <w:r>
        <w:t xml:space="preserve">2.5农村集体经济管理事务-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要求财务每月公开，村务每季度公开。</w:t>
      </w:r>
    </w:p>
    <w:p>
      <w:pPr>
        <w:pStyle w:val="插入文本样式-插入实现年度发展规划目标的保障措施文件"/>
      </w:pPr>
      <w:r>
        <w:t xml:space="preserve">（三）计划生育事务管理负责宣传贯彻党的计划生育方针、政策，推行计划生育控制人口增长，负责乡村计划生育员的培训、管理工作。负责计划生育技术服务及人口生育管理，负责育龄妇女普查、妇女病防治、四术及计生协会等项工作。-完成计划生育等各项工作。</w:t>
      </w:r>
    </w:p>
    <w:p>
      <w:pPr>
        <w:pStyle w:val="插入文本样式-插入实现年度发展规划目标的保障措施文件"/>
      </w:pPr>
      <w:r>
        <w:t xml:space="preserve">3.1计划生育事务管理提供各类奖励扶助、生育救助、计划生育技术服务，建立利益导向机制，开展出生人口性别比治理以及流动人口计划生育管理宣传等各项工作。负责计划生育技术服务及人口生育管理，负责育龄妇女普查、妇女病防治、四术及计生协会等各项工作。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一年四个季度已婚育龄妇女生殖健康检查及普查工作，做好孕前优生检测指导。各项计生奖励扶助、困难资金按时足额发放，计生优惠政策及时实施。</w:t>
      </w:r>
    </w:p>
    <w:p>
      <w:pPr>
        <w:pStyle w:val="插入文本样式-插入实现年度发展规划目标的保障措施文件"/>
      </w:pPr>
      <w:r>
        <w:t xml:space="preserve">（四）社会事务管理负责民政工作，发展社会福利事业，做好民族宗教及残联工作，办理征兵事项，负责村民自治的选举工作，负责协调文化、教育、卫生等工作。-做好民族宗教及残联工作，办理征兵事项，村民自治的选举及协调文化、教育、卫生等工作。</w:t>
      </w:r>
    </w:p>
    <w:p>
      <w:pPr>
        <w:pStyle w:val="插入文本样式-插入实现年度发展规划目标的保障措施文件"/>
      </w:pPr>
      <w:r>
        <w:t xml:space="preserve">4.1民政综合事务-残疾人摸底排查，助残日活动，残疾人档案管理。做好教徒维稳工作，搞好摸底排查，信息上报。对申请廉租房和公租房的条件进行审核，并及时上报低保每年进行复审复核做到应保尽保，对困难群众做好救助，救灾，慰问困难群众。及时上报优抚对象资金，慰问优抚对象，拥军拥属。做好残疾人摸排，档案整理，助残日发放材料。做好教徒维稳摸排工作。做好村委会换届选举工作，敬老院管理工作。</w:t>
      </w:r>
    </w:p>
    <w:p>
      <w:pPr>
        <w:pStyle w:val="插入文本样式-插入实现年度发展规划目标的保障措施文件"/>
      </w:pPr>
      <w:r>
        <w:t xml:space="preserve">4.2武装综合事务-民兵整组训练，征兵工作，防汛抢险、国防教育等。民兵组织建设、政治教育、军事训练及武器装备管理，防汛物资抢险救灾，征兵工作，国防教育，军事设施保护-武器装备配备齐全。</w:t>
      </w:r>
    </w:p>
    <w:p>
      <w:pPr>
        <w:pStyle w:val="插入文本样式-插入实现年度发展规划目标的保障措施文件"/>
      </w:pPr>
      <w:r>
        <w:t xml:space="preserve">4.3食品安全综合事务-食品、药品安全监督。建设一批高素质食品药品监督协管员队伍，创建食品药品安全开展食品药品应急体系建设，加强食品药品监管能力建设等各项工作确保我乡食品安全，不出现重大事故。协调乡村联动，对突发事件处置及时并在全乡开展食品药品安全考评。</w:t>
      </w:r>
    </w:p>
    <w:p>
      <w:pPr>
        <w:pStyle w:val="插入文本样式-插入实现年度发展规划目标的保障措施文件"/>
      </w:pPr>
      <w:r>
        <w:t xml:space="preserve">4.4城市管理综合事务城市管理、市容环境卫生、爱国卫生工作、园林绿化等工作-贯彻有关城市法律、法规和规章制度，制定辖区内城市管理工作计划并实施。提高城市管理水平，改善城市容貌，创造优美环境。对辖区内各村环境卫生工作监督检查。各村建立卫生保洁队伍。负责机关和下属单位开展爱国卫生运动。</w:t>
      </w:r>
    </w:p>
    <w:p>
      <w:pPr>
        <w:pStyle w:val="插入文本样式-插入实现年度发展规划目标的保障措施文件"/>
      </w:pPr>
      <w:r>
        <w:t xml:space="preserve">（五）社会治安综合治理事务管理</w:t>
      </w:r>
    </w:p>
    <w:p>
      <w:pPr>
        <w:pStyle w:val="插入文本样式-插入实现年度发展规划目标的保障措施文件"/>
      </w:pPr>
      <w:r>
        <w:t xml:space="preserve">5.1综合治理事务-平安建设、完善社会治安防控体系、深入开展矛盾纪纠纷化解、反对邪教、应急处置工作实现全乡经济社会发展、安全、安定、推进网格化管理，进一步健全立体化社会治安防控体系。就地化解矛盾，做到小事不出村，大事不出乡。反邪教宣传、应急处置防止小事端引发大事件。</w:t>
      </w:r>
    </w:p>
    <w:p>
      <w:pPr>
        <w:pStyle w:val="插入文本样式-插入实现年度发展规划目标的保障措施文件"/>
      </w:pPr>
      <w:r>
        <w:t xml:space="preserve">5.2信访维稳-做好重点时期信访维稳工作、接访、案件办理、敏感时期稳控。每年四次综治培训。5.3司法综合事务-社区矫正、安置帮教、指导和管理人民调解、法制宣传教育、法律进社区法律援助，安置帮教严格执行社区矫正相关法规，确保不出现脱管、漏管。法制宣传教育进学校、进社区、进机关。有法律服务机构、落实法律援助政策村有完善的调解机构和调解员。开展法制宣传教育。</w:t>
      </w:r>
    </w:p>
    <w:p>
      <w:pPr>
        <w:pStyle w:val="插入文本样式-插入实现年度发展规划目标的保障措施文件"/>
      </w:pPr>
      <w:r>
        <w:t xml:space="preserve">（六）劳动保障服务事务-负责劳动法的宣传贯彻、劳动就业、社会保障、安全生产监督管理工作。完成劳动就业、社会保障、安全生产监督管理等工作。</w:t>
      </w:r>
    </w:p>
    <w:p>
      <w:pPr>
        <w:pStyle w:val="插入文本样式-插入实现年度发展规划目标的保障措施文件"/>
      </w:pPr>
      <w:r>
        <w:t xml:space="preserve">6.1劳动保障促进就业政策及管理、社会保险政策及管理、劳动关系管理、促进就业工作，健全公共就业服务体系。完善城乡居民养老保险政策。落实调解仲裁制度和劳动关系政策，特殊劳动保护政策，组织实施劳动监察，协调劳动者维权工作。</w:t>
      </w:r>
    </w:p>
    <w:p>
      <w:pPr>
        <w:pStyle w:val="插入文本样式-插入实现年度发展规划目标的保障措施文件"/>
      </w:pPr>
      <w:r>
        <w:t xml:space="preserve">6.2安全监察事务对企业进行安全生产检查，确保全乡安全生产平稳运行、做好大气污染防治工作及其它环境保护工作不发生较大以上生产安全事故，严格控制一般生产安全事故，不发生死亡生产安全事故.对全乡的污染源实施全方位监控和治理，切配合市环保部门做好其它环境保护工作。</w:t>
      </w:r>
    </w:p>
    <w:p>
      <w:pPr>
        <w:pStyle w:val="插入文本样式-插入实现年度发展规划目标的保障措施文件"/>
      </w:pPr>
      <w:r>
        <w:t xml:space="preserve">（七）文化卫生服务事务负责群众文化卫生、娱乐、体育活动、新型农村合作医疗、广播电视村村通等工作。完成文化卫生、娱乐、体育活动、新型农村合作医疗、广播电视村村通等工作。</w:t>
      </w:r>
    </w:p>
    <w:p>
      <w:pPr>
        <w:pStyle w:val="插入文本样式-插入实现年度发展规划目标的保障措施文件"/>
      </w:pPr>
      <w:r>
        <w:t xml:space="preserve">7.1科普宣传事务-加强科普阵地建设、开展科普宣传活动-完善科普阵地，提高群众科普知识意识、利用展牌、条幅、宣传单、群众演出等各种形式，开展科普知识宣传。完善科普阵地，提高群众科普知识意识、使科学常识深入群众。</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7.2文体活动指导全乡文化建设，推进文化发展环境能力建设，提供公共文化服务、文化艺术资源建设和文化艺术生产。推动多元化体育服务体系建设，推动体育公共服务和体育体制改革。加强全乡基层文化队伍建设、提高群众性体育运动水平。推进和谐社区的建设，健全服务网络，满足社区居民的物质、文化需求。</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13018426P00001010152F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4.03</w:t>
            </w:r>
          </w:p>
        </w:tc>
        <w:tc>
          <w:tcPr>
            <w:tcW w:w="2835" w:type="dxa"/>
            <w:vAlign w:val="center"/>
          </w:tcPr>
          <w:p>
            <w:pPr>
              <w:pStyle w:val="单元格样式3"/>
            </w:pPr>
            <w:r>
              <w:t xml:space="preserve">8.41</w:t>
            </w:r>
          </w:p>
        </w:tc>
        <w:tc>
          <w:tcPr>
            <w:tcW w:w="2551" w:type="dxa"/>
            <w:vAlign w:val="center"/>
          </w:tcPr>
          <w:p>
            <w:pPr>
              <w:pStyle w:val="单元格样式3"/>
            </w:pPr>
            <w:r>
              <w:t xml:space="preserve">12.62</w:t>
            </w:r>
          </w:p>
        </w:tc>
        <w:tc>
          <w:tcPr>
            <w:tcW w:w="3544" w:type="dxa"/>
            <w:gridSpan w:val="2"/>
            <w:vAlign w:val="center"/>
          </w:tcPr>
          <w:p>
            <w:pPr>
              <w:pStyle w:val="单元格样式3"/>
            </w:pPr>
            <w:r>
              <w:t xml:space="preserve">16.82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1.保证村级组织的正常运行。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13018426P00001010149W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村党组织书记、村民委员会主任基本补贴</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6.95</w:t>
            </w:r>
          </w:p>
        </w:tc>
        <w:tc>
          <w:tcPr>
            <w:tcW w:w="2835" w:type="dxa"/>
            <w:vAlign w:val="center"/>
          </w:tcPr>
          <w:p>
            <w:pPr>
              <w:pStyle w:val="单元格样式3"/>
            </w:pPr>
            <w:r>
              <w:t xml:space="preserve">13.89</w:t>
            </w:r>
          </w:p>
        </w:tc>
        <w:tc>
          <w:tcPr>
            <w:tcW w:w="2551" w:type="dxa"/>
            <w:vAlign w:val="center"/>
          </w:tcPr>
          <w:p>
            <w:pPr>
              <w:pStyle w:val="单元格样式3"/>
            </w:pPr>
            <w:r>
              <w:t xml:space="preserve">20.84</w:t>
            </w:r>
          </w:p>
        </w:tc>
        <w:tc>
          <w:tcPr>
            <w:tcW w:w="3544" w:type="dxa"/>
            <w:gridSpan w:val="2"/>
            <w:vAlign w:val="center"/>
          </w:tcPr>
          <w:p>
            <w:pPr>
              <w:pStyle w:val="单元格样式3"/>
            </w:pPr>
            <w:r>
              <w:t xml:space="preserve">27.78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1.保证我乡村党组织书记、村民委员会主任基本补贴发放到位。</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13018426P000010101533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0.63</w:t>
            </w:r>
          </w:p>
        </w:tc>
        <w:tc>
          <w:tcPr>
            <w:tcW w:w="2835" w:type="dxa"/>
            <w:vAlign w:val="center"/>
          </w:tcPr>
          <w:p>
            <w:pPr>
              <w:pStyle w:val="单元格样式3"/>
            </w:pPr>
            <w:r>
              <w:t xml:space="preserve">1.25</w:t>
            </w:r>
          </w:p>
        </w:tc>
        <w:tc>
          <w:tcPr>
            <w:tcW w:w="2551" w:type="dxa"/>
            <w:vAlign w:val="center"/>
          </w:tcPr>
          <w:p>
            <w:pPr>
              <w:pStyle w:val="单元格样式3"/>
            </w:pPr>
            <w:r>
              <w:t xml:space="preserve">1.88</w:t>
            </w:r>
          </w:p>
        </w:tc>
        <w:tc>
          <w:tcPr>
            <w:tcW w:w="3544" w:type="dxa"/>
            <w:gridSpan w:val="2"/>
            <w:vAlign w:val="center"/>
          </w:tcPr>
          <w:p>
            <w:pPr>
              <w:pStyle w:val="单元格样式3"/>
            </w:pPr>
            <w:r>
              <w:t xml:space="preserve">2.50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1.保证村级组织的正常运行。</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13018426P00001010154N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6.25</w:t>
            </w:r>
          </w:p>
        </w:tc>
        <w:tc>
          <w:tcPr>
            <w:tcW w:w="2835" w:type="dxa"/>
            <w:vAlign w:val="center"/>
          </w:tcPr>
          <w:p>
            <w:pPr>
              <w:pStyle w:val="单元格样式3"/>
            </w:pPr>
            <w:r>
              <w:t xml:space="preserve">12.50</w:t>
            </w:r>
          </w:p>
        </w:tc>
        <w:tc>
          <w:tcPr>
            <w:tcW w:w="2551" w:type="dxa"/>
            <w:vAlign w:val="center"/>
          </w:tcPr>
          <w:p>
            <w:pPr>
              <w:pStyle w:val="单元格样式3"/>
            </w:pPr>
            <w:r>
              <w:t xml:space="preserve">18.75</w:t>
            </w:r>
          </w:p>
        </w:tc>
        <w:tc>
          <w:tcPr>
            <w:tcW w:w="3544" w:type="dxa"/>
            <w:gridSpan w:val="2"/>
            <w:vAlign w:val="center"/>
          </w:tcPr>
          <w:p>
            <w:pPr>
              <w:pStyle w:val="单元格样式3"/>
            </w:pPr>
            <w:r>
              <w:t xml:space="preserve">25.00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1.保证村级组织的正常运行。</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13018426P000010101508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16.20</w:t>
            </w:r>
          </w:p>
        </w:tc>
        <w:tc>
          <w:tcPr>
            <w:tcW w:w="2835" w:type="dxa"/>
            <w:vAlign w:val="center"/>
          </w:tcPr>
          <w:p>
            <w:pPr>
              <w:pStyle w:val="单元格样式3"/>
            </w:pPr>
            <w:r>
              <w:t xml:space="preserve">32.40</w:t>
            </w:r>
          </w:p>
        </w:tc>
        <w:tc>
          <w:tcPr>
            <w:tcW w:w="2551" w:type="dxa"/>
            <w:vAlign w:val="center"/>
          </w:tcPr>
          <w:p>
            <w:pPr>
              <w:pStyle w:val="单元格样式3"/>
            </w:pPr>
            <w:r>
              <w:t xml:space="preserve">48.60</w:t>
            </w:r>
          </w:p>
        </w:tc>
        <w:tc>
          <w:tcPr>
            <w:tcW w:w="3544" w:type="dxa"/>
            <w:gridSpan w:val="2"/>
            <w:vAlign w:val="center"/>
          </w:tcPr>
          <w:p>
            <w:pPr>
              <w:pStyle w:val="单元格样式3"/>
            </w:pPr>
            <w:r>
              <w:t xml:space="preserve">64.80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1.保证我乡其他村两委干部基本补贴发放到位。</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13018426P00001010151U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0.34</w:t>
            </w:r>
          </w:p>
        </w:tc>
        <w:tc>
          <w:tcPr>
            <w:tcW w:w="2835" w:type="dxa"/>
            <w:vAlign w:val="center"/>
          </w:tcPr>
          <w:p>
            <w:pPr>
              <w:pStyle w:val="单元格样式3"/>
            </w:pPr>
            <w:r>
              <w:t xml:space="preserve">0.67</w:t>
            </w:r>
          </w:p>
        </w:tc>
        <w:tc>
          <w:tcPr>
            <w:tcW w:w="2551" w:type="dxa"/>
            <w:vAlign w:val="center"/>
          </w:tcPr>
          <w:p>
            <w:pPr>
              <w:pStyle w:val="单元格样式3"/>
            </w:pPr>
            <w:r>
              <w:t xml:space="preserve">1.01</w:t>
            </w:r>
          </w:p>
        </w:tc>
        <w:tc>
          <w:tcPr>
            <w:tcW w:w="3544" w:type="dxa"/>
            <w:gridSpan w:val="2"/>
            <w:vAlign w:val="center"/>
          </w:tcPr>
          <w:p>
            <w:pPr>
              <w:pStyle w:val="单元格样式3"/>
            </w:pPr>
            <w:r>
              <w:t xml:space="preserve">1.34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1.保证我乡正常离任村干部补贴发放到位。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13018426P00001110096R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提高基层群众的业余生活水平，丰富群众的精神世界，满足其需求，促进社会和谐稳定发展。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0.75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1.提高基层群众的业余生活水平，丰富群众的精神世界，满足其需求，促进社会和谐稳定发展。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≥30%</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按计划及时开放</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与此指标无关</w:t>
            </w:r>
          </w:p>
        </w:tc>
        <w:tc>
          <w:tcPr>
            <w:tcW w:w="5386" w:type="dxa"/>
            <w:vAlign w:val="center"/>
          </w:tcPr>
          <w:p>
            <w:pPr>
              <w:pStyle w:val="单元格样式2"/>
            </w:pPr>
            <w:r>
              <w:t xml:space="preserve">与此指标无关</w:t>
            </w:r>
          </w:p>
        </w:tc>
        <w:tc>
          <w:tcPr>
            <w:tcW w:w="2268" w:type="dxa"/>
            <w:vAlign w:val="center"/>
          </w:tcPr>
          <w:p>
            <w:pPr>
              <w:pStyle w:val="单元格样式2"/>
            </w:pPr>
            <w:r>
              <w:t xml:space="preserve">无关</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带动其他相关消费项目的增收情况</w:t>
            </w:r>
          </w:p>
        </w:tc>
        <w:tc>
          <w:tcPr>
            <w:tcW w:w="5386" w:type="dxa"/>
            <w:vAlign w:val="center"/>
          </w:tcPr>
          <w:p>
            <w:pPr>
              <w:pStyle w:val="单元格样式2"/>
            </w:pPr>
            <w:r>
              <w:t xml:space="preserve">带动其他相关消费项目的增收情况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免费开放文化场馆正常运转</w:t>
            </w:r>
          </w:p>
        </w:tc>
        <w:tc>
          <w:tcPr>
            <w:tcW w:w="5386" w:type="dxa"/>
            <w:vAlign w:val="center"/>
          </w:tcPr>
          <w:p>
            <w:pPr>
              <w:pStyle w:val="单元格样式2"/>
            </w:pPr>
            <w:r>
              <w:t xml:space="preserve">免费开放文化场馆正常运转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按行业相关标准计量</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8、2026年本级支出-木村乡机关运行费绩效目标表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13018426P005223101743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2026年本级支出-木村乡机关运行费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支付单位去年未支付项目，保障单位机关正常运行。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15.00</w:t>
            </w:r>
          </w:p>
        </w:tc>
        <w:tc>
          <w:tcPr>
            <w:tcW w:w="2835" w:type="dxa"/>
            <w:vAlign w:val="center"/>
          </w:tcPr>
          <w:p>
            <w:pPr>
              <w:pStyle w:val="单元格样式3"/>
            </w:pPr>
            <w:r>
              <w:t xml:space="preserve">25.00</w:t>
            </w:r>
          </w:p>
        </w:tc>
        <w:tc>
          <w:tcPr>
            <w:tcW w:w="2551" w:type="dxa"/>
            <w:vAlign w:val="center"/>
          </w:tcPr>
          <w:p>
            <w:pPr>
              <w:pStyle w:val="单元格样式3"/>
            </w:pPr>
            <w:r>
              <w:t xml:space="preserve">45.00</w:t>
            </w:r>
          </w:p>
        </w:tc>
        <w:tc>
          <w:tcPr>
            <w:tcW w:w="3544" w:type="dxa"/>
            <w:gridSpan w:val="2"/>
            <w:vAlign w:val="center"/>
          </w:tcPr>
          <w:p>
            <w:pPr>
              <w:pStyle w:val="单元格样式3"/>
            </w:pPr>
            <w:r>
              <w:t xml:space="preserve">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1.支付单位去年未支付项目，保障单位机关正常运行。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项目成本预算</w:t>
            </w:r>
          </w:p>
        </w:tc>
        <w:tc>
          <w:tcPr>
            <w:tcW w:w="5386" w:type="dxa"/>
            <w:vAlign w:val="center"/>
          </w:tcPr>
          <w:p>
            <w:pPr>
              <w:pStyle w:val="单元格样式2"/>
            </w:pPr>
            <w:r>
              <w:t xml:space="preserve">项目成本预算</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增加就业</w:t>
            </w:r>
          </w:p>
        </w:tc>
        <w:tc>
          <w:tcPr>
            <w:tcW w:w="2268" w:type="dxa"/>
            <w:vAlign w:val="center"/>
          </w:tcPr>
          <w:p>
            <w:pPr>
              <w:pStyle w:val="单元格样式2"/>
            </w:pPr>
            <w:r>
              <w:t xml:space="preserve">≥15人</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9、2026年本级支出-木村乡乡村振兴、农村人居环境整治资金绩效目标表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13018426P000019100677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2026年本级支出-木村乡乡村振兴、农村人居环境整治资金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支出单位去年未支付项目，保障辖区内人居环境、乡村振兴等工作的正常开展。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15.00</w:t>
            </w:r>
          </w:p>
        </w:tc>
        <w:tc>
          <w:tcPr>
            <w:tcW w:w="2835" w:type="dxa"/>
            <w:vAlign w:val="center"/>
          </w:tcPr>
          <w:p>
            <w:pPr>
              <w:pStyle w:val="单元格样式3"/>
            </w:pPr>
            <w:r>
              <w:t xml:space="preserve">25.00</w:t>
            </w:r>
          </w:p>
        </w:tc>
        <w:tc>
          <w:tcPr>
            <w:tcW w:w="2551" w:type="dxa"/>
            <w:vAlign w:val="center"/>
          </w:tcPr>
          <w:p>
            <w:pPr>
              <w:pStyle w:val="单元格样式3"/>
            </w:pPr>
            <w:r>
              <w:t xml:space="preserve">35.00</w:t>
            </w:r>
          </w:p>
        </w:tc>
        <w:tc>
          <w:tcPr>
            <w:tcW w:w="3544" w:type="dxa"/>
            <w:gridSpan w:val="2"/>
            <w:vAlign w:val="center"/>
          </w:tcPr>
          <w:p>
            <w:pPr>
              <w:pStyle w:val="单元格样式3"/>
            </w:pPr>
            <w:r>
              <w:t xml:space="preserve">80.60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1.支出单位去年未支付项目，保障辖区内人居环境、乡村振兴等工作的正常开展。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 </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项目成本预算</w:t>
            </w:r>
          </w:p>
        </w:tc>
        <w:tc>
          <w:tcPr>
            <w:tcW w:w="5386" w:type="dxa"/>
            <w:vAlign w:val="center"/>
          </w:tcPr>
          <w:p>
            <w:pPr>
              <w:pStyle w:val="单元格样式2"/>
            </w:pPr>
            <w:r>
              <w:t xml:space="preserve">项目成本预算</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增加就业</w:t>
            </w:r>
          </w:p>
        </w:tc>
        <w:tc>
          <w:tcPr>
            <w:tcW w:w="2268" w:type="dxa"/>
            <w:vAlign w:val="center"/>
          </w:tcPr>
          <w:p>
            <w:pPr>
              <w:pStyle w:val="单元格样式2"/>
            </w:pPr>
            <w:r>
              <w:t xml:space="preserve">≥15人</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10、2026年本级支出-木村乡占补平衡资金绩效目标表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13018426P00001910068T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2026年本级支出-木村乡占补平衡资金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用于支付2025年及以前年度占补平衡资金未结款项。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15.00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24.40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1.用于支付2025年及以前年度占补平衡资金未结款项。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项目成本预算</w:t>
            </w:r>
          </w:p>
        </w:tc>
        <w:tc>
          <w:tcPr>
            <w:tcW w:w="5386" w:type="dxa"/>
            <w:vAlign w:val="center"/>
          </w:tcPr>
          <w:p>
            <w:pPr>
              <w:pStyle w:val="单元格样式2"/>
            </w:pPr>
            <w:r>
              <w:t xml:space="preserve">项目成本预算</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增加就业</w:t>
            </w:r>
          </w:p>
        </w:tc>
        <w:tc>
          <w:tcPr>
            <w:tcW w:w="2268" w:type="dxa"/>
            <w:vAlign w:val="center"/>
          </w:tcPr>
          <w:p>
            <w:pPr>
              <w:pStyle w:val="单元格样式2"/>
            </w:pPr>
            <w:r>
              <w:t xml:space="preserve">≥15人</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11、冀财建〔2025〕187号关于提前下达2026年中央大气污染防治资金（用于农村地区气代煤电代煤改造任务运行补助）预算的通知绩效目标表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13018426P000075100184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冀财建〔2025〕187号关于提前下达2026年中央大气污染防治资金（用于农村地区气代煤电代煤改造任务运行补助）预算的通知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“北方地区冬季清洁取暖项目”农村地区运营补贴等重点工作，促进区域环境空气质量持续改善。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0.10</w:t>
            </w:r>
          </w:p>
        </w:tc>
        <w:tc>
          <w:tcPr>
            <w:tcW w:w="2835" w:type="dxa"/>
            <w:vAlign w:val="center"/>
          </w:tcPr>
          <w:p>
            <w:pPr>
              <w:pStyle w:val="单元格样式3"/>
            </w:pPr>
            <w:r>
              <w:t xml:space="preserve">0.20</w:t>
            </w:r>
          </w:p>
        </w:tc>
        <w:tc>
          <w:tcPr>
            <w:tcW w:w="2551" w:type="dxa"/>
            <w:vAlign w:val="center"/>
          </w:tcPr>
          <w:p>
            <w:pPr>
              <w:pStyle w:val="单元格样式3"/>
            </w:pPr>
            <w:r>
              <w:t xml:space="preserve">0.30</w:t>
            </w:r>
          </w:p>
        </w:tc>
        <w:tc>
          <w:tcPr>
            <w:tcW w:w="3544" w:type="dxa"/>
            <w:gridSpan w:val="2"/>
            <w:vAlign w:val="center"/>
          </w:tcPr>
          <w:p>
            <w:pPr>
              <w:pStyle w:val="单元格样式3"/>
            </w:pPr>
            <w:r>
              <w:t xml:space="preserve">0.74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1.“北方地区冬季清洁取暖项目”农村地区运营补贴等重点工作，促进区域环境空气质量持续改善。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PM2.5浓度达到年度目标要求</w:t>
            </w:r>
          </w:p>
        </w:tc>
        <w:tc>
          <w:tcPr>
            <w:tcW w:w="5386" w:type="dxa"/>
            <w:vAlign w:val="center"/>
          </w:tcPr>
          <w:p>
            <w:pPr>
              <w:pStyle w:val="单元格样式2"/>
            </w:pPr>
            <w:r>
              <w:t xml:space="preserve">PM2.5浓度达到年度目标要求</w:t>
            </w:r>
          </w:p>
        </w:tc>
        <w:tc>
          <w:tcPr>
            <w:tcW w:w="2268" w:type="dxa"/>
            <w:vAlign w:val="center"/>
          </w:tcPr>
          <w:p>
            <w:pPr>
              <w:pStyle w:val="单元格样式2"/>
            </w:pPr>
            <w:r>
              <w:t xml:space="preserve">≤41微克每立方米</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项目开工率</w:t>
            </w:r>
          </w:p>
        </w:tc>
        <w:tc>
          <w:tcPr>
            <w:tcW w:w="5386" w:type="dxa"/>
            <w:vAlign w:val="center"/>
          </w:tcPr>
          <w:p>
            <w:pPr>
              <w:pStyle w:val="单元格样式2"/>
            </w:pPr>
            <w:r>
              <w:t xml:space="preserve">项目开工率</w:t>
            </w:r>
          </w:p>
        </w:tc>
        <w:tc>
          <w:tcPr>
            <w:tcW w:w="2268" w:type="dxa"/>
            <w:vAlign w:val="center"/>
          </w:tcPr>
          <w:p>
            <w:pPr>
              <w:pStyle w:val="单元格样式2"/>
            </w:pPr>
            <w:r>
              <w:t xml:space="preserve">≥80%</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空气质量改善</w:t>
            </w:r>
          </w:p>
        </w:tc>
        <w:tc>
          <w:tcPr>
            <w:tcW w:w="5386" w:type="dxa"/>
            <w:vAlign w:val="center"/>
          </w:tcPr>
          <w:p>
            <w:pPr>
              <w:pStyle w:val="单元格样式2"/>
            </w:pPr>
            <w:r>
              <w:t xml:space="preserve">空气质量改善</w:t>
            </w:r>
          </w:p>
        </w:tc>
        <w:tc>
          <w:tcPr>
            <w:tcW w:w="2268" w:type="dxa"/>
            <w:vAlign w:val="center"/>
          </w:tcPr>
          <w:p>
            <w:pPr>
              <w:pStyle w:val="单元格样式2"/>
            </w:pPr>
            <w:r>
              <w:t xml:space="preserve">持续改善</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成本降低</w:t>
            </w:r>
          </w:p>
        </w:tc>
        <w:tc>
          <w:tcPr>
            <w:tcW w:w="5386" w:type="dxa"/>
            <w:vAlign w:val="center"/>
          </w:tcPr>
          <w:p>
            <w:pPr>
              <w:pStyle w:val="单元格样式2"/>
            </w:pPr>
            <w:r>
              <w:t xml:space="preserve">成本降低</w:t>
            </w:r>
          </w:p>
        </w:tc>
        <w:tc>
          <w:tcPr>
            <w:tcW w:w="2268" w:type="dxa"/>
            <w:vAlign w:val="center"/>
          </w:tcPr>
          <w:p>
            <w:pPr>
              <w:pStyle w:val="单元格样式2"/>
            </w:pPr>
            <w:r>
              <w:t xml:space="preserve">持续降低</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空气质量改善</w:t>
            </w:r>
          </w:p>
        </w:tc>
        <w:tc>
          <w:tcPr>
            <w:tcW w:w="5386" w:type="dxa"/>
            <w:vAlign w:val="center"/>
          </w:tcPr>
          <w:p>
            <w:pPr>
              <w:pStyle w:val="单元格样式2"/>
            </w:pPr>
            <w:r>
              <w:t xml:space="preserve">空气质量改善</w:t>
            </w:r>
          </w:p>
        </w:tc>
        <w:tc>
          <w:tcPr>
            <w:tcW w:w="2268" w:type="dxa"/>
            <w:vAlign w:val="center"/>
          </w:tcPr>
          <w:p>
            <w:pPr>
              <w:pStyle w:val="单元格样式2"/>
            </w:pPr>
            <w:r>
              <w:t xml:space="preserve">持续改善</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主要污染物减排</w:t>
            </w:r>
          </w:p>
        </w:tc>
        <w:tc>
          <w:tcPr>
            <w:tcW w:w="5386" w:type="dxa"/>
            <w:vAlign w:val="center"/>
          </w:tcPr>
          <w:p>
            <w:pPr>
              <w:pStyle w:val="单元格样式2"/>
            </w:pPr>
            <w:r>
              <w:t xml:space="preserve">主要污染物减排</w:t>
            </w:r>
          </w:p>
        </w:tc>
        <w:tc>
          <w:tcPr>
            <w:tcW w:w="2268" w:type="dxa"/>
            <w:vAlign w:val="center"/>
          </w:tcPr>
          <w:p>
            <w:pPr>
              <w:pStyle w:val="单元格样式2"/>
            </w:pPr>
            <w:r>
              <w:t xml:space="preserve">持续减少</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按行业相关标准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13018425P00004410043U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确保文化站正常运转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1.50</w:t>
            </w:r>
          </w:p>
        </w:tc>
        <w:tc>
          <w:tcPr>
            <w:tcW w:w="2551" w:type="dxa"/>
            <w:vAlign w:val="center"/>
          </w:tcPr>
          <w:p>
            <w:pPr>
              <w:pStyle w:val="单元格样式3"/>
            </w:pPr>
            <w:r>
              <w:t xml:space="preserve">2.00</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引导和支持地方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项目免费开放的及时性</w:t>
            </w:r>
          </w:p>
        </w:tc>
        <w:tc>
          <w:tcPr>
            <w:tcW w:w="5386" w:type="dxa"/>
            <w:vAlign w:val="center"/>
          </w:tcPr>
          <w:p>
            <w:pPr>
              <w:pStyle w:val="单元格样式2"/>
            </w:pPr>
            <w:r>
              <w:t xml:space="preserve"> 项目免费开放的及时性</w:t>
            </w:r>
          </w:p>
        </w:tc>
        <w:tc>
          <w:tcPr>
            <w:tcW w:w="2268" w:type="dxa"/>
            <w:vAlign w:val="center"/>
          </w:tcPr>
          <w:p>
            <w:pPr>
              <w:pStyle w:val="单元格样式2"/>
            </w:pPr>
            <w:r>
              <w:t xml:space="preserve">按计划及时开放</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各公共体育场馆年均免费或低收费开放天数</w:t>
            </w:r>
          </w:p>
        </w:tc>
        <w:tc>
          <w:tcPr>
            <w:tcW w:w="5386" w:type="dxa"/>
            <w:vAlign w:val="center"/>
          </w:tcPr>
          <w:p>
            <w:pPr>
              <w:pStyle w:val="单元格样式2"/>
            </w:pPr>
            <w:r>
              <w:t xml:space="preserve">各公共体育场馆年均免费或低收费开放天数</w:t>
            </w:r>
          </w:p>
        </w:tc>
        <w:tc>
          <w:tcPr>
            <w:tcW w:w="2268" w:type="dxa"/>
            <w:vAlign w:val="center"/>
          </w:tcPr>
          <w:p>
            <w:pPr>
              <w:pStyle w:val="单元格样式2"/>
            </w:pPr>
            <w:r>
              <w:t xml:space="preserve">≥15天</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与此指标无关</w:t>
            </w:r>
          </w:p>
        </w:tc>
        <w:tc>
          <w:tcPr>
            <w:tcW w:w="5386" w:type="dxa"/>
            <w:vAlign w:val="center"/>
          </w:tcPr>
          <w:p>
            <w:pPr>
              <w:pStyle w:val="单元格样式2"/>
            </w:pPr>
            <w:r>
              <w:t xml:space="preserve">与此指标无关</w:t>
            </w:r>
          </w:p>
        </w:tc>
        <w:tc>
          <w:tcPr>
            <w:tcW w:w="2268" w:type="dxa"/>
            <w:vAlign w:val="center"/>
          </w:tcPr>
          <w:p>
            <w:pPr>
              <w:pStyle w:val="单元格样式2"/>
            </w:pPr>
            <w:r>
              <w:t xml:space="preserve">无关</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带动其他项目增收情况</w:t>
            </w:r>
          </w:p>
        </w:tc>
        <w:tc>
          <w:tcPr>
            <w:tcW w:w="5386" w:type="dxa"/>
            <w:vAlign w:val="center"/>
          </w:tcPr>
          <w:p>
            <w:pPr>
              <w:pStyle w:val="单元格样式2"/>
            </w:pPr>
            <w:r>
              <w:t xml:space="preserve">带动其他项目增收情况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提升</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国民综合阅读率</w:t>
            </w:r>
          </w:p>
        </w:tc>
        <w:tc>
          <w:tcPr>
            <w:tcW w:w="5386" w:type="dxa"/>
            <w:vAlign w:val="center"/>
          </w:tcPr>
          <w:p>
            <w:pPr>
              <w:pStyle w:val="单元格样式2"/>
            </w:pPr>
            <w:r>
              <w:t xml:space="preserve">国民综合阅读率</w:t>
            </w:r>
          </w:p>
        </w:tc>
        <w:tc>
          <w:tcPr>
            <w:tcW w:w="2268" w:type="dxa"/>
            <w:vAlign w:val="center"/>
          </w:tcPr>
          <w:p>
            <w:pPr>
              <w:pStyle w:val="单元格样式2"/>
            </w:pPr>
            <w:r>
              <w:t xml:space="preserve">≥90%</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≥10%</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群众对国家基本公共文化服务满意度</w:t>
            </w:r>
          </w:p>
        </w:tc>
        <w:tc>
          <w:tcPr>
            <w:tcW w:w="5386" w:type="dxa"/>
            <w:vAlign w:val="center"/>
          </w:tcPr>
          <w:p>
            <w:pPr>
              <w:pStyle w:val="单元格样式2"/>
            </w:pPr>
            <w:r>
              <w:t xml:space="preserve">群众对国家基本公共文化服务满意度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按行业相关标准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13、冀财教【2025】115号-提前下达2026年中央支持地方公共文化服务体系建设补助资金-一般和绩效绩效目标表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13018426P000044100659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冀财教【2025】115号-提前下达2026年中央支持地方公共文化服务体系建设补助资金-一般和绩效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木村乡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3.00</w:t>
            </w:r>
          </w:p>
        </w:tc>
        <w:tc>
          <w:tcPr>
            <w:tcW w:w="2551" w:type="dxa"/>
            <w:vAlign w:val="center"/>
          </w:tcPr>
          <w:p>
            <w:pPr>
              <w:pStyle w:val="单元格样式3"/>
            </w:pPr>
            <w:r>
              <w:t xml:space="preserve">5.00</w:t>
            </w:r>
          </w:p>
        </w:tc>
        <w:tc>
          <w:tcPr>
            <w:tcW w:w="3544" w:type="dxa"/>
            <w:gridSpan w:val="2"/>
            <w:vAlign w:val="center"/>
          </w:tcPr>
          <w:p>
            <w:pPr>
              <w:pStyle w:val="单元格样式3"/>
            </w:pPr>
            <w:r>
              <w:t xml:space="preserve">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木村乡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文化站及时开放</w:t>
            </w:r>
          </w:p>
        </w:tc>
        <w:tc>
          <w:tcPr>
            <w:tcW w:w="5386" w:type="dxa"/>
            <w:vAlign w:val="center"/>
          </w:tcPr>
          <w:p>
            <w:pPr>
              <w:pStyle w:val="单元格样式2"/>
            </w:pPr>
            <w:r>
              <w:t xml:space="preserve">文化站及时开放</w:t>
            </w:r>
          </w:p>
        </w:tc>
        <w:tc>
          <w:tcPr>
            <w:tcW w:w="2268" w:type="dxa"/>
            <w:vAlign w:val="center"/>
          </w:tcPr>
          <w:p>
            <w:pPr>
              <w:pStyle w:val="单元格样式2"/>
            </w:pPr>
            <w:r>
              <w:t xml:space="preserve">及时开放</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各公共体育场馆年均免费或低收费开放天数</w:t>
            </w:r>
          </w:p>
        </w:tc>
        <w:tc>
          <w:tcPr>
            <w:tcW w:w="5386" w:type="dxa"/>
            <w:vAlign w:val="center"/>
          </w:tcPr>
          <w:p>
            <w:pPr>
              <w:pStyle w:val="单元格样式2"/>
            </w:pPr>
            <w:r>
              <w:t xml:space="preserve">各公共体育场馆年均免费或低收费开放天数</w:t>
            </w:r>
          </w:p>
        </w:tc>
        <w:tc>
          <w:tcPr>
            <w:tcW w:w="2268" w:type="dxa"/>
            <w:vAlign w:val="center"/>
          </w:tcPr>
          <w:p>
            <w:pPr>
              <w:pStyle w:val="单元格样式2"/>
            </w:pPr>
            <w:r>
              <w:t xml:space="preserve">≥15天</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不涉及此项指标</w:t>
            </w:r>
          </w:p>
        </w:tc>
        <w:tc>
          <w:tcPr>
            <w:tcW w:w="5386" w:type="dxa"/>
            <w:vAlign w:val="center"/>
          </w:tcPr>
          <w:p>
            <w:pPr>
              <w:pStyle w:val="单元格样式2"/>
            </w:pPr>
            <w:r>
              <w:t xml:space="preserve">不涉及此项指标</w:t>
            </w:r>
          </w:p>
        </w:tc>
        <w:tc>
          <w:tcPr>
            <w:tcW w:w="2268" w:type="dxa"/>
            <w:vAlign w:val="center"/>
          </w:tcPr>
          <w:p>
            <w:pPr>
              <w:pStyle w:val="单元格样式2"/>
            </w:pPr>
            <w:r>
              <w:t xml:space="preserve">无</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广播电视综合人口覆盖率</w:t>
            </w:r>
          </w:p>
        </w:tc>
        <w:tc>
          <w:tcPr>
            <w:tcW w:w="5386" w:type="dxa"/>
            <w:vAlign w:val="center"/>
          </w:tcPr>
          <w:p>
            <w:pPr>
              <w:pStyle w:val="单元格样式2"/>
            </w:pPr>
            <w:r>
              <w:t xml:space="preserve">广播电视综合人口覆盖率</w:t>
            </w:r>
          </w:p>
        </w:tc>
        <w:tc>
          <w:tcPr>
            <w:tcW w:w="2268" w:type="dxa"/>
            <w:vAlign w:val="center"/>
          </w:tcPr>
          <w:p>
            <w:pPr>
              <w:pStyle w:val="单元格样式2"/>
            </w:pPr>
            <w:r>
              <w:t xml:space="preserve">≥90%</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公共数字文化服务人次增长率</w:t>
            </w:r>
          </w:p>
        </w:tc>
        <w:tc>
          <w:tcPr>
            <w:tcW w:w="5386" w:type="dxa"/>
            <w:vAlign w:val="center"/>
          </w:tcPr>
          <w:p>
            <w:pPr>
              <w:pStyle w:val="单元格样式2"/>
            </w:pPr>
            <w:r>
              <w:t xml:space="preserve">公共数字文化服务人次增长率</w:t>
            </w:r>
          </w:p>
        </w:tc>
        <w:tc>
          <w:tcPr>
            <w:tcW w:w="2268" w:type="dxa"/>
            <w:vAlign w:val="center"/>
          </w:tcPr>
          <w:p>
            <w:pPr>
              <w:pStyle w:val="单元格样式2"/>
            </w:pPr>
            <w:r>
              <w:t xml:space="preserve">≥15%</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国民综合阅读率</w:t>
            </w:r>
          </w:p>
        </w:tc>
        <w:tc>
          <w:tcPr>
            <w:tcW w:w="5386" w:type="dxa"/>
            <w:vAlign w:val="center"/>
          </w:tcPr>
          <w:p>
            <w:pPr>
              <w:pStyle w:val="单元格样式2"/>
            </w:pPr>
            <w:r>
              <w:t xml:space="preserve">国民综合阅读率</w:t>
            </w:r>
          </w:p>
        </w:tc>
        <w:tc>
          <w:tcPr>
            <w:tcW w:w="2268" w:type="dxa"/>
            <w:vAlign w:val="center"/>
          </w:tcPr>
          <w:p>
            <w:pPr>
              <w:pStyle w:val="单元格样式2"/>
            </w:pPr>
            <w:r>
              <w:t xml:space="preserve">≥90%</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≥15%</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群众对促进文化消费活动满意度</w:t>
            </w:r>
          </w:p>
        </w:tc>
        <w:tc>
          <w:tcPr>
            <w:tcW w:w="5386" w:type="dxa"/>
            <w:vAlign w:val="center"/>
          </w:tcPr>
          <w:p>
            <w:pPr>
              <w:pStyle w:val="单元格样式2"/>
            </w:pPr>
            <w:r>
              <w:t xml:space="preserve">群众对促进文化消费活动满意度</w:t>
            </w:r>
          </w:p>
        </w:tc>
        <w:tc>
          <w:tcPr>
            <w:tcW w:w="2268" w:type="dxa"/>
            <w:vAlign w:val="center"/>
          </w:tcPr>
          <w:p>
            <w:pPr>
              <w:pStyle w:val="单元格样式2"/>
            </w:pPr>
            <w:r>
              <w:t xml:space="preserve">≥90%</w:t>
            </w:r>
          </w:p>
        </w:tc>
        <w:tc>
          <w:tcPr>
            <w:tcW w:w="1276" w:type="dxa"/>
            <w:vAlign w:val="center"/>
          </w:tcPr>
          <w:p>
            <w:pPr>
              <w:pStyle w:val="单元格样式2"/>
            </w:pPr>
            <w:r>
              <w:t xml:space="preserve">以上级下达任务量计</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13018426P00001110074T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确保文化站正常运行。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0.10</w:t>
            </w:r>
          </w:p>
        </w:tc>
        <w:tc>
          <w:tcPr>
            <w:tcW w:w="2835" w:type="dxa"/>
            <w:vAlign w:val="center"/>
          </w:tcPr>
          <w:p>
            <w:pPr>
              <w:pStyle w:val="单元格样式3"/>
            </w:pPr>
            <w:r>
              <w:t xml:space="preserve">0.20</w:t>
            </w:r>
          </w:p>
        </w:tc>
        <w:tc>
          <w:tcPr>
            <w:tcW w:w="2551" w:type="dxa"/>
            <w:vAlign w:val="center"/>
          </w:tcPr>
          <w:p>
            <w:pPr>
              <w:pStyle w:val="单元格样式3"/>
            </w:pPr>
            <w:r>
              <w:t xml:space="preserve">0.30</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1.主要用于木村乡综合文化站全部免费向社会公众开展基本公共文化服务。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按计划及时开放</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与此指标无关</w:t>
            </w:r>
          </w:p>
        </w:tc>
        <w:tc>
          <w:tcPr>
            <w:tcW w:w="5386" w:type="dxa"/>
            <w:vAlign w:val="center"/>
          </w:tcPr>
          <w:p>
            <w:pPr>
              <w:pStyle w:val="单元格样式2"/>
            </w:pPr>
            <w:r>
              <w:t xml:space="preserve">与此指标无关</w:t>
            </w:r>
          </w:p>
        </w:tc>
        <w:tc>
          <w:tcPr>
            <w:tcW w:w="2268" w:type="dxa"/>
            <w:vAlign w:val="center"/>
          </w:tcPr>
          <w:p>
            <w:pPr>
              <w:pStyle w:val="单元格样式2"/>
            </w:pPr>
            <w:r>
              <w:t xml:space="preserve">无关</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≥5%</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提升</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免费开放文化站馆正常运转</w:t>
            </w:r>
          </w:p>
        </w:tc>
        <w:tc>
          <w:tcPr>
            <w:tcW w:w="5386" w:type="dxa"/>
            <w:vAlign w:val="center"/>
          </w:tcPr>
          <w:p>
            <w:pPr>
              <w:pStyle w:val="单元格样式2"/>
            </w:pPr>
            <w:r>
              <w:t xml:space="preserve">免费开放文化站馆正常运转</w:t>
            </w:r>
          </w:p>
        </w:tc>
        <w:tc>
          <w:tcPr>
            <w:tcW w:w="2268" w:type="dxa"/>
            <w:vAlign w:val="center"/>
          </w:tcPr>
          <w:p>
            <w:pPr>
              <w:pStyle w:val="单元格样式2"/>
            </w:pPr>
            <w:r>
              <w:t xml:space="preserve">正常运转</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按行业相关标准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15、冀财预〔2025〕35号-提前下达2026年革命老区转移支付预算（木村乡中同村道路硬化项目）绩效目标表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13018426P005221100147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冀财预〔2025〕35号-提前下达2026年革命老区转移支付预算（木村乡中同村道路硬化项目）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冀财预〔2025〕35号-提前下达2026年革命老区转移支付预算（木村乡中同村道路硬化项目），为木村乡中同村道路硬化约9500平方米。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30.00</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70.00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1.冀财预〔2025〕35号-提前下达2026年革命老区转移支付预算（木村乡中同村道路硬化项目），为木村乡中同村道路硬化约9500平方米。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道路硬化面积</w:t>
            </w:r>
          </w:p>
        </w:tc>
        <w:tc>
          <w:tcPr>
            <w:tcW w:w="5386" w:type="dxa"/>
            <w:vAlign w:val="center"/>
          </w:tcPr>
          <w:p>
            <w:pPr>
              <w:pStyle w:val="单元格样式2"/>
            </w:pPr>
            <w:r>
              <w:t xml:space="preserve">道路硬化面积</w:t>
            </w:r>
          </w:p>
        </w:tc>
        <w:tc>
          <w:tcPr>
            <w:tcW w:w="2268" w:type="dxa"/>
            <w:vAlign w:val="center"/>
          </w:tcPr>
          <w:p>
            <w:pPr>
              <w:pStyle w:val="单元格样式2"/>
            </w:pPr>
            <w:r>
              <w:t xml:space="preserve">≥9000平方米</w:t>
            </w:r>
          </w:p>
        </w:tc>
        <w:tc>
          <w:tcPr>
            <w:tcW w:w="1276" w:type="dxa"/>
            <w:vAlign w:val="center"/>
          </w:tcPr>
          <w:p>
            <w:pPr>
              <w:pStyle w:val="单元格样式2"/>
            </w:pPr>
            <w:r>
              <w:t xml:space="preserve">按行业相关标准测算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按行业相关标准测算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及时拨付</w:t>
            </w:r>
          </w:p>
        </w:tc>
        <w:tc>
          <w:tcPr>
            <w:tcW w:w="1276" w:type="dxa"/>
            <w:vAlign w:val="center"/>
          </w:tcPr>
          <w:p>
            <w:pPr>
              <w:pStyle w:val="单元格样式2"/>
            </w:pPr>
            <w:r>
              <w:t xml:space="preserve">按行业相关标准测算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≤70万元</w:t>
            </w:r>
          </w:p>
        </w:tc>
        <w:tc>
          <w:tcPr>
            <w:tcW w:w="1276" w:type="dxa"/>
            <w:vAlign w:val="center"/>
          </w:tcPr>
          <w:p>
            <w:pPr>
              <w:pStyle w:val="单元格样式2"/>
            </w:pPr>
            <w:r>
              <w:t xml:space="preserve">按行业相关标准测算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促使区域经济社会发展情况</w:t>
            </w:r>
          </w:p>
        </w:tc>
        <w:tc>
          <w:tcPr>
            <w:tcW w:w="5386" w:type="dxa"/>
            <w:vAlign w:val="center"/>
          </w:tcPr>
          <w:p>
            <w:pPr>
              <w:pStyle w:val="单元格样式2"/>
            </w:pPr>
            <w:r>
              <w:t xml:space="preserve">促使区域经济社会发展情况</w:t>
            </w:r>
          </w:p>
        </w:tc>
        <w:tc>
          <w:tcPr>
            <w:tcW w:w="2268" w:type="dxa"/>
            <w:vAlign w:val="center"/>
          </w:tcPr>
          <w:p>
            <w:pPr>
              <w:pStyle w:val="单元格样式2"/>
            </w:pPr>
            <w:r>
              <w:t xml:space="preserve">提高</w:t>
            </w:r>
          </w:p>
        </w:tc>
        <w:tc>
          <w:tcPr>
            <w:tcW w:w="1276" w:type="dxa"/>
            <w:vAlign w:val="center"/>
          </w:tcPr>
          <w:p>
            <w:pPr>
              <w:pStyle w:val="单元格样式2"/>
            </w:pPr>
            <w:r>
              <w:t xml:space="preserve">按行业相关标准测算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按行业相关标准测算</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915新乐市木村乡</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70.00</w:t>
            </w:r>
          </w:p>
        </w:tc>
        <w:tc>
          <w:tcPr>
            <w:tcW w:w="964" w:type="dxa"/>
            <w:vAlign w:val="center"/>
          </w:tcPr>
          <w:p>
            <w:pPr>
              <w:pStyle w:val="单元格样式7"/>
            </w:pPr>
            <w:r>
              <w:t xml:space="preserve">70.00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70.00</w:t>
            </w:r>
          </w:p>
        </w:tc>
      </w:tr>
      <w:tr>
        <w:tblPrEx>
          <w:jc w:val="center"/>
          <w:tblLayout w:type="fixed"/>
        </w:tblPrEx>
        <w:trPr>
          <w:jc w:val="center"/>
        </w:trPr>
        <w:tc>
          <w:tcPr>
            <w:tcW w:w="1701" w:type="dxa"/>
            <w:vAlign w:val="center"/>
          </w:tcPr>
          <w:p>
            <w:pPr>
              <w:pStyle w:val="单元格样式6"/>
            </w:pPr>
            <w:r>
              <w:t xml:space="preserve">新乐市木村乡人民政府本级小计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70.00</w:t>
            </w:r>
          </w:p>
        </w:tc>
        <w:tc>
          <w:tcPr>
            <w:tcW w:w="964" w:type="dxa"/>
            <w:vAlign w:val="center"/>
          </w:tcPr>
          <w:p>
            <w:pPr>
              <w:pStyle w:val="单元格样式7"/>
            </w:pPr>
            <w:r>
              <w:t xml:space="preserve">70.00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70.00</w:t>
            </w:r>
          </w:p>
        </w:tc>
      </w:tr>
      <w:tr>
        <w:tblPrEx>
          <w:jc w:val="center"/>
          <w:tblLayout w:type="fixed"/>
        </w:tblPrEx>
        <w:trPr>
          <w:jc w:val="center"/>
        </w:trPr>
        <w:tc>
          <w:tcPr>
            <w:tcW w:w="1701" w:type="dxa"/>
            <w:vAlign w:val="center"/>
          </w:tcPr>
          <w:p>
            <w:pPr>
              <w:pStyle w:val="单元格样式2"/>
            </w:pPr>
            <w:r>
              <w:t xml:space="preserve">冀财预〔2025〕35号-提前下达2026年革命老区转移支付预算（木村乡中同村道路硬化项目）</w:t>
            </w:r>
          </w:p>
        </w:tc>
        <w:tc>
          <w:tcPr>
            <w:tcW w:w="964" w:type="dxa"/>
            <w:vAlign w:val="center"/>
          </w:tcPr>
          <w:p>
            <w:pPr>
              <w:pStyle w:val="单元格样式4"/>
            </w:pPr>
            <w:r>
              <w:t xml:space="preserve">70.00</w:t>
            </w:r>
          </w:p>
        </w:tc>
        <w:tc>
          <w:tcPr>
            <w:tcW w:w="1134" w:type="dxa"/>
            <w:vAlign w:val="center"/>
          </w:tcPr>
          <w:p>
            <w:pPr>
              <w:pStyle w:val="单元格样式2"/>
            </w:pPr>
            <w:r>
              <w:t xml:space="preserve">公路工程施工</w:t>
            </w:r>
          </w:p>
        </w:tc>
        <w:tc>
          <w:tcPr>
            <w:tcW w:w="1134" w:type="dxa"/>
            <w:vAlign w:val="center"/>
          </w:tcPr>
          <w:p>
            <w:pPr>
              <w:pStyle w:val="单元格样式2"/>
            </w:pPr>
            <w:r>
              <w:t xml:space="preserve">B02020000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70.00</w:t>
            </w:r>
          </w:p>
        </w:tc>
        <w:tc>
          <w:tcPr>
            <w:tcW w:w="964" w:type="dxa"/>
            <w:vAlign w:val="center"/>
          </w:tcPr>
          <w:p>
            <w:pPr>
              <w:pStyle w:val="单元格样式4"/>
            </w:pPr>
            <w:r>
              <w:t xml:space="preserve">70.00</w:t>
            </w:r>
          </w:p>
        </w:tc>
        <w:tc>
          <w:tcPr>
            <w:tcW w:w="964" w:type="dxa"/>
            <w:vAlign w:val="center"/>
          </w:tcPr>
          <w:p>
            <w:pPr>
              <w:pStyle w:val="单元格样式4"/>
            </w:pPr>
            <w:r>
              <w:t xml:space="preserve">70.00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新乐市木村乡（含所属单位）上年末固定资产金额为624.48万元（详见下表）。本年度拟购置固定资产总额为0.00万元，已按要求列入政府采购预算，详见政府采购预算表。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915新乐市木村乡</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624.48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3404.86</w:t>
            </w:r>
          </w:p>
        </w:tc>
        <w:tc>
          <w:tcPr>
            <w:tcW w:w="2835" w:type="dxa"/>
            <w:vAlign w:val="center"/>
          </w:tcPr>
          <w:p>
            <w:pPr>
              <w:pStyle w:val="单元格样式4"/>
            </w:pPr>
            <w:r>
              <w:t xml:space="preserve">235.84</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3404.86</w:t>
            </w:r>
          </w:p>
        </w:tc>
        <w:tc>
          <w:tcPr>
            <w:tcW w:w="2835" w:type="dxa"/>
            <w:vAlign w:val="center"/>
          </w:tcPr>
          <w:p>
            <w:pPr>
              <w:pStyle w:val="单元格样式4"/>
            </w:pPr>
            <w:r>
              <w:t xml:space="preserve">235.84</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4</w:t>
            </w:r>
          </w:p>
        </w:tc>
        <w:tc>
          <w:tcPr>
            <w:tcW w:w="2835" w:type="dxa"/>
            <w:vAlign w:val="center"/>
          </w:tcPr>
          <w:p>
            <w:pPr>
              <w:pStyle w:val="单元格样式4"/>
            </w:pPr>
            <w:r>
              <w:t xml:space="preserve">54.43</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2</w:t>
            </w:r>
          </w:p>
        </w:tc>
        <w:tc>
          <w:tcPr>
            <w:tcW w:w="2835" w:type="dxa"/>
            <w:vAlign w:val="center"/>
          </w:tcPr>
          <w:p>
            <w:pPr>
              <w:pStyle w:val="单元格样式4"/>
            </w:pPr>
            <w:r>
              <w:t xml:space="preserve">135.57</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473</w:t>
            </w:r>
          </w:p>
        </w:tc>
        <w:tc>
          <w:tcPr>
            <w:tcW w:w="2835" w:type="dxa"/>
            <w:vAlign w:val="center"/>
          </w:tcPr>
          <w:p>
            <w:pPr>
              <w:pStyle w:val="单元格样式4"/>
            </w:pPr>
            <w:r>
              <w:t xml:space="preserve">198.64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64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63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66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2026-03-09T10:43:19Z</dcterms:created>
  <dcterms:modified xsi:type="dcterms:W3CDTF">2026-03-09T10:43:19Z</dcterms:modified>
</cp:coreProperties>
</file>