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一、新乐市民族宗教事务局收支预算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一、新乐市民族宗教事务局收支预算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190.34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122.59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47.68</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5.79</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11.38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190.34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190.34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190.34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190.34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190.34</w:t>
            </w:r>
          </w:p>
        </w:tc>
        <w:tc>
          <w:tcPr>
            <w:tcW w:w="1134" w:type="dxa"/>
            <w:vAlign w:val="center"/>
          </w:tcPr>
          <w:p>
            <w:pPr>
              <w:pStyle w:val="单元格样式7"/>
            </w:pPr>
            <w:r>
              <w:t xml:space="preserve">190.34</w:t>
            </w:r>
          </w:p>
        </w:tc>
        <w:tc>
          <w:tcPr>
            <w:tcW w:w="1134" w:type="dxa"/>
            <w:vAlign w:val="center"/>
          </w:tcPr>
          <w:p>
            <w:pPr>
              <w:pStyle w:val="单元格样式7"/>
            </w:pPr>
            <w:r>
              <w:t xml:space="preserve">190.34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122.59</w:t>
            </w:r>
          </w:p>
        </w:tc>
        <w:tc>
          <w:tcPr>
            <w:tcW w:w="1134" w:type="dxa"/>
            <w:vAlign w:val="center"/>
          </w:tcPr>
          <w:p>
            <w:pPr>
              <w:pStyle w:val="单元格样式4"/>
            </w:pPr>
            <w:r>
              <w:t xml:space="preserve">122.59</w:t>
            </w:r>
          </w:p>
        </w:tc>
        <w:tc>
          <w:tcPr>
            <w:tcW w:w="1134" w:type="dxa"/>
            <w:vAlign w:val="center"/>
          </w:tcPr>
          <w:p>
            <w:pPr>
              <w:pStyle w:val="单元格样式4"/>
            </w:pPr>
            <w:r>
              <w:t xml:space="preserve">122.59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20123</w:t>
            </w:r>
          </w:p>
        </w:tc>
        <w:tc>
          <w:tcPr>
            <w:tcW w:w="1559" w:type="dxa"/>
            <w:vAlign w:val="center"/>
          </w:tcPr>
          <w:p>
            <w:pPr>
              <w:pStyle w:val="单元格样式2"/>
            </w:pPr>
            <w:r>
              <w:t xml:space="preserve">民族事务</w:t>
            </w:r>
          </w:p>
        </w:tc>
        <w:tc>
          <w:tcPr>
            <w:tcW w:w="1134" w:type="dxa"/>
            <w:vAlign w:val="center"/>
          </w:tcPr>
          <w:p>
            <w:pPr>
              <w:pStyle w:val="单元格样式4"/>
            </w:pPr>
            <w:r>
              <w:t xml:space="preserve">119.59</w:t>
            </w:r>
          </w:p>
        </w:tc>
        <w:tc>
          <w:tcPr>
            <w:tcW w:w="1134" w:type="dxa"/>
            <w:vAlign w:val="center"/>
          </w:tcPr>
          <w:p>
            <w:pPr>
              <w:pStyle w:val="单元格样式4"/>
            </w:pPr>
            <w:r>
              <w:t xml:space="preserve">119.59</w:t>
            </w:r>
          </w:p>
        </w:tc>
        <w:tc>
          <w:tcPr>
            <w:tcW w:w="1134" w:type="dxa"/>
            <w:vAlign w:val="center"/>
          </w:tcPr>
          <w:p>
            <w:pPr>
              <w:pStyle w:val="单元格样式4"/>
            </w:pPr>
            <w:r>
              <w:t xml:space="preserve">119.59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107.59</w:t>
            </w:r>
          </w:p>
        </w:tc>
        <w:tc>
          <w:tcPr>
            <w:tcW w:w="1134" w:type="dxa"/>
            <w:vAlign w:val="center"/>
          </w:tcPr>
          <w:p>
            <w:pPr>
              <w:pStyle w:val="单元格样式4"/>
            </w:pPr>
            <w:r>
              <w:t xml:space="preserve">107.59</w:t>
            </w:r>
          </w:p>
        </w:tc>
        <w:tc>
          <w:tcPr>
            <w:tcW w:w="1134" w:type="dxa"/>
            <w:vAlign w:val="center"/>
          </w:tcPr>
          <w:p>
            <w:pPr>
              <w:pStyle w:val="单元格样式4"/>
            </w:pPr>
            <w:r>
              <w:t xml:space="preserve">107.59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2012304</w:t>
            </w:r>
          </w:p>
        </w:tc>
        <w:tc>
          <w:tcPr>
            <w:tcW w:w="1559" w:type="dxa"/>
            <w:vAlign w:val="center"/>
          </w:tcPr>
          <w:p>
            <w:pPr>
              <w:pStyle w:val="单元格样式2"/>
            </w:pPr>
            <w:r>
              <w:t xml:space="preserve">民族工作专项</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r>
              <w:t xml:space="preserve">12.00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20134</w:t>
            </w:r>
          </w:p>
        </w:tc>
        <w:tc>
          <w:tcPr>
            <w:tcW w:w="1559" w:type="dxa"/>
            <w:vAlign w:val="center"/>
          </w:tcPr>
          <w:p>
            <w:pPr>
              <w:pStyle w:val="单元格样式2"/>
            </w:pPr>
            <w:r>
              <w:t xml:space="preserve">统战事务</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2013404</w:t>
            </w:r>
          </w:p>
        </w:tc>
        <w:tc>
          <w:tcPr>
            <w:tcW w:w="1559" w:type="dxa"/>
            <w:vAlign w:val="center"/>
          </w:tcPr>
          <w:p>
            <w:pPr>
              <w:pStyle w:val="单元格样式2"/>
            </w:pPr>
            <w:r>
              <w:t xml:space="preserve">宗教事务</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r>
              <w:t xml:space="preserve">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47.68</w:t>
            </w:r>
          </w:p>
        </w:tc>
        <w:tc>
          <w:tcPr>
            <w:tcW w:w="1134" w:type="dxa"/>
            <w:vAlign w:val="center"/>
          </w:tcPr>
          <w:p>
            <w:pPr>
              <w:pStyle w:val="单元格样式4"/>
            </w:pPr>
            <w:r>
              <w:t xml:space="preserve">47.68</w:t>
            </w:r>
          </w:p>
        </w:tc>
        <w:tc>
          <w:tcPr>
            <w:tcW w:w="1134" w:type="dxa"/>
            <w:vAlign w:val="center"/>
          </w:tcPr>
          <w:p>
            <w:pPr>
              <w:pStyle w:val="单元格样式4"/>
            </w:pPr>
            <w:r>
              <w:t xml:space="preserve">47.68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47.29</w:t>
            </w:r>
          </w:p>
        </w:tc>
        <w:tc>
          <w:tcPr>
            <w:tcW w:w="1134" w:type="dxa"/>
            <w:vAlign w:val="center"/>
          </w:tcPr>
          <w:p>
            <w:pPr>
              <w:pStyle w:val="单元格样式4"/>
            </w:pPr>
            <w:r>
              <w:t xml:space="preserve">47.29</w:t>
            </w:r>
          </w:p>
        </w:tc>
        <w:tc>
          <w:tcPr>
            <w:tcW w:w="1134" w:type="dxa"/>
            <w:vAlign w:val="center"/>
          </w:tcPr>
          <w:p>
            <w:pPr>
              <w:pStyle w:val="单元格样式4"/>
            </w:pPr>
            <w:r>
              <w:t xml:space="preserve">47.29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28.84</w:t>
            </w:r>
          </w:p>
        </w:tc>
        <w:tc>
          <w:tcPr>
            <w:tcW w:w="1134" w:type="dxa"/>
            <w:vAlign w:val="center"/>
          </w:tcPr>
          <w:p>
            <w:pPr>
              <w:pStyle w:val="单元格样式4"/>
            </w:pPr>
            <w:r>
              <w:t xml:space="preserve">28.84</w:t>
            </w:r>
          </w:p>
        </w:tc>
        <w:tc>
          <w:tcPr>
            <w:tcW w:w="1134" w:type="dxa"/>
            <w:vAlign w:val="center"/>
          </w:tcPr>
          <w:p>
            <w:pPr>
              <w:pStyle w:val="单元格样式4"/>
            </w:pPr>
            <w:r>
              <w:t xml:space="preserve">28.84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12.30</w:t>
            </w:r>
          </w:p>
        </w:tc>
        <w:tc>
          <w:tcPr>
            <w:tcW w:w="1134" w:type="dxa"/>
            <w:vAlign w:val="center"/>
          </w:tcPr>
          <w:p>
            <w:pPr>
              <w:pStyle w:val="单元格样式4"/>
            </w:pPr>
            <w:r>
              <w:t xml:space="preserve">12.30</w:t>
            </w:r>
          </w:p>
        </w:tc>
        <w:tc>
          <w:tcPr>
            <w:tcW w:w="1134" w:type="dxa"/>
            <w:vAlign w:val="center"/>
          </w:tcPr>
          <w:p>
            <w:pPr>
              <w:pStyle w:val="单元格样式4"/>
            </w:pPr>
            <w:r>
              <w:t xml:space="preserve">12.30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r>
              <w:t xml:space="preserve">6.15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r>
              <w:t xml:space="preserve">0.39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r>
              <w:t xml:space="preserve">5.79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216</w:t>
            </w:r>
          </w:p>
        </w:tc>
        <w:tc>
          <w:tcPr>
            <w:tcW w:w="1559" w:type="dxa"/>
            <w:vAlign w:val="center"/>
          </w:tcPr>
          <w:p>
            <w:pPr>
              <w:pStyle w:val="单元格样式2"/>
            </w:pPr>
            <w:r>
              <w:t xml:space="preserve">商业服务业等支出</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21602</w:t>
            </w:r>
          </w:p>
        </w:tc>
        <w:tc>
          <w:tcPr>
            <w:tcW w:w="1559" w:type="dxa"/>
            <w:vAlign w:val="center"/>
          </w:tcPr>
          <w:p>
            <w:pPr>
              <w:pStyle w:val="单元格样式2"/>
            </w:pPr>
            <w:r>
              <w:t xml:space="preserve">商业流通事务</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2160219</w:t>
            </w:r>
          </w:p>
        </w:tc>
        <w:tc>
          <w:tcPr>
            <w:tcW w:w="1559" w:type="dxa"/>
            <w:vAlign w:val="center"/>
          </w:tcPr>
          <w:p>
            <w:pPr>
              <w:pStyle w:val="单元格样式2"/>
            </w:pPr>
            <w:r>
              <w:t xml:space="preserve">民贸民品贷款贴息</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r>
              <w:t xml:space="preserve">2.90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r>
              <w:t xml:space="preserve">11.38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190.34</w:t>
            </w:r>
          </w:p>
        </w:tc>
        <w:tc>
          <w:tcPr>
            <w:tcW w:w="1361" w:type="dxa"/>
            <w:vAlign w:val="center"/>
          </w:tcPr>
          <w:p>
            <w:pPr>
              <w:pStyle w:val="单元格样式7"/>
            </w:pPr>
            <w:r>
              <w:t xml:space="preserve">172.44</w:t>
            </w:r>
          </w:p>
        </w:tc>
        <w:tc>
          <w:tcPr>
            <w:tcW w:w="1361" w:type="dxa"/>
            <w:vAlign w:val="center"/>
          </w:tcPr>
          <w:p>
            <w:pPr>
              <w:pStyle w:val="单元格样式7"/>
            </w:pPr>
            <w:r>
              <w:t xml:space="preserve">17.90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122.59</w:t>
            </w:r>
          </w:p>
        </w:tc>
        <w:tc>
          <w:tcPr>
            <w:tcW w:w="1361" w:type="dxa"/>
            <w:vAlign w:val="center"/>
          </w:tcPr>
          <w:p>
            <w:pPr>
              <w:pStyle w:val="单元格样式4"/>
            </w:pPr>
            <w:r>
              <w:t xml:space="preserve">107.59</w:t>
            </w:r>
          </w:p>
        </w:tc>
        <w:tc>
          <w:tcPr>
            <w:tcW w:w="1361" w:type="dxa"/>
            <w:vAlign w:val="center"/>
          </w:tcPr>
          <w:p>
            <w:pPr>
              <w:pStyle w:val="单元格样式4"/>
            </w:pPr>
            <w:r>
              <w:t xml:space="preserve">15.00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20123</w:t>
            </w:r>
          </w:p>
        </w:tc>
        <w:tc>
          <w:tcPr>
            <w:tcW w:w="4535" w:type="dxa"/>
            <w:vAlign w:val="center"/>
          </w:tcPr>
          <w:p>
            <w:pPr>
              <w:pStyle w:val="单元格样式2"/>
            </w:pPr>
            <w:r>
              <w:t xml:space="preserve">民族事务</w:t>
            </w:r>
          </w:p>
        </w:tc>
        <w:tc>
          <w:tcPr>
            <w:tcW w:w="1361" w:type="dxa"/>
            <w:vAlign w:val="center"/>
          </w:tcPr>
          <w:p>
            <w:pPr>
              <w:pStyle w:val="单元格样式4"/>
            </w:pPr>
            <w:r>
              <w:t xml:space="preserve">119.59</w:t>
            </w:r>
          </w:p>
        </w:tc>
        <w:tc>
          <w:tcPr>
            <w:tcW w:w="1361" w:type="dxa"/>
            <w:vAlign w:val="center"/>
          </w:tcPr>
          <w:p>
            <w:pPr>
              <w:pStyle w:val="单元格样式4"/>
            </w:pPr>
            <w:r>
              <w:t xml:space="preserve">107.59</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107.59</w:t>
            </w:r>
          </w:p>
        </w:tc>
        <w:tc>
          <w:tcPr>
            <w:tcW w:w="1361" w:type="dxa"/>
            <w:vAlign w:val="center"/>
          </w:tcPr>
          <w:p>
            <w:pPr>
              <w:pStyle w:val="单元格样式4"/>
            </w:pPr>
            <w:r>
              <w:t xml:space="preserve">107.59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2012304</w:t>
            </w:r>
          </w:p>
        </w:tc>
        <w:tc>
          <w:tcPr>
            <w:tcW w:w="4535" w:type="dxa"/>
            <w:vAlign w:val="center"/>
          </w:tcPr>
          <w:p>
            <w:pPr>
              <w:pStyle w:val="单元格样式2"/>
            </w:pPr>
            <w:r>
              <w:t xml:space="preserve">民族工作专项</w:t>
            </w: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r>
              <w:t xml:space="preserve">12.00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20134</w:t>
            </w:r>
          </w:p>
        </w:tc>
        <w:tc>
          <w:tcPr>
            <w:tcW w:w="4535" w:type="dxa"/>
            <w:vAlign w:val="center"/>
          </w:tcPr>
          <w:p>
            <w:pPr>
              <w:pStyle w:val="单元格样式2"/>
            </w:pPr>
            <w:r>
              <w:t xml:space="preserve">统战事务</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47.68</w:t>
            </w:r>
          </w:p>
        </w:tc>
        <w:tc>
          <w:tcPr>
            <w:tcW w:w="1361" w:type="dxa"/>
            <w:vAlign w:val="center"/>
          </w:tcPr>
          <w:p>
            <w:pPr>
              <w:pStyle w:val="单元格样式4"/>
            </w:pPr>
            <w:r>
              <w:t xml:space="preserve">47.68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47.29</w:t>
            </w:r>
          </w:p>
        </w:tc>
        <w:tc>
          <w:tcPr>
            <w:tcW w:w="1361" w:type="dxa"/>
            <w:vAlign w:val="center"/>
          </w:tcPr>
          <w:p>
            <w:pPr>
              <w:pStyle w:val="单元格样式4"/>
            </w:pPr>
            <w:r>
              <w:t xml:space="preserve">47.29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28.84</w:t>
            </w:r>
          </w:p>
        </w:tc>
        <w:tc>
          <w:tcPr>
            <w:tcW w:w="1361" w:type="dxa"/>
            <w:vAlign w:val="center"/>
          </w:tcPr>
          <w:p>
            <w:pPr>
              <w:pStyle w:val="单元格样式4"/>
            </w:pPr>
            <w:r>
              <w:t xml:space="preserve">28.84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12.30</w:t>
            </w:r>
          </w:p>
        </w:tc>
        <w:tc>
          <w:tcPr>
            <w:tcW w:w="1361" w:type="dxa"/>
            <w:vAlign w:val="center"/>
          </w:tcPr>
          <w:p>
            <w:pPr>
              <w:pStyle w:val="单元格样式4"/>
            </w:pPr>
            <w:r>
              <w:t xml:space="preserve">12.30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6.15</w:t>
            </w:r>
          </w:p>
        </w:tc>
        <w:tc>
          <w:tcPr>
            <w:tcW w:w="1361" w:type="dxa"/>
            <w:vAlign w:val="center"/>
          </w:tcPr>
          <w:p>
            <w:pPr>
              <w:pStyle w:val="单元格样式4"/>
            </w:pPr>
            <w:r>
              <w:t xml:space="preserve">6.15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0.39</w:t>
            </w:r>
          </w:p>
        </w:tc>
        <w:tc>
          <w:tcPr>
            <w:tcW w:w="1361" w:type="dxa"/>
            <w:vAlign w:val="center"/>
          </w:tcPr>
          <w:p>
            <w:pPr>
              <w:pStyle w:val="单元格样式4"/>
            </w:pPr>
            <w:r>
              <w:t xml:space="preserve">0.39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0.39</w:t>
            </w:r>
          </w:p>
        </w:tc>
        <w:tc>
          <w:tcPr>
            <w:tcW w:w="1361" w:type="dxa"/>
            <w:vAlign w:val="center"/>
          </w:tcPr>
          <w:p>
            <w:pPr>
              <w:pStyle w:val="单元格样式4"/>
            </w:pPr>
            <w:r>
              <w:t xml:space="preserve">0.39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5.79</w:t>
            </w:r>
          </w:p>
        </w:tc>
        <w:tc>
          <w:tcPr>
            <w:tcW w:w="1361" w:type="dxa"/>
            <w:vAlign w:val="center"/>
          </w:tcPr>
          <w:p>
            <w:pPr>
              <w:pStyle w:val="单元格样式4"/>
            </w:pPr>
            <w:r>
              <w:t xml:space="preserve">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5.79</w:t>
            </w:r>
          </w:p>
        </w:tc>
        <w:tc>
          <w:tcPr>
            <w:tcW w:w="1361" w:type="dxa"/>
            <w:vAlign w:val="center"/>
          </w:tcPr>
          <w:p>
            <w:pPr>
              <w:pStyle w:val="单元格样式4"/>
            </w:pPr>
            <w:r>
              <w:t xml:space="preserve">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5.79</w:t>
            </w:r>
          </w:p>
        </w:tc>
        <w:tc>
          <w:tcPr>
            <w:tcW w:w="1361" w:type="dxa"/>
            <w:vAlign w:val="center"/>
          </w:tcPr>
          <w:p>
            <w:pPr>
              <w:pStyle w:val="单元格样式4"/>
            </w:pPr>
            <w:r>
              <w:t xml:space="preserve">5.79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216</w:t>
            </w:r>
          </w:p>
        </w:tc>
        <w:tc>
          <w:tcPr>
            <w:tcW w:w="4535" w:type="dxa"/>
            <w:vAlign w:val="center"/>
          </w:tcPr>
          <w:p>
            <w:pPr>
              <w:pStyle w:val="单元格样式2"/>
            </w:pPr>
            <w:r>
              <w:t xml:space="preserve">商业服务业等支出</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21602</w:t>
            </w:r>
          </w:p>
        </w:tc>
        <w:tc>
          <w:tcPr>
            <w:tcW w:w="4535" w:type="dxa"/>
            <w:vAlign w:val="center"/>
          </w:tcPr>
          <w:p>
            <w:pPr>
              <w:pStyle w:val="单元格样式2"/>
            </w:pPr>
            <w:r>
              <w:t xml:space="preserve">商业流通事务</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2160219</w:t>
            </w:r>
          </w:p>
        </w:tc>
        <w:tc>
          <w:tcPr>
            <w:tcW w:w="4535" w:type="dxa"/>
            <w:vAlign w:val="center"/>
          </w:tcPr>
          <w:p>
            <w:pPr>
              <w:pStyle w:val="单元格样式2"/>
            </w:pPr>
            <w:r>
              <w:t xml:space="preserve">民贸民品贷款贴息</w:t>
            </w: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r>
              <w:t xml:space="preserve">2.90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11.38</w:t>
            </w:r>
          </w:p>
        </w:tc>
        <w:tc>
          <w:tcPr>
            <w:tcW w:w="1361" w:type="dxa"/>
            <w:vAlign w:val="center"/>
          </w:tcPr>
          <w:p>
            <w:pPr>
              <w:pStyle w:val="单元格样式4"/>
            </w:pPr>
            <w:r>
              <w:t xml:space="preserve">11.38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11.38</w:t>
            </w:r>
          </w:p>
        </w:tc>
        <w:tc>
          <w:tcPr>
            <w:tcW w:w="1361" w:type="dxa"/>
            <w:vAlign w:val="center"/>
          </w:tcPr>
          <w:p>
            <w:pPr>
              <w:pStyle w:val="单元格样式4"/>
            </w:pPr>
            <w:r>
              <w:t xml:space="preserve">11.38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11.38</w:t>
            </w:r>
          </w:p>
        </w:tc>
        <w:tc>
          <w:tcPr>
            <w:tcW w:w="1361" w:type="dxa"/>
            <w:vAlign w:val="center"/>
          </w:tcPr>
          <w:p>
            <w:pPr>
              <w:pStyle w:val="单元格样式4"/>
            </w:pPr>
            <w:r>
              <w:t xml:space="preserve">11.38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190.34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122.59</w:t>
            </w:r>
          </w:p>
        </w:tc>
        <w:tc>
          <w:tcPr>
            <w:tcW w:w="1474" w:type="dxa"/>
            <w:vAlign w:val="center"/>
          </w:tcPr>
          <w:p>
            <w:pPr>
              <w:pStyle w:val="单元格样式4"/>
            </w:pPr>
            <w:r>
              <w:t xml:space="preserve">122.59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47.68</w:t>
            </w:r>
          </w:p>
        </w:tc>
        <w:tc>
          <w:tcPr>
            <w:tcW w:w="1474" w:type="dxa"/>
            <w:vAlign w:val="center"/>
          </w:tcPr>
          <w:p>
            <w:pPr>
              <w:pStyle w:val="单元格样式4"/>
            </w:pPr>
            <w:r>
              <w:t xml:space="preserve">47.68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5.79</w:t>
            </w:r>
          </w:p>
        </w:tc>
        <w:tc>
          <w:tcPr>
            <w:tcW w:w="1474" w:type="dxa"/>
            <w:vAlign w:val="center"/>
          </w:tcPr>
          <w:p>
            <w:pPr>
              <w:pStyle w:val="单元格样式4"/>
            </w:pPr>
            <w:r>
              <w:t xml:space="preserve">5.79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r>
              <w:t xml:space="preserve">2.90</w:t>
            </w:r>
          </w:p>
        </w:tc>
        <w:tc>
          <w:tcPr>
            <w:tcW w:w="1474" w:type="dxa"/>
            <w:vAlign w:val="center"/>
          </w:tcPr>
          <w:p>
            <w:pPr>
              <w:pStyle w:val="单元格样式4"/>
            </w:pPr>
            <w:r>
              <w:t xml:space="preserve">2.90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11.38</w:t>
            </w:r>
          </w:p>
        </w:tc>
        <w:tc>
          <w:tcPr>
            <w:tcW w:w="1474" w:type="dxa"/>
            <w:vAlign w:val="center"/>
          </w:tcPr>
          <w:p>
            <w:pPr>
              <w:pStyle w:val="单元格样式4"/>
            </w:pPr>
            <w:r>
              <w:t xml:space="preserve">11.38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190.34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190.34</w:t>
            </w:r>
          </w:p>
        </w:tc>
        <w:tc>
          <w:tcPr>
            <w:tcW w:w="1474" w:type="dxa"/>
            <w:vAlign w:val="center"/>
          </w:tcPr>
          <w:p>
            <w:pPr>
              <w:pStyle w:val="单元格样式7"/>
            </w:pPr>
            <w:r>
              <w:t xml:space="preserve">190.34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190.34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190.34</w:t>
            </w:r>
          </w:p>
        </w:tc>
        <w:tc>
          <w:tcPr>
            <w:tcW w:w="1474" w:type="dxa"/>
            <w:vAlign w:val="center"/>
          </w:tcPr>
          <w:p>
            <w:pPr>
              <w:pStyle w:val="单元格样式7"/>
            </w:pPr>
            <w:r>
              <w:t xml:space="preserve">190.34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190.34</w:t>
            </w:r>
          </w:p>
        </w:tc>
        <w:tc>
          <w:tcPr>
            <w:tcW w:w="2551" w:type="dxa"/>
            <w:vAlign w:val="center"/>
          </w:tcPr>
          <w:p>
            <w:pPr>
              <w:pStyle w:val="单元格样式7"/>
            </w:pPr>
            <w:r>
              <w:t xml:space="preserve">172.44</w:t>
            </w:r>
          </w:p>
        </w:tc>
        <w:tc>
          <w:tcPr>
            <w:tcW w:w="2551" w:type="dxa"/>
            <w:vAlign w:val="center"/>
          </w:tcPr>
          <w:p>
            <w:pPr>
              <w:pStyle w:val="单元格样式7"/>
            </w:pPr>
            <w:r>
              <w:t xml:space="preserve">17.90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122.59</w:t>
            </w:r>
          </w:p>
        </w:tc>
        <w:tc>
          <w:tcPr>
            <w:tcW w:w="2551" w:type="dxa"/>
            <w:vAlign w:val="center"/>
          </w:tcPr>
          <w:p>
            <w:pPr>
              <w:pStyle w:val="单元格样式4"/>
            </w:pPr>
            <w:r>
              <w:t xml:space="preserve">107.59</w:t>
            </w: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20123</w:t>
            </w:r>
          </w:p>
        </w:tc>
        <w:tc>
          <w:tcPr>
            <w:tcW w:w="4535" w:type="dxa"/>
            <w:vAlign w:val="center"/>
          </w:tcPr>
          <w:p>
            <w:pPr>
              <w:pStyle w:val="单元格样式2"/>
            </w:pPr>
            <w:r>
              <w:t xml:space="preserve">民族事务</w:t>
            </w:r>
          </w:p>
        </w:tc>
        <w:tc>
          <w:tcPr>
            <w:tcW w:w="2551" w:type="dxa"/>
            <w:vAlign w:val="center"/>
          </w:tcPr>
          <w:p>
            <w:pPr>
              <w:pStyle w:val="单元格样式4"/>
            </w:pPr>
            <w:r>
              <w:t xml:space="preserve">119.59</w:t>
            </w:r>
          </w:p>
        </w:tc>
        <w:tc>
          <w:tcPr>
            <w:tcW w:w="2551" w:type="dxa"/>
            <w:vAlign w:val="center"/>
          </w:tcPr>
          <w:p>
            <w:pPr>
              <w:pStyle w:val="单元格样式4"/>
            </w:pPr>
            <w:r>
              <w:t xml:space="preserve">107.59</w:t>
            </w: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107.59</w:t>
            </w:r>
          </w:p>
        </w:tc>
        <w:tc>
          <w:tcPr>
            <w:tcW w:w="2551" w:type="dxa"/>
            <w:vAlign w:val="center"/>
          </w:tcPr>
          <w:p>
            <w:pPr>
              <w:pStyle w:val="单元格样式4"/>
            </w:pPr>
            <w:r>
              <w:t xml:space="preserve">107.59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2012304</w:t>
            </w:r>
          </w:p>
        </w:tc>
        <w:tc>
          <w:tcPr>
            <w:tcW w:w="4535" w:type="dxa"/>
            <w:vAlign w:val="center"/>
          </w:tcPr>
          <w:p>
            <w:pPr>
              <w:pStyle w:val="单元格样式2"/>
            </w:pPr>
            <w:r>
              <w:t xml:space="preserve">民族工作专项</w:t>
            </w:r>
          </w:p>
        </w:tc>
        <w:tc>
          <w:tcPr>
            <w:tcW w:w="2551" w:type="dxa"/>
            <w:vAlign w:val="center"/>
          </w:tcPr>
          <w:p>
            <w:pPr>
              <w:pStyle w:val="单元格样式4"/>
            </w:pPr>
            <w:r>
              <w:t xml:space="preserve">12.00</w:t>
            </w:r>
          </w:p>
        </w:tc>
        <w:tc>
          <w:tcPr>
            <w:tcW w:w="2551" w:type="dxa"/>
            <w:vAlign w:val="center"/>
          </w:tcPr>
          <w:p>
            <w:pPr>
              <w:pStyle w:val="单元格样式4"/>
            </w:pPr>
          </w:p>
        </w:tc>
        <w:tc>
          <w:tcPr>
            <w:tcW w:w="2551" w:type="dxa"/>
            <w:vAlign w:val="center"/>
          </w:tcPr>
          <w:p>
            <w:pPr>
              <w:pStyle w:val="单元格样式4"/>
            </w:pPr>
            <w:r>
              <w:t xml:space="preserve">12.00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20134</w:t>
            </w:r>
          </w:p>
        </w:tc>
        <w:tc>
          <w:tcPr>
            <w:tcW w:w="4535" w:type="dxa"/>
            <w:vAlign w:val="center"/>
          </w:tcPr>
          <w:p>
            <w:pPr>
              <w:pStyle w:val="单元格样式2"/>
            </w:pPr>
            <w:r>
              <w:t xml:space="preserve">统战事务</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2013404</w:t>
            </w:r>
          </w:p>
        </w:tc>
        <w:tc>
          <w:tcPr>
            <w:tcW w:w="4535" w:type="dxa"/>
            <w:vAlign w:val="center"/>
          </w:tcPr>
          <w:p>
            <w:pPr>
              <w:pStyle w:val="单元格样式2"/>
            </w:pPr>
            <w:r>
              <w:t xml:space="preserve">宗教事务</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47.68</w:t>
            </w:r>
          </w:p>
        </w:tc>
        <w:tc>
          <w:tcPr>
            <w:tcW w:w="2551" w:type="dxa"/>
            <w:vAlign w:val="center"/>
          </w:tcPr>
          <w:p>
            <w:pPr>
              <w:pStyle w:val="单元格样式4"/>
            </w:pPr>
            <w:r>
              <w:t xml:space="preserve">47.68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47.29</w:t>
            </w:r>
          </w:p>
        </w:tc>
        <w:tc>
          <w:tcPr>
            <w:tcW w:w="2551" w:type="dxa"/>
            <w:vAlign w:val="center"/>
          </w:tcPr>
          <w:p>
            <w:pPr>
              <w:pStyle w:val="单元格样式4"/>
            </w:pPr>
            <w:r>
              <w:t xml:space="preserve">47.29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28.84</w:t>
            </w:r>
          </w:p>
        </w:tc>
        <w:tc>
          <w:tcPr>
            <w:tcW w:w="2551" w:type="dxa"/>
            <w:vAlign w:val="center"/>
          </w:tcPr>
          <w:p>
            <w:pPr>
              <w:pStyle w:val="单元格样式4"/>
            </w:pPr>
            <w:r>
              <w:t xml:space="preserve">28.84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12.30</w:t>
            </w:r>
          </w:p>
        </w:tc>
        <w:tc>
          <w:tcPr>
            <w:tcW w:w="2551" w:type="dxa"/>
            <w:vAlign w:val="center"/>
          </w:tcPr>
          <w:p>
            <w:pPr>
              <w:pStyle w:val="单元格样式4"/>
            </w:pPr>
            <w:r>
              <w:t xml:space="preserve">12.30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0.39</w:t>
            </w:r>
          </w:p>
        </w:tc>
        <w:tc>
          <w:tcPr>
            <w:tcW w:w="2551" w:type="dxa"/>
            <w:vAlign w:val="center"/>
          </w:tcPr>
          <w:p>
            <w:pPr>
              <w:pStyle w:val="单元格样式4"/>
            </w:pPr>
            <w:r>
              <w:t xml:space="preserve">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0.39</w:t>
            </w:r>
          </w:p>
        </w:tc>
        <w:tc>
          <w:tcPr>
            <w:tcW w:w="2551" w:type="dxa"/>
            <w:vAlign w:val="center"/>
          </w:tcPr>
          <w:p>
            <w:pPr>
              <w:pStyle w:val="单元格样式4"/>
            </w:pPr>
            <w:r>
              <w:t xml:space="preserve">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216</w:t>
            </w:r>
          </w:p>
        </w:tc>
        <w:tc>
          <w:tcPr>
            <w:tcW w:w="4535" w:type="dxa"/>
            <w:vAlign w:val="center"/>
          </w:tcPr>
          <w:p>
            <w:pPr>
              <w:pStyle w:val="单元格样式2"/>
            </w:pPr>
            <w:r>
              <w:t xml:space="preserve">商业服务业等支出</w:t>
            </w:r>
          </w:p>
        </w:tc>
        <w:tc>
          <w:tcPr>
            <w:tcW w:w="2551" w:type="dxa"/>
            <w:vAlign w:val="center"/>
          </w:tcPr>
          <w:p>
            <w:pPr>
              <w:pStyle w:val="单元格样式4"/>
            </w:pPr>
            <w:r>
              <w:t xml:space="preserve">2.90</w:t>
            </w:r>
          </w:p>
        </w:tc>
        <w:tc>
          <w:tcPr>
            <w:tcW w:w="2551" w:type="dxa"/>
            <w:vAlign w:val="center"/>
          </w:tcPr>
          <w:p>
            <w:pPr>
              <w:pStyle w:val="单元格样式4"/>
            </w:pPr>
          </w:p>
        </w:tc>
        <w:tc>
          <w:tcPr>
            <w:tcW w:w="2551"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21602</w:t>
            </w:r>
          </w:p>
        </w:tc>
        <w:tc>
          <w:tcPr>
            <w:tcW w:w="4535" w:type="dxa"/>
            <w:vAlign w:val="center"/>
          </w:tcPr>
          <w:p>
            <w:pPr>
              <w:pStyle w:val="单元格样式2"/>
            </w:pPr>
            <w:r>
              <w:t xml:space="preserve">商业流通事务</w:t>
            </w:r>
          </w:p>
        </w:tc>
        <w:tc>
          <w:tcPr>
            <w:tcW w:w="2551" w:type="dxa"/>
            <w:vAlign w:val="center"/>
          </w:tcPr>
          <w:p>
            <w:pPr>
              <w:pStyle w:val="单元格样式4"/>
            </w:pPr>
            <w:r>
              <w:t xml:space="preserve">2.90</w:t>
            </w:r>
          </w:p>
        </w:tc>
        <w:tc>
          <w:tcPr>
            <w:tcW w:w="2551" w:type="dxa"/>
            <w:vAlign w:val="center"/>
          </w:tcPr>
          <w:p>
            <w:pPr>
              <w:pStyle w:val="单元格样式4"/>
            </w:pPr>
          </w:p>
        </w:tc>
        <w:tc>
          <w:tcPr>
            <w:tcW w:w="2551"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2160219</w:t>
            </w:r>
          </w:p>
        </w:tc>
        <w:tc>
          <w:tcPr>
            <w:tcW w:w="4535" w:type="dxa"/>
            <w:vAlign w:val="center"/>
          </w:tcPr>
          <w:p>
            <w:pPr>
              <w:pStyle w:val="单元格样式2"/>
            </w:pPr>
            <w:r>
              <w:t xml:space="preserve">民贸民品贷款贴息</w:t>
            </w:r>
          </w:p>
        </w:tc>
        <w:tc>
          <w:tcPr>
            <w:tcW w:w="2551" w:type="dxa"/>
            <w:vAlign w:val="center"/>
          </w:tcPr>
          <w:p>
            <w:pPr>
              <w:pStyle w:val="单元格样式4"/>
            </w:pPr>
            <w:r>
              <w:t xml:space="preserve">2.90</w:t>
            </w:r>
          </w:p>
        </w:tc>
        <w:tc>
          <w:tcPr>
            <w:tcW w:w="2551" w:type="dxa"/>
            <w:vAlign w:val="center"/>
          </w:tcPr>
          <w:p>
            <w:pPr>
              <w:pStyle w:val="单元格样式4"/>
            </w:pPr>
          </w:p>
        </w:tc>
        <w:tc>
          <w:tcPr>
            <w:tcW w:w="2551" w:type="dxa"/>
            <w:vAlign w:val="center"/>
          </w:tcPr>
          <w:p>
            <w:pPr>
              <w:pStyle w:val="单元格样式4"/>
            </w:pPr>
            <w:r>
              <w:t xml:space="preserve">2.90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172.44</w:t>
            </w:r>
          </w:p>
        </w:tc>
        <w:tc>
          <w:tcPr>
            <w:tcW w:w="2551" w:type="dxa"/>
            <w:vAlign w:val="center"/>
          </w:tcPr>
          <w:p>
            <w:pPr>
              <w:pStyle w:val="单元格样式7"/>
            </w:pPr>
            <w:r>
              <w:t xml:space="preserve">154.73</w:t>
            </w:r>
          </w:p>
        </w:tc>
        <w:tc>
          <w:tcPr>
            <w:tcW w:w="2551" w:type="dxa"/>
            <w:vAlign w:val="center"/>
          </w:tcPr>
          <w:p>
            <w:pPr>
              <w:pStyle w:val="单元格样式7"/>
            </w:pPr>
            <w:r>
              <w:t xml:space="preserve">17.71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125.89</w:t>
            </w:r>
          </w:p>
        </w:tc>
        <w:tc>
          <w:tcPr>
            <w:tcW w:w="2551" w:type="dxa"/>
            <w:vAlign w:val="center"/>
          </w:tcPr>
          <w:p>
            <w:pPr>
              <w:pStyle w:val="单元格样式4"/>
            </w:pPr>
            <w:r>
              <w:t xml:space="preserve">125.89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48.55</w:t>
            </w:r>
          </w:p>
        </w:tc>
        <w:tc>
          <w:tcPr>
            <w:tcW w:w="2551" w:type="dxa"/>
            <w:vAlign w:val="center"/>
          </w:tcPr>
          <w:p>
            <w:pPr>
              <w:pStyle w:val="单元格样式4"/>
            </w:pPr>
            <w:r>
              <w:t xml:space="preserve">48.55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21.27</w:t>
            </w:r>
          </w:p>
        </w:tc>
        <w:tc>
          <w:tcPr>
            <w:tcW w:w="2551" w:type="dxa"/>
            <w:vAlign w:val="center"/>
          </w:tcPr>
          <w:p>
            <w:pPr>
              <w:pStyle w:val="单元格样式4"/>
            </w:pPr>
            <w:r>
              <w:t xml:space="preserve">21.27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19.93</w:t>
            </w:r>
          </w:p>
        </w:tc>
        <w:tc>
          <w:tcPr>
            <w:tcW w:w="2551" w:type="dxa"/>
            <w:vAlign w:val="center"/>
          </w:tcPr>
          <w:p>
            <w:pPr>
              <w:pStyle w:val="单元格样式4"/>
            </w:pPr>
            <w:r>
              <w:t xml:space="preserve">19.93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12.30</w:t>
            </w:r>
          </w:p>
        </w:tc>
        <w:tc>
          <w:tcPr>
            <w:tcW w:w="2551" w:type="dxa"/>
            <w:vAlign w:val="center"/>
          </w:tcPr>
          <w:p>
            <w:pPr>
              <w:pStyle w:val="单元格样式4"/>
            </w:pPr>
            <w:r>
              <w:t xml:space="preserve">12.30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6.15</w:t>
            </w:r>
          </w:p>
        </w:tc>
        <w:tc>
          <w:tcPr>
            <w:tcW w:w="2551" w:type="dxa"/>
            <w:vAlign w:val="center"/>
          </w:tcPr>
          <w:p>
            <w:pPr>
              <w:pStyle w:val="单元格样式4"/>
            </w:pPr>
            <w:r>
              <w:t xml:space="preserve">6.15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5.79</w:t>
            </w:r>
          </w:p>
        </w:tc>
        <w:tc>
          <w:tcPr>
            <w:tcW w:w="2551" w:type="dxa"/>
            <w:vAlign w:val="center"/>
          </w:tcPr>
          <w:p>
            <w:pPr>
              <w:pStyle w:val="单元格样式4"/>
            </w:pPr>
            <w:r>
              <w:t xml:space="preserve">5.79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0.39</w:t>
            </w:r>
          </w:p>
        </w:tc>
        <w:tc>
          <w:tcPr>
            <w:tcW w:w="2551" w:type="dxa"/>
            <w:vAlign w:val="center"/>
          </w:tcPr>
          <w:p>
            <w:pPr>
              <w:pStyle w:val="单元格样式4"/>
            </w:pPr>
            <w:r>
              <w:t xml:space="preserve">0.39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11.38</w:t>
            </w:r>
          </w:p>
        </w:tc>
        <w:tc>
          <w:tcPr>
            <w:tcW w:w="2551" w:type="dxa"/>
            <w:vAlign w:val="center"/>
          </w:tcPr>
          <w:p>
            <w:pPr>
              <w:pStyle w:val="单元格样式4"/>
            </w:pPr>
            <w:r>
              <w:t xml:space="preserve">11.38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0.13</w:t>
            </w:r>
          </w:p>
        </w:tc>
        <w:tc>
          <w:tcPr>
            <w:tcW w:w="2551" w:type="dxa"/>
            <w:vAlign w:val="center"/>
          </w:tcPr>
          <w:p>
            <w:pPr>
              <w:pStyle w:val="单元格样式4"/>
            </w:pPr>
            <w:r>
              <w:t xml:space="preserve">0.13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17.71</w:t>
            </w:r>
          </w:p>
        </w:tc>
        <w:tc>
          <w:tcPr>
            <w:tcW w:w="2551" w:type="dxa"/>
            <w:vAlign w:val="center"/>
          </w:tcPr>
          <w:p>
            <w:pPr>
              <w:pStyle w:val="单元格样式4"/>
            </w:pPr>
          </w:p>
        </w:tc>
        <w:tc>
          <w:tcPr>
            <w:tcW w:w="2551" w:type="dxa"/>
            <w:vAlign w:val="center"/>
          </w:tcPr>
          <w:p>
            <w:pPr>
              <w:pStyle w:val="单元格样式4"/>
            </w:pPr>
            <w:r>
              <w:t xml:space="preserve">17.71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0.65</w:t>
            </w:r>
          </w:p>
        </w:tc>
        <w:tc>
          <w:tcPr>
            <w:tcW w:w="2551" w:type="dxa"/>
            <w:vAlign w:val="center"/>
          </w:tcPr>
          <w:p>
            <w:pPr>
              <w:pStyle w:val="单元格样式4"/>
            </w:pPr>
          </w:p>
        </w:tc>
        <w:tc>
          <w:tcPr>
            <w:tcW w:w="2551" w:type="dxa"/>
            <w:vAlign w:val="center"/>
          </w:tcPr>
          <w:p>
            <w:pPr>
              <w:pStyle w:val="单元格样式4"/>
            </w:pPr>
            <w:r>
              <w:t xml:space="preserve">0.65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4.70</w:t>
            </w:r>
          </w:p>
        </w:tc>
        <w:tc>
          <w:tcPr>
            <w:tcW w:w="2551" w:type="dxa"/>
            <w:vAlign w:val="center"/>
          </w:tcPr>
          <w:p>
            <w:pPr>
              <w:pStyle w:val="单元格样式4"/>
            </w:pPr>
          </w:p>
        </w:tc>
        <w:tc>
          <w:tcPr>
            <w:tcW w:w="2551" w:type="dxa"/>
            <w:vAlign w:val="center"/>
          </w:tcPr>
          <w:p>
            <w:pPr>
              <w:pStyle w:val="单元格样式4"/>
            </w:pPr>
            <w:r>
              <w:t xml:space="preserve">4.70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0.93</w:t>
            </w:r>
          </w:p>
        </w:tc>
        <w:tc>
          <w:tcPr>
            <w:tcW w:w="2551" w:type="dxa"/>
            <w:vAlign w:val="center"/>
          </w:tcPr>
          <w:p>
            <w:pPr>
              <w:pStyle w:val="单元格样式4"/>
            </w:pPr>
          </w:p>
        </w:tc>
        <w:tc>
          <w:tcPr>
            <w:tcW w:w="2551" w:type="dxa"/>
            <w:vAlign w:val="center"/>
          </w:tcPr>
          <w:p>
            <w:pPr>
              <w:pStyle w:val="单元格样式4"/>
            </w:pPr>
            <w:r>
              <w:t xml:space="preserve">0.93</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6.12</w:t>
            </w:r>
          </w:p>
        </w:tc>
        <w:tc>
          <w:tcPr>
            <w:tcW w:w="2551" w:type="dxa"/>
            <w:vAlign w:val="center"/>
          </w:tcPr>
          <w:p>
            <w:pPr>
              <w:pStyle w:val="单元格样式4"/>
            </w:pPr>
          </w:p>
        </w:tc>
        <w:tc>
          <w:tcPr>
            <w:tcW w:w="2551" w:type="dxa"/>
            <w:vAlign w:val="center"/>
          </w:tcPr>
          <w:p>
            <w:pPr>
              <w:pStyle w:val="单元格样式4"/>
            </w:pPr>
            <w:r>
              <w:t xml:space="preserve">6.12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2.98</w:t>
            </w:r>
          </w:p>
        </w:tc>
        <w:tc>
          <w:tcPr>
            <w:tcW w:w="2551" w:type="dxa"/>
            <w:vAlign w:val="center"/>
          </w:tcPr>
          <w:p>
            <w:pPr>
              <w:pStyle w:val="单元格样式4"/>
            </w:pPr>
          </w:p>
        </w:tc>
        <w:tc>
          <w:tcPr>
            <w:tcW w:w="2551" w:type="dxa"/>
            <w:vAlign w:val="center"/>
          </w:tcPr>
          <w:p>
            <w:pPr>
              <w:pStyle w:val="单元格样式4"/>
            </w:pPr>
            <w:r>
              <w:t xml:space="preserve">2.98</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28.84</w:t>
            </w:r>
          </w:p>
        </w:tc>
        <w:tc>
          <w:tcPr>
            <w:tcW w:w="2551" w:type="dxa"/>
            <w:vAlign w:val="center"/>
          </w:tcPr>
          <w:p>
            <w:pPr>
              <w:pStyle w:val="单元格样式4"/>
            </w:pPr>
            <w:r>
              <w:t xml:space="preserve">28.84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28.84</w:t>
            </w:r>
          </w:p>
        </w:tc>
        <w:tc>
          <w:tcPr>
            <w:tcW w:w="2551" w:type="dxa"/>
            <w:vAlign w:val="center"/>
          </w:tcPr>
          <w:p>
            <w:pPr>
              <w:pStyle w:val="单元格样式4"/>
            </w:pPr>
            <w:r>
              <w:t xml:space="preserve">28.84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新乐市民族宗教事务局2026年单位预算信息公开情况说明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按照《中华人民共和国预算法》、《地方预决算公开操作规程》和《关于进一步推进预算公开工作的实施意见》规定，现将新乐市民族宗教事务局2026年单位预算公开如下：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(一)组织开展民族宗教理论、政策及重大问题的调查研究，提出政策性意见和建议。</w:t>
      </w:r>
    </w:p>
    <w:p>
      <w:pPr>
        <w:pStyle w:val="插入文本样式-插入单位职责文件"/>
      </w:pPr>
      <w:r>
        <w:t xml:space="preserve">(二)负责指导有关部门、各乡镇(街道)、有关领域落实民族宗教政策，促进民族宗教工作开展。</w:t>
      </w:r>
    </w:p>
    <w:p>
      <w:pPr>
        <w:pStyle w:val="插入文本样式-插入单位职责文件"/>
      </w:pPr>
      <w:r>
        <w:t xml:space="preserve">(三)贯彻执行民族宗教方面的地方性法规、政府规章和政策规定，保障少数民族和信教群众的合法权益；负责流动少数民族服务管理工作。负责贯彻落实《中华人民共和国民族区域自治法》。</w:t>
      </w:r>
    </w:p>
    <w:p>
      <w:pPr>
        <w:pStyle w:val="插入文本样式-插入单位职责文件"/>
      </w:pPr>
      <w:r>
        <w:t xml:space="preserve">(四)负责民族宗教政策、民族宗教法律法规和民族宗教基本知识的宣传教育；组织开展民族团结进步宣传教育、民族团结进步创建活动，协助上级部门做好民族团结进步表扬表彰活动，组织协调民族地方重大庆典活动。</w:t>
      </w:r>
    </w:p>
    <w:p>
      <w:pPr>
        <w:pStyle w:val="插入文本样式-插入单位职责文件"/>
      </w:pPr>
      <w:r>
        <w:t xml:space="preserve">（五）研究并提出协调民族关系的工作建议，协调处理民族关系中的重大事件，参与协调涉及民族事务突发事件处置和民族地区社会稳定工作。</w:t>
      </w:r>
    </w:p>
    <w:p>
      <w:pPr>
        <w:pStyle w:val="插入文本样式-插入单位职责文件"/>
      </w:pPr>
      <w:r>
        <w:t xml:space="preserve">(六)参与拟定少数民族和民族地方经济社会相关领域的发展规划并监督实施。负责分析少数民族和民族地方经济社会发展重大问题并提出差别化政策建议；管理少数民族和民族地方专项资金。负责组织协调民族地方科技发展、对口支援、经济技术协作、扶贫开发和民族贸易、民族特需商品生产的有关工作。</w:t>
      </w:r>
    </w:p>
    <w:p>
      <w:pPr>
        <w:pStyle w:val="插入文本样式-插入单位职责文件"/>
      </w:pPr>
      <w:r>
        <w:t xml:space="preserve">（七）负责组织指导少数民族语言文字的翻译、出版和民族古籍的搜集、整理、出版有关工作；提出文化、教育、科技、卫生、体育、艺术、语言文字、新闻出版等社会事业发展有关政策建议；承办民族统计工作。</w:t>
      </w:r>
    </w:p>
    <w:p>
      <w:pPr>
        <w:pStyle w:val="插入文本样式-插入单位职责文件"/>
      </w:pPr>
      <w:r>
        <w:t xml:space="preserve">（八）负责组织协调民族宗教领域对外和对港澳台的交流与合作工作；参与涉及民族宗教事务对外宣传工作。</w:t>
      </w:r>
    </w:p>
    <w:p>
      <w:pPr>
        <w:pStyle w:val="插入文本样式-插入单位职责文件"/>
      </w:pPr>
      <w:r>
        <w:t xml:space="preserve">(九)参与拟定少数民族人才队伍建设规划，协助有关部门做好少数民族干部的培养、教育和使用工作。</w:t>
      </w:r>
    </w:p>
    <w:p>
      <w:pPr>
        <w:pStyle w:val="插入文本样式-插入单位职责文件"/>
      </w:pPr>
      <w:r>
        <w:t xml:space="preserve">（十）依法对宗教行政事务进行管理，依法保护公民的宗教信仰自由和正常的宗教活动，维护宗教界合法权益。抵御境外利</w:t>
      </w:r>
    </w:p>
    <w:p>
      <w:pPr>
        <w:pStyle w:val="插入文本样式-插入单位职责文件"/>
      </w:pPr>
      <w:r>
        <w:t xml:space="preserve">用宗教进行渗透，引导各宗教坚持中国化方向，巩固和发展同宗教界的爱国统一战线，促进宗教关系和谐。</w:t>
      </w:r>
    </w:p>
    <w:p>
      <w:pPr>
        <w:pStyle w:val="插入文本样式-插入单位职责文件"/>
      </w:pPr>
      <w:r>
        <w:t xml:space="preserve">(十一)指导宗教团体依法依章程开展活动，指导宗教团体加强自身建设，帮助宗教团体培养宗教教职人员；推动宗教团体在宗教界开展爱国主义、社会主义、拥护祖国统一和民族团结的自我教育；办理宗教团体需由政府解决或协调的有关事宜。负责指导、协调、监督管理宗教界依法开展公益、慈善事业；团结和动员广大信教群众为改革开放和经济建设服务。</w:t>
      </w:r>
    </w:p>
    <w:p>
      <w:pPr>
        <w:pStyle w:val="插入文本样式-插入单位职责文件"/>
      </w:pPr>
      <w:r>
        <w:t xml:space="preserve">（十二）贯彻落实党中央治疆、治藏工作方略，研究分析全市涉疆涉藏服务管理工作形势并提出政策建议，协调各乡镇（街道)和有关部门做好在新的新疆、西藏籍少数民族群众的服务管理工作，协助有关部门做好重点人员稳控、预防处置暴力恐怖活动等工作。负责中央和省委、石家庄市委、新乐市委涉疆涉藏决策部署贯彻落实。</w:t>
      </w:r>
    </w:p>
    <w:p>
      <w:pPr>
        <w:pStyle w:val="插入文本样式-插入单位职责文件"/>
      </w:pPr>
      <w:r>
        <w:t xml:space="preserve">(十三)完成市委、市政府交办的其他任务。</w:t>
      </w:r>
    </w:p>
    <w:p>
      <w:pPr>
        <w:pStyle w:val="插入文本样式-插入单位职责文件"/>
      </w:pPr>
      <w:r>
        <w:t xml:space="preserve">新乐市民族宗教事务局根据工作需要，设有办公室、民宗股等股室。</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新乐市民族宗教事务局</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190.34万元，其中：一般公共预算收入190.34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民族宗教事务局年度单位预算中支出预算的总体情况。2026年支出预算190.34万元，其中基本支出172.44万元，包括人员经费154.73万元和日常公用经费17.71万元；项目支出17.90万元，主要为民族工作专项支出12万元、民贸民品贷款贴息支出2.9万元、宗教事务支出3万元；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190.34万元，较2025年预算增加20.20万元，其中：基本支出增加10.62万元，主要为人员经费及日常公用经费增长。一是政策性调资、社保缴费基数调整等因素，人员经费相应增加10.35万元，二是随着单位正常运转及业务工作开展，办公费等日常公用经费增长0.27万元，共同导致本年度基本支出较上年度增加10.62万元。项目支出增加9.58万元，主要为民族工作专项支出增加6万元、民贸民品贷款贴息支出增加0.58万元、宗教事务支出增加3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2026年，我单位机关运行经费共计安排17.71万元，主要用于日常维修、办公用房水电费、办公用房取暖费、办公用房物业管理费等日常运行支出。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因公出国（境）费0万元，与2025年相比增加0.00万元，无增减变化，主要原因是年初没有安排因公出国费；公务用车购置及运维费2.33万元（其中：公务用车购置费为0.00万元，公务用车运维费2.40万元)，与2025年相比减少0.07万元，主要原因是严格执行公务用车相关制度，厉行节约； 公务接待费0.00万元。与2025年相比增加0.00万元， 无增减变化，主要原因是年初没有安排公务接待费用。</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1、冀财金【2025】51号-提前下达2026年省级普惠金融发展专项资金（民贸民品贷款贴息）绩效目标表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13018426P00007810017H</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冀财金【2025】51号-提前下达2026年省级普惠金融发展专项资金（民贸民品贷款贴息）</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对符合条件的民贸民品贷款给予贴息支持。</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2.90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1.为满足少数民族群众生产生活需要，促进民族地区贸易发展，加强民族贸易和民族特需商品生产贷款贴息管理，对符合条件的民贸民品贷款给予贴息支持。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民贸民品企业贷款财政贴息水平</w:t>
            </w:r>
          </w:p>
        </w:tc>
        <w:tc>
          <w:tcPr>
            <w:tcW w:w="5386" w:type="dxa"/>
            <w:vAlign w:val="center"/>
          </w:tcPr>
          <w:p>
            <w:pPr>
              <w:pStyle w:val="单元格样式2"/>
            </w:pPr>
            <w:r>
              <w:t xml:space="preserve">为符合条件的民贸民品企业贷款安排的财政贴息水平</w:t>
            </w:r>
          </w:p>
        </w:tc>
        <w:tc>
          <w:tcPr>
            <w:tcW w:w="2268" w:type="dxa"/>
            <w:vAlign w:val="center"/>
          </w:tcPr>
          <w:p>
            <w:pPr>
              <w:pStyle w:val="单元格样式2"/>
            </w:pPr>
            <w:r>
              <w:t xml:space="preserve">≤2.88贷款本金金额的2.88%</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民贸民品贷款贴息合规率</w:t>
            </w:r>
          </w:p>
        </w:tc>
        <w:tc>
          <w:tcPr>
            <w:tcW w:w="5386" w:type="dxa"/>
            <w:vAlign w:val="center"/>
          </w:tcPr>
          <w:p>
            <w:pPr>
              <w:pStyle w:val="单元格样式2"/>
            </w:pPr>
            <w:r>
              <w:t xml:space="preserve">民贸民品贷款贴息按照政策要求严格审核</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民贸民品贷款贴息资金拨付及时率</w:t>
            </w:r>
          </w:p>
        </w:tc>
        <w:tc>
          <w:tcPr>
            <w:tcW w:w="5386" w:type="dxa"/>
            <w:vAlign w:val="center"/>
          </w:tcPr>
          <w:p>
            <w:pPr>
              <w:pStyle w:val="单元格样式2"/>
            </w:pPr>
            <w:r>
              <w:t xml:space="preserve">按照政策要求按时足额拨付财政贴息资金</w:t>
            </w:r>
          </w:p>
        </w:tc>
        <w:tc>
          <w:tcPr>
            <w:tcW w:w="2268" w:type="dxa"/>
            <w:vAlign w:val="center"/>
          </w:tcPr>
          <w:p>
            <w:pPr>
              <w:pStyle w:val="单元格样式2"/>
            </w:pPr>
            <w:r>
              <w:t xml:space="preserve">100%</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民贸民品企业贷款贴息限额</w:t>
            </w:r>
          </w:p>
        </w:tc>
        <w:tc>
          <w:tcPr>
            <w:tcW w:w="5386" w:type="dxa"/>
            <w:vAlign w:val="center"/>
          </w:tcPr>
          <w:p>
            <w:pPr>
              <w:pStyle w:val="单元格样式2"/>
            </w:pPr>
            <w:r>
              <w:t xml:space="preserve">民贸民品企业贷款贴息限额</w:t>
            </w:r>
          </w:p>
        </w:tc>
        <w:tc>
          <w:tcPr>
            <w:tcW w:w="2268" w:type="dxa"/>
            <w:vAlign w:val="center"/>
          </w:tcPr>
          <w:p>
            <w:pPr>
              <w:pStyle w:val="单元格样式2"/>
            </w:pPr>
            <w:r>
              <w:t xml:space="preserve">≤1000万元</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民贸民品贷款发放金额</w:t>
            </w:r>
          </w:p>
        </w:tc>
        <w:tc>
          <w:tcPr>
            <w:tcW w:w="5386" w:type="dxa"/>
            <w:vAlign w:val="center"/>
          </w:tcPr>
          <w:p>
            <w:pPr>
              <w:pStyle w:val="单元格样式2"/>
            </w:pPr>
            <w:r>
              <w:t xml:space="preserve">引导银行类金融机构发放贷款金额</w:t>
            </w:r>
          </w:p>
        </w:tc>
        <w:tc>
          <w:tcPr>
            <w:tcW w:w="2268" w:type="dxa"/>
            <w:vAlign w:val="center"/>
          </w:tcPr>
          <w:p>
            <w:pPr>
              <w:pStyle w:val="单元格样式2"/>
            </w:pPr>
            <w:r>
              <w:t xml:space="preserve">≥250万元（本地区前三年平均发放贷款金额）</w:t>
            </w:r>
          </w:p>
        </w:tc>
        <w:tc>
          <w:tcPr>
            <w:tcW w:w="1276" w:type="dxa"/>
            <w:vAlign w:val="center"/>
          </w:tcPr>
          <w:p>
            <w:pPr>
              <w:pStyle w:val="单元格样式2"/>
            </w:pPr>
            <w:r>
              <w:t xml:space="preserve">依据相关文件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受益企业满意度</w:t>
            </w:r>
          </w:p>
        </w:tc>
        <w:tc>
          <w:tcPr>
            <w:tcW w:w="5386" w:type="dxa"/>
            <w:vAlign w:val="center"/>
          </w:tcPr>
          <w:p>
            <w:pPr>
              <w:pStyle w:val="单元格样式2"/>
            </w:pPr>
            <w:r>
              <w:t xml:space="preserve">受益企业满意度</w:t>
            </w:r>
          </w:p>
        </w:tc>
        <w:tc>
          <w:tcPr>
            <w:tcW w:w="2268" w:type="dxa"/>
            <w:vAlign w:val="center"/>
          </w:tcPr>
          <w:p>
            <w:pPr>
              <w:pStyle w:val="单元格样式2"/>
            </w:pPr>
            <w:r>
              <w:t xml:space="preserve">≥95%</w:t>
            </w:r>
          </w:p>
        </w:tc>
        <w:tc>
          <w:tcPr>
            <w:tcW w:w="1276" w:type="dxa"/>
            <w:vAlign w:val="center"/>
          </w:tcPr>
          <w:p>
            <w:pPr>
              <w:pStyle w:val="单元格样式2"/>
            </w:pPr>
            <w:r>
              <w:t xml:space="preserve">依据历史数据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2、冀财行【2025】102号-提前下达2026年省级少数民族地区补助资金绩效目标表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13018426P005281100033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冀财行【2025】102号-提前下达2026年省级少数民族地区补助资金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助力各项民族工作顺利开展，推动少数民族和民族地区社会事业发展，促进民族团结进步，引导各族群众铸牢中华民族共同体意识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12.00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1.助力各项民族工作顺利开展，推动少数民族和民族地区社会事业发展，促进民族团结进步，引导各族群众铸牢中华民族共同体意识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开展活动次数</w:t>
            </w:r>
          </w:p>
        </w:tc>
        <w:tc>
          <w:tcPr>
            <w:tcW w:w="5386" w:type="dxa"/>
            <w:vAlign w:val="center"/>
          </w:tcPr>
          <w:p>
            <w:pPr>
              <w:pStyle w:val="单元格样式2"/>
            </w:pPr>
            <w:r>
              <w:t xml:space="preserve">开展活动次数</w:t>
            </w:r>
          </w:p>
        </w:tc>
        <w:tc>
          <w:tcPr>
            <w:tcW w:w="2268" w:type="dxa"/>
            <w:vAlign w:val="center"/>
          </w:tcPr>
          <w:p>
            <w:pPr>
              <w:pStyle w:val="单元格样式2"/>
            </w:pPr>
            <w:r>
              <w:t xml:space="preserve">≥1次</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工作、活动开展有效率</w:t>
            </w:r>
          </w:p>
        </w:tc>
        <w:tc>
          <w:tcPr>
            <w:tcW w:w="5386" w:type="dxa"/>
            <w:vAlign w:val="center"/>
          </w:tcPr>
          <w:p>
            <w:pPr>
              <w:pStyle w:val="单元格样式2"/>
            </w:pPr>
            <w:r>
              <w:t xml:space="preserve">工作、活动开展有效率</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工作完成情况</w:t>
            </w:r>
          </w:p>
        </w:tc>
        <w:tc>
          <w:tcPr>
            <w:tcW w:w="5386" w:type="dxa"/>
            <w:vAlign w:val="center"/>
          </w:tcPr>
          <w:p>
            <w:pPr>
              <w:pStyle w:val="单元格样式2"/>
            </w:pPr>
            <w:r>
              <w:t xml:space="preserve">工作完成情况</w:t>
            </w:r>
          </w:p>
        </w:tc>
        <w:tc>
          <w:tcPr>
            <w:tcW w:w="2268" w:type="dxa"/>
            <w:vAlign w:val="center"/>
          </w:tcPr>
          <w:p>
            <w:pPr>
              <w:pStyle w:val="单元格样式2"/>
            </w:pPr>
            <w:r>
              <w:t xml:space="preserve">100%2026年12月底</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支持活动资金标准</w:t>
            </w:r>
          </w:p>
        </w:tc>
        <w:tc>
          <w:tcPr>
            <w:tcW w:w="5386" w:type="dxa"/>
            <w:vAlign w:val="center"/>
          </w:tcPr>
          <w:p>
            <w:pPr>
              <w:pStyle w:val="单元格样式2"/>
            </w:pPr>
            <w:r>
              <w:t xml:space="preserve">支持活动资金标准</w:t>
            </w:r>
          </w:p>
        </w:tc>
        <w:tc>
          <w:tcPr>
            <w:tcW w:w="2268" w:type="dxa"/>
            <w:vAlign w:val="center"/>
          </w:tcPr>
          <w:p>
            <w:pPr>
              <w:pStyle w:val="单元格样式2"/>
            </w:pPr>
            <w:r>
              <w:t xml:space="preserve">12万元按照资金管理办法执行</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被媒体报导次数</w:t>
            </w:r>
          </w:p>
        </w:tc>
        <w:tc>
          <w:tcPr>
            <w:tcW w:w="5386" w:type="dxa"/>
            <w:vAlign w:val="center"/>
          </w:tcPr>
          <w:p>
            <w:pPr>
              <w:pStyle w:val="单元格样式2"/>
            </w:pPr>
            <w:r>
              <w:t xml:space="preserve">被媒体报导次数</w:t>
            </w:r>
          </w:p>
        </w:tc>
        <w:tc>
          <w:tcPr>
            <w:tcW w:w="2268" w:type="dxa"/>
            <w:vAlign w:val="center"/>
          </w:tcPr>
          <w:p>
            <w:pPr>
              <w:pStyle w:val="单元格样式2"/>
            </w:pPr>
            <w:r>
              <w:t xml:space="preserve">≥1次</w:t>
            </w:r>
          </w:p>
        </w:tc>
        <w:tc>
          <w:tcPr>
            <w:tcW w:w="1276" w:type="dxa"/>
            <w:vAlign w:val="center"/>
          </w:tcPr>
          <w:p>
            <w:pPr>
              <w:pStyle w:val="单元格样式2"/>
            </w:pPr>
            <w:r>
              <w:t xml:space="preserve">历史数据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受众满意率</w:t>
            </w:r>
          </w:p>
        </w:tc>
        <w:tc>
          <w:tcPr>
            <w:tcW w:w="5386" w:type="dxa"/>
            <w:vAlign w:val="center"/>
          </w:tcPr>
          <w:p>
            <w:pPr>
              <w:pStyle w:val="单元格样式2"/>
            </w:pPr>
            <w:r>
              <w:t xml:space="preserve">受众满意率</w:t>
            </w:r>
          </w:p>
        </w:tc>
        <w:tc>
          <w:tcPr>
            <w:tcW w:w="2268" w:type="dxa"/>
            <w:vAlign w:val="center"/>
          </w:tcPr>
          <w:p>
            <w:pPr>
              <w:pStyle w:val="单元格样式2"/>
            </w:pPr>
            <w:r>
              <w:t xml:space="preserve">≥90%</w:t>
            </w:r>
          </w:p>
        </w:tc>
        <w:tc>
          <w:tcPr>
            <w:tcW w:w="1276" w:type="dxa"/>
            <w:vAlign w:val="center"/>
          </w:tcPr>
          <w:p>
            <w:pPr>
              <w:pStyle w:val="单元格样式2"/>
            </w:pPr>
            <w:r>
              <w:t xml:space="preserve">历史数据</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3、冀财行【2025】99号-提前下达省级基层宗教事务管理补助经费绩效目标表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13018426P00005810003Q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冀财行【2025】99号-提前下达省级基层宗教事务管理补助经费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系统推进我国宗教中国化实践，加强全市宗教事务管理，维护全市宗教领域安全稳定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3.00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1.系统推进我国宗教中国化实践，加强全市宗教事务管理，维护全市宗教领域安全稳定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成本指标</w:t>
            </w:r>
          </w:p>
        </w:tc>
        <w:tc>
          <w:tcPr>
            <w:tcW w:w="2835" w:type="dxa"/>
            <w:vAlign w:val="center"/>
          </w:tcPr>
          <w:p>
            <w:pPr>
              <w:pStyle w:val="单元格样式2"/>
            </w:pPr>
            <w:r>
              <w:t xml:space="preserve">支持宗教工作经费</w:t>
            </w:r>
          </w:p>
        </w:tc>
        <w:tc>
          <w:tcPr>
            <w:tcW w:w="5386" w:type="dxa"/>
            <w:vAlign w:val="center"/>
          </w:tcPr>
          <w:p>
            <w:pPr>
              <w:pStyle w:val="单元格样式2"/>
            </w:pPr>
            <w:r>
              <w:t xml:space="preserve">宗教工作经费金额</w:t>
            </w:r>
          </w:p>
        </w:tc>
        <w:tc>
          <w:tcPr>
            <w:tcW w:w="2268" w:type="dxa"/>
            <w:vAlign w:val="center"/>
          </w:tcPr>
          <w:p>
            <w:pPr>
              <w:pStyle w:val="单元格样式2"/>
            </w:pPr>
            <w:r>
              <w:t xml:space="preserve">2万元</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系统推进我国宗教中国化实践，维护全市宗教领域安全稳定</w:t>
            </w:r>
          </w:p>
        </w:tc>
        <w:tc>
          <w:tcPr>
            <w:tcW w:w="5386" w:type="dxa"/>
            <w:vAlign w:val="center"/>
          </w:tcPr>
          <w:p>
            <w:pPr>
              <w:pStyle w:val="单元格样式2"/>
            </w:pPr>
            <w:r>
              <w:t xml:space="preserve">有效制止非法宗教活动件数</w:t>
            </w:r>
          </w:p>
        </w:tc>
        <w:tc>
          <w:tcPr>
            <w:tcW w:w="2268" w:type="dxa"/>
            <w:vAlign w:val="center"/>
          </w:tcPr>
          <w:p>
            <w:pPr>
              <w:pStyle w:val="单元格样式2"/>
            </w:pPr>
            <w:r>
              <w:t xml:space="preserve">≥1件</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资金拨付到位</w:t>
            </w:r>
          </w:p>
        </w:tc>
        <w:tc>
          <w:tcPr>
            <w:tcW w:w="5386" w:type="dxa"/>
            <w:vAlign w:val="center"/>
          </w:tcPr>
          <w:p>
            <w:pPr>
              <w:pStyle w:val="单元格样式2"/>
            </w:pPr>
            <w:r>
              <w:t xml:space="preserve">资金拨付到位率</w:t>
            </w:r>
          </w:p>
        </w:tc>
        <w:tc>
          <w:tcPr>
            <w:tcW w:w="2268" w:type="dxa"/>
            <w:vAlign w:val="center"/>
          </w:tcPr>
          <w:p>
            <w:pPr>
              <w:pStyle w:val="单元格样式2"/>
            </w:pPr>
            <w:r>
              <w:t xml:space="preserve">100%</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资金拨付及时率</w:t>
            </w:r>
          </w:p>
        </w:tc>
        <w:tc>
          <w:tcPr>
            <w:tcW w:w="5386" w:type="dxa"/>
            <w:vAlign w:val="center"/>
          </w:tcPr>
          <w:p>
            <w:pPr>
              <w:pStyle w:val="单元格样式2"/>
            </w:pPr>
            <w:r>
              <w:t xml:space="preserve">资金拨付及时率</w:t>
            </w:r>
          </w:p>
        </w:tc>
        <w:tc>
          <w:tcPr>
            <w:tcW w:w="2268" w:type="dxa"/>
            <w:vAlign w:val="center"/>
          </w:tcPr>
          <w:p>
            <w:pPr>
              <w:pStyle w:val="单元格样式2"/>
            </w:pPr>
            <w:r>
              <w:t xml:space="preserve">100%</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维护宗教领域社会稳定</w:t>
            </w:r>
          </w:p>
        </w:tc>
        <w:tc>
          <w:tcPr>
            <w:tcW w:w="5386" w:type="dxa"/>
            <w:vAlign w:val="center"/>
          </w:tcPr>
          <w:p>
            <w:pPr>
              <w:pStyle w:val="单元格样式2"/>
            </w:pPr>
            <w:r>
              <w:t xml:space="preserve">排查化解宗教领域风险隐患件数</w:t>
            </w:r>
          </w:p>
        </w:tc>
        <w:tc>
          <w:tcPr>
            <w:tcW w:w="2268" w:type="dxa"/>
            <w:vAlign w:val="center"/>
          </w:tcPr>
          <w:p>
            <w:pPr>
              <w:pStyle w:val="单元格样式2"/>
            </w:pPr>
            <w:r>
              <w:t xml:space="preserve">≥1件</w:t>
            </w:r>
          </w:p>
        </w:tc>
        <w:tc>
          <w:tcPr>
            <w:tcW w:w="1276" w:type="dxa"/>
            <w:vAlign w:val="center"/>
          </w:tcPr>
          <w:p>
            <w:pPr>
              <w:pStyle w:val="单元格样式2"/>
            </w:pPr>
            <w:r>
              <w:t xml:space="preserve">石办发﹝2007﹞8号</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w:t>
            </w:r>
          </w:p>
        </w:tc>
        <w:tc>
          <w:tcPr>
            <w:tcW w:w="5386" w:type="dxa"/>
            <w:vAlign w:val="center"/>
          </w:tcPr>
          <w:p>
            <w:pPr>
              <w:pStyle w:val="单元格样式2"/>
            </w:pPr>
            <w:r>
              <w:t xml:space="preserve">促进全市宗教工作开展，激发宗教干部工作热情</w:t>
            </w:r>
          </w:p>
        </w:tc>
        <w:tc>
          <w:tcPr>
            <w:tcW w:w="2268" w:type="dxa"/>
            <w:vAlign w:val="center"/>
          </w:tcPr>
          <w:p>
            <w:pPr>
              <w:pStyle w:val="单元格样式2"/>
            </w:pPr>
            <w:r>
              <w:t xml:space="preserve">100%</w:t>
            </w:r>
          </w:p>
        </w:tc>
        <w:tc>
          <w:tcPr>
            <w:tcW w:w="1276" w:type="dxa"/>
            <w:vAlign w:val="center"/>
          </w:tcPr>
          <w:p>
            <w:pPr>
              <w:pStyle w:val="单元格样式2"/>
            </w:pPr>
            <w:r>
              <w:t xml:space="preserve">服务对象反馈信息</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新乐市民族宗教事务局上年末固定资产金额为32.77万元（详见下表）。本年度拟购置固定资产总额为0.00万元，已按要求列入政府采购预算，详见政府采购预算表。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308001新乐市民族宗教事务局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32.77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8.96</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136</w:t>
            </w:r>
          </w:p>
        </w:tc>
        <w:tc>
          <w:tcPr>
            <w:tcW w:w="2835" w:type="dxa"/>
            <w:vAlign w:val="center"/>
          </w:tcPr>
          <w:p>
            <w:pPr>
              <w:pStyle w:val="单元格样式4"/>
            </w:pPr>
            <w:r>
              <w:t xml:space="preserve">23.81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2026-03-03T13:46:18Z</dcterms:created>
  <dcterms:modified xsi:type="dcterms:W3CDTF">2026-03-03T13:46:18Z</dcterms:modified>
</cp:coreProperties>
</file>