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27</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28</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29</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190.34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122.59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47.68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5.79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11.38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190.34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190.34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190.34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190.34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190.34</w:t>
            </w:r>
          </w:p>
        </w:tc>
        <w:tc>
          <w:tcPr>
            <w:tcW w:w="1134" w:type="dxa"/>
            <w:vAlign w:val="center"/>
          </w:tcPr>
          <w:p>
            <w:pPr>
              <w:pStyle w:val="单元格样式7"/>
            </w:pPr>
            <w:r>
              <w:t xml:space="preserve">190.34</w:t>
            </w:r>
          </w:p>
        </w:tc>
        <w:tc>
          <w:tcPr>
            <w:tcW w:w="1134" w:type="dxa"/>
            <w:vAlign w:val="center"/>
          </w:tcPr>
          <w:p>
            <w:pPr>
              <w:pStyle w:val="单元格样式7"/>
            </w:pPr>
            <w:r>
              <w:t xml:space="preserve">190.34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122.59</w:t>
            </w:r>
          </w:p>
        </w:tc>
        <w:tc>
          <w:tcPr>
            <w:tcW w:w="1134" w:type="dxa"/>
            <w:vAlign w:val="center"/>
          </w:tcPr>
          <w:p>
            <w:pPr>
              <w:pStyle w:val="单元格样式4"/>
            </w:pPr>
            <w:r>
              <w:t xml:space="preserve">122.59</w:t>
            </w:r>
          </w:p>
        </w:tc>
        <w:tc>
          <w:tcPr>
            <w:tcW w:w="1134" w:type="dxa"/>
            <w:vAlign w:val="center"/>
          </w:tcPr>
          <w:p>
            <w:pPr>
              <w:pStyle w:val="单元格样式4"/>
            </w:pPr>
            <w:r>
              <w:t xml:space="preserve">122.59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20123</w:t>
            </w:r>
          </w:p>
        </w:tc>
        <w:tc>
          <w:tcPr>
            <w:tcW w:w="1559" w:type="dxa"/>
            <w:vAlign w:val="center"/>
          </w:tcPr>
          <w:p>
            <w:pPr>
              <w:pStyle w:val="单元格样式2"/>
            </w:pPr>
            <w:r>
              <w:t xml:space="preserve">民族事务</w:t>
            </w:r>
          </w:p>
        </w:tc>
        <w:tc>
          <w:tcPr>
            <w:tcW w:w="1134" w:type="dxa"/>
            <w:vAlign w:val="center"/>
          </w:tcPr>
          <w:p>
            <w:pPr>
              <w:pStyle w:val="单元格样式4"/>
            </w:pPr>
            <w:r>
              <w:t xml:space="preserve">119.59</w:t>
            </w:r>
          </w:p>
        </w:tc>
        <w:tc>
          <w:tcPr>
            <w:tcW w:w="1134" w:type="dxa"/>
            <w:vAlign w:val="center"/>
          </w:tcPr>
          <w:p>
            <w:pPr>
              <w:pStyle w:val="单元格样式4"/>
            </w:pPr>
            <w:r>
              <w:t xml:space="preserve">119.59</w:t>
            </w:r>
          </w:p>
        </w:tc>
        <w:tc>
          <w:tcPr>
            <w:tcW w:w="1134" w:type="dxa"/>
            <w:vAlign w:val="center"/>
          </w:tcPr>
          <w:p>
            <w:pPr>
              <w:pStyle w:val="单元格样式4"/>
            </w:pPr>
            <w:r>
              <w:t xml:space="preserve">119.59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107.59</w:t>
            </w:r>
          </w:p>
        </w:tc>
        <w:tc>
          <w:tcPr>
            <w:tcW w:w="1134" w:type="dxa"/>
            <w:vAlign w:val="center"/>
          </w:tcPr>
          <w:p>
            <w:pPr>
              <w:pStyle w:val="单元格样式4"/>
            </w:pPr>
            <w:r>
              <w:t xml:space="preserve">107.59</w:t>
            </w:r>
          </w:p>
        </w:tc>
        <w:tc>
          <w:tcPr>
            <w:tcW w:w="1134" w:type="dxa"/>
            <w:vAlign w:val="center"/>
          </w:tcPr>
          <w:p>
            <w:pPr>
              <w:pStyle w:val="单元格样式4"/>
            </w:pPr>
            <w:r>
              <w:t xml:space="preserve">107.59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2012304</w:t>
            </w:r>
          </w:p>
        </w:tc>
        <w:tc>
          <w:tcPr>
            <w:tcW w:w="1559" w:type="dxa"/>
            <w:vAlign w:val="center"/>
          </w:tcPr>
          <w:p>
            <w:pPr>
              <w:pStyle w:val="单元格样式2"/>
            </w:pPr>
            <w:r>
              <w:t xml:space="preserve">民族工作专项</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20134</w:t>
            </w:r>
          </w:p>
        </w:tc>
        <w:tc>
          <w:tcPr>
            <w:tcW w:w="1559" w:type="dxa"/>
            <w:vAlign w:val="center"/>
          </w:tcPr>
          <w:p>
            <w:pPr>
              <w:pStyle w:val="单元格样式2"/>
            </w:pPr>
            <w:r>
              <w:t xml:space="preserve">统战事务</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2013404</w:t>
            </w:r>
          </w:p>
        </w:tc>
        <w:tc>
          <w:tcPr>
            <w:tcW w:w="1559" w:type="dxa"/>
            <w:vAlign w:val="center"/>
          </w:tcPr>
          <w:p>
            <w:pPr>
              <w:pStyle w:val="单元格样式2"/>
            </w:pPr>
            <w:r>
              <w:t xml:space="preserve">宗教事务</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47.68</w:t>
            </w:r>
          </w:p>
        </w:tc>
        <w:tc>
          <w:tcPr>
            <w:tcW w:w="1134" w:type="dxa"/>
            <w:vAlign w:val="center"/>
          </w:tcPr>
          <w:p>
            <w:pPr>
              <w:pStyle w:val="单元格样式4"/>
            </w:pPr>
            <w:r>
              <w:t xml:space="preserve">47.68</w:t>
            </w:r>
          </w:p>
        </w:tc>
        <w:tc>
          <w:tcPr>
            <w:tcW w:w="1134" w:type="dxa"/>
            <w:vAlign w:val="center"/>
          </w:tcPr>
          <w:p>
            <w:pPr>
              <w:pStyle w:val="单元格样式4"/>
            </w:pPr>
            <w:r>
              <w:t xml:space="preserve">47.68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47.29</w:t>
            </w:r>
          </w:p>
        </w:tc>
        <w:tc>
          <w:tcPr>
            <w:tcW w:w="1134" w:type="dxa"/>
            <w:vAlign w:val="center"/>
          </w:tcPr>
          <w:p>
            <w:pPr>
              <w:pStyle w:val="单元格样式4"/>
            </w:pPr>
            <w:r>
              <w:t xml:space="preserve">47.29</w:t>
            </w:r>
          </w:p>
        </w:tc>
        <w:tc>
          <w:tcPr>
            <w:tcW w:w="1134" w:type="dxa"/>
            <w:vAlign w:val="center"/>
          </w:tcPr>
          <w:p>
            <w:pPr>
              <w:pStyle w:val="单元格样式4"/>
            </w:pPr>
            <w:r>
              <w:t xml:space="preserve">47.29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28.84</w:t>
            </w:r>
          </w:p>
        </w:tc>
        <w:tc>
          <w:tcPr>
            <w:tcW w:w="1134" w:type="dxa"/>
            <w:vAlign w:val="center"/>
          </w:tcPr>
          <w:p>
            <w:pPr>
              <w:pStyle w:val="单元格样式4"/>
            </w:pPr>
            <w:r>
              <w:t xml:space="preserve">28.84</w:t>
            </w:r>
          </w:p>
        </w:tc>
        <w:tc>
          <w:tcPr>
            <w:tcW w:w="1134" w:type="dxa"/>
            <w:vAlign w:val="center"/>
          </w:tcPr>
          <w:p>
            <w:pPr>
              <w:pStyle w:val="单元格样式4"/>
            </w:pPr>
            <w:r>
              <w:t xml:space="preserve">28.84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12.30</w:t>
            </w:r>
          </w:p>
        </w:tc>
        <w:tc>
          <w:tcPr>
            <w:tcW w:w="1134" w:type="dxa"/>
            <w:vAlign w:val="center"/>
          </w:tcPr>
          <w:p>
            <w:pPr>
              <w:pStyle w:val="单元格样式4"/>
            </w:pPr>
            <w:r>
              <w:t xml:space="preserve">12.30</w:t>
            </w:r>
          </w:p>
        </w:tc>
        <w:tc>
          <w:tcPr>
            <w:tcW w:w="1134" w:type="dxa"/>
            <w:vAlign w:val="center"/>
          </w:tcPr>
          <w:p>
            <w:pPr>
              <w:pStyle w:val="单元格样式4"/>
            </w:pPr>
            <w:r>
              <w:t xml:space="preserve">12.30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216</w:t>
            </w:r>
          </w:p>
        </w:tc>
        <w:tc>
          <w:tcPr>
            <w:tcW w:w="1559" w:type="dxa"/>
            <w:vAlign w:val="center"/>
          </w:tcPr>
          <w:p>
            <w:pPr>
              <w:pStyle w:val="单元格样式2"/>
            </w:pPr>
            <w:r>
              <w:t xml:space="preserve">商业服务业等支出</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21602</w:t>
            </w:r>
          </w:p>
        </w:tc>
        <w:tc>
          <w:tcPr>
            <w:tcW w:w="1559" w:type="dxa"/>
            <w:vAlign w:val="center"/>
          </w:tcPr>
          <w:p>
            <w:pPr>
              <w:pStyle w:val="单元格样式2"/>
            </w:pPr>
            <w:r>
              <w:t xml:space="preserve">商业流通事务</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2160219</w:t>
            </w:r>
          </w:p>
        </w:tc>
        <w:tc>
          <w:tcPr>
            <w:tcW w:w="1559" w:type="dxa"/>
            <w:vAlign w:val="center"/>
          </w:tcPr>
          <w:p>
            <w:pPr>
              <w:pStyle w:val="单元格样式2"/>
            </w:pPr>
            <w:r>
              <w:t xml:space="preserve">民贸民品贷款贴息</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190.34</w:t>
            </w:r>
          </w:p>
        </w:tc>
        <w:tc>
          <w:tcPr>
            <w:tcW w:w="1361" w:type="dxa"/>
            <w:vAlign w:val="center"/>
          </w:tcPr>
          <w:p>
            <w:pPr>
              <w:pStyle w:val="单元格样式7"/>
            </w:pPr>
            <w:r>
              <w:t xml:space="preserve">172.44</w:t>
            </w:r>
          </w:p>
        </w:tc>
        <w:tc>
          <w:tcPr>
            <w:tcW w:w="1361" w:type="dxa"/>
            <w:vAlign w:val="center"/>
          </w:tcPr>
          <w:p>
            <w:pPr>
              <w:pStyle w:val="单元格样式7"/>
            </w:pPr>
            <w:r>
              <w:t xml:space="preserve">17.90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122.59</w:t>
            </w:r>
          </w:p>
        </w:tc>
        <w:tc>
          <w:tcPr>
            <w:tcW w:w="1361" w:type="dxa"/>
            <w:vAlign w:val="center"/>
          </w:tcPr>
          <w:p>
            <w:pPr>
              <w:pStyle w:val="单元格样式4"/>
            </w:pPr>
            <w:r>
              <w:t xml:space="preserve">107.59</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20123</w:t>
            </w:r>
          </w:p>
        </w:tc>
        <w:tc>
          <w:tcPr>
            <w:tcW w:w="4535" w:type="dxa"/>
            <w:vAlign w:val="center"/>
          </w:tcPr>
          <w:p>
            <w:pPr>
              <w:pStyle w:val="单元格样式2"/>
            </w:pPr>
            <w:r>
              <w:t xml:space="preserve">民族事务</w:t>
            </w:r>
          </w:p>
        </w:tc>
        <w:tc>
          <w:tcPr>
            <w:tcW w:w="1361" w:type="dxa"/>
            <w:vAlign w:val="center"/>
          </w:tcPr>
          <w:p>
            <w:pPr>
              <w:pStyle w:val="单元格样式4"/>
            </w:pPr>
            <w:r>
              <w:t xml:space="preserve">119.59</w:t>
            </w:r>
          </w:p>
        </w:tc>
        <w:tc>
          <w:tcPr>
            <w:tcW w:w="1361" w:type="dxa"/>
            <w:vAlign w:val="center"/>
          </w:tcPr>
          <w:p>
            <w:pPr>
              <w:pStyle w:val="单元格样式4"/>
            </w:pPr>
            <w:r>
              <w:t xml:space="preserve">107.59</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107.59</w:t>
            </w:r>
          </w:p>
        </w:tc>
        <w:tc>
          <w:tcPr>
            <w:tcW w:w="1361" w:type="dxa"/>
            <w:vAlign w:val="center"/>
          </w:tcPr>
          <w:p>
            <w:pPr>
              <w:pStyle w:val="单元格样式4"/>
            </w:pPr>
            <w:r>
              <w:t xml:space="preserve">107.59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2012304</w:t>
            </w:r>
          </w:p>
        </w:tc>
        <w:tc>
          <w:tcPr>
            <w:tcW w:w="4535" w:type="dxa"/>
            <w:vAlign w:val="center"/>
          </w:tcPr>
          <w:p>
            <w:pPr>
              <w:pStyle w:val="单元格样式2"/>
            </w:pPr>
            <w:r>
              <w:t xml:space="preserve">民族工作专项</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20134</w:t>
            </w:r>
          </w:p>
        </w:tc>
        <w:tc>
          <w:tcPr>
            <w:tcW w:w="4535" w:type="dxa"/>
            <w:vAlign w:val="center"/>
          </w:tcPr>
          <w:p>
            <w:pPr>
              <w:pStyle w:val="单元格样式2"/>
            </w:pPr>
            <w:r>
              <w:t xml:space="preserve">统战事务</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47.68</w:t>
            </w:r>
          </w:p>
        </w:tc>
        <w:tc>
          <w:tcPr>
            <w:tcW w:w="1361" w:type="dxa"/>
            <w:vAlign w:val="center"/>
          </w:tcPr>
          <w:p>
            <w:pPr>
              <w:pStyle w:val="单元格样式4"/>
            </w:pPr>
            <w:r>
              <w:t xml:space="preserve">47.68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47.29</w:t>
            </w:r>
          </w:p>
        </w:tc>
        <w:tc>
          <w:tcPr>
            <w:tcW w:w="1361" w:type="dxa"/>
            <w:vAlign w:val="center"/>
          </w:tcPr>
          <w:p>
            <w:pPr>
              <w:pStyle w:val="单元格样式4"/>
            </w:pPr>
            <w:r>
              <w:t xml:space="preserve">47.29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28.84</w:t>
            </w:r>
          </w:p>
        </w:tc>
        <w:tc>
          <w:tcPr>
            <w:tcW w:w="1361" w:type="dxa"/>
            <w:vAlign w:val="center"/>
          </w:tcPr>
          <w:p>
            <w:pPr>
              <w:pStyle w:val="单元格样式4"/>
            </w:pPr>
            <w:r>
              <w:t xml:space="preserve">28.84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12.30</w:t>
            </w:r>
          </w:p>
        </w:tc>
        <w:tc>
          <w:tcPr>
            <w:tcW w:w="1361" w:type="dxa"/>
            <w:vAlign w:val="center"/>
          </w:tcPr>
          <w:p>
            <w:pPr>
              <w:pStyle w:val="单元格样式4"/>
            </w:pPr>
            <w:r>
              <w:t xml:space="preserve">12.30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0.39</w:t>
            </w:r>
          </w:p>
        </w:tc>
        <w:tc>
          <w:tcPr>
            <w:tcW w:w="1361" w:type="dxa"/>
            <w:vAlign w:val="center"/>
          </w:tcPr>
          <w:p>
            <w:pPr>
              <w:pStyle w:val="单元格样式4"/>
            </w:pPr>
            <w:r>
              <w:t xml:space="preserve">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0.39</w:t>
            </w:r>
          </w:p>
        </w:tc>
        <w:tc>
          <w:tcPr>
            <w:tcW w:w="1361" w:type="dxa"/>
            <w:vAlign w:val="center"/>
          </w:tcPr>
          <w:p>
            <w:pPr>
              <w:pStyle w:val="单元格样式4"/>
            </w:pPr>
            <w:r>
              <w:t xml:space="preserve">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216</w:t>
            </w:r>
          </w:p>
        </w:tc>
        <w:tc>
          <w:tcPr>
            <w:tcW w:w="4535" w:type="dxa"/>
            <w:vAlign w:val="center"/>
          </w:tcPr>
          <w:p>
            <w:pPr>
              <w:pStyle w:val="单元格样式2"/>
            </w:pPr>
            <w:r>
              <w:t xml:space="preserve">商业服务业等支出</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21602</w:t>
            </w:r>
          </w:p>
        </w:tc>
        <w:tc>
          <w:tcPr>
            <w:tcW w:w="4535" w:type="dxa"/>
            <w:vAlign w:val="center"/>
          </w:tcPr>
          <w:p>
            <w:pPr>
              <w:pStyle w:val="单元格样式2"/>
            </w:pPr>
            <w:r>
              <w:t xml:space="preserve">商业流通事务</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2160219</w:t>
            </w:r>
          </w:p>
        </w:tc>
        <w:tc>
          <w:tcPr>
            <w:tcW w:w="4535" w:type="dxa"/>
            <w:vAlign w:val="center"/>
          </w:tcPr>
          <w:p>
            <w:pPr>
              <w:pStyle w:val="单元格样式2"/>
            </w:pPr>
            <w:r>
              <w:t xml:space="preserve">民贸民品贷款贴息</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190.34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122.59</w:t>
            </w:r>
          </w:p>
        </w:tc>
        <w:tc>
          <w:tcPr>
            <w:tcW w:w="1474" w:type="dxa"/>
            <w:vAlign w:val="center"/>
          </w:tcPr>
          <w:p>
            <w:pPr>
              <w:pStyle w:val="单元格样式4"/>
            </w:pPr>
            <w:r>
              <w:t xml:space="preserve">122.59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47.68</w:t>
            </w:r>
          </w:p>
        </w:tc>
        <w:tc>
          <w:tcPr>
            <w:tcW w:w="1474" w:type="dxa"/>
            <w:vAlign w:val="center"/>
          </w:tcPr>
          <w:p>
            <w:pPr>
              <w:pStyle w:val="单元格样式4"/>
            </w:pPr>
            <w:r>
              <w:t xml:space="preserve">47.68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5.79</w:t>
            </w:r>
          </w:p>
        </w:tc>
        <w:tc>
          <w:tcPr>
            <w:tcW w:w="1474" w:type="dxa"/>
            <w:vAlign w:val="center"/>
          </w:tcPr>
          <w:p>
            <w:pPr>
              <w:pStyle w:val="单元格样式4"/>
            </w:pPr>
            <w:r>
              <w:t xml:space="preserve">5.79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r>
              <w:t xml:space="preserve">2.90</w:t>
            </w:r>
          </w:p>
        </w:tc>
        <w:tc>
          <w:tcPr>
            <w:tcW w:w="1474" w:type="dxa"/>
            <w:vAlign w:val="center"/>
          </w:tcPr>
          <w:p>
            <w:pPr>
              <w:pStyle w:val="单元格样式4"/>
            </w:pPr>
            <w:r>
              <w:t xml:space="preserve">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11.38</w:t>
            </w:r>
          </w:p>
        </w:tc>
        <w:tc>
          <w:tcPr>
            <w:tcW w:w="1474" w:type="dxa"/>
            <w:vAlign w:val="center"/>
          </w:tcPr>
          <w:p>
            <w:pPr>
              <w:pStyle w:val="单元格样式4"/>
            </w:pPr>
            <w:r>
              <w:t xml:space="preserve">11.38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190.34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190.34</w:t>
            </w:r>
          </w:p>
        </w:tc>
        <w:tc>
          <w:tcPr>
            <w:tcW w:w="1474" w:type="dxa"/>
            <w:vAlign w:val="center"/>
          </w:tcPr>
          <w:p>
            <w:pPr>
              <w:pStyle w:val="单元格样式7"/>
            </w:pPr>
            <w:r>
              <w:t xml:space="preserve">190.34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190.34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190.34</w:t>
            </w:r>
          </w:p>
        </w:tc>
        <w:tc>
          <w:tcPr>
            <w:tcW w:w="1474" w:type="dxa"/>
            <w:vAlign w:val="center"/>
          </w:tcPr>
          <w:p>
            <w:pPr>
              <w:pStyle w:val="单元格样式7"/>
            </w:pPr>
            <w:r>
              <w:t xml:space="preserve">190.34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190.34</w:t>
            </w:r>
          </w:p>
        </w:tc>
        <w:tc>
          <w:tcPr>
            <w:tcW w:w="2551" w:type="dxa"/>
            <w:vAlign w:val="center"/>
          </w:tcPr>
          <w:p>
            <w:pPr>
              <w:pStyle w:val="单元格样式7"/>
            </w:pPr>
            <w:r>
              <w:t xml:space="preserve">172.44</w:t>
            </w:r>
          </w:p>
        </w:tc>
        <w:tc>
          <w:tcPr>
            <w:tcW w:w="2551" w:type="dxa"/>
            <w:vAlign w:val="center"/>
          </w:tcPr>
          <w:p>
            <w:pPr>
              <w:pStyle w:val="单元格样式7"/>
            </w:pPr>
            <w:r>
              <w:t xml:space="preserve">17.90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122.59</w:t>
            </w:r>
          </w:p>
        </w:tc>
        <w:tc>
          <w:tcPr>
            <w:tcW w:w="2551" w:type="dxa"/>
            <w:vAlign w:val="center"/>
          </w:tcPr>
          <w:p>
            <w:pPr>
              <w:pStyle w:val="单元格样式4"/>
            </w:pPr>
            <w:r>
              <w:t xml:space="preserve">107.59</w:t>
            </w: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20123</w:t>
            </w:r>
          </w:p>
        </w:tc>
        <w:tc>
          <w:tcPr>
            <w:tcW w:w="4535" w:type="dxa"/>
            <w:vAlign w:val="center"/>
          </w:tcPr>
          <w:p>
            <w:pPr>
              <w:pStyle w:val="单元格样式2"/>
            </w:pPr>
            <w:r>
              <w:t xml:space="preserve">民族事务</w:t>
            </w:r>
          </w:p>
        </w:tc>
        <w:tc>
          <w:tcPr>
            <w:tcW w:w="2551" w:type="dxa"/>
            <w:vAlign w:val="center"/>
          </w:tcPr>
          <w:p>
            <w:pPr>
              <w:pStyle w:val="单元格样式4"/>
            </w:pPr>
            <w:r>
              <w:t xml:space="preserve">119.59</w:t>
            </w:r>
          </w:p>
        </w:tc>
        <w:tc>
          <w:tcPr>
            <w:tcW w:w="2551" w:type="dxa"/>
            <w:vAlign w:val="center"/>
          </w:tcPr>
          <w:p>
            <w:pPr>
              <w:pStyle w:val="单元格样式4"/>
            </w:pPr>
            <w:r>
              <w:t xml:space="preserve">107.59</w:t>
            </w: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107.59</w:t>
            </w:r>
          </w:p>
        </w:tc>
        <w:tc>
          <w:tcPr>
            <w:tcW w:w="2551" w:type="dxa"/>
            <w:vAlign w:val="center"/>
          </w:tcPr>
          <w:p>
            <w:pPr>
              <w:pStyle w:val="单元格样式4"/>
            </w:pPr>
            <w:r>
              <w:t xml:space="preserve">107.59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2012304</w:t>
            </w:r>
          </w:p>
        </w:tc>
        <w:tc>
          <w:tcPr>
            <w:tcW w:w="4535" w:type="dxa"/>
            <w:vAlign w:val="center"/>
          </w:tcPr>
          <w:p>
            <w:pPr>
              <w:pStyle w:val="单元格样式2"/>
            </w:pPr>
            <w:r>
              <w:t xml:space="preserve">民族工作专项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20134</w:t>
            </w:r>
          </w:p>
        </w:tc>
        <w:tc>
          <w:tcPr>
            <w:tcW w:w="4535" w:type="dxa"/>
            <w:vAlign w:val="center"/>
          </w:tcPr>
          <w:p>
            <w:pPr>
              <w:pStyle w:val="单元格样式2"/>
            </w:pPr>
            <w:r>
              <w:t xml:space="preserve">统战事务</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47.68</w:t>
            </w:r>
          </w:p>
        </w:tc>
        <w:tc>
          <w:tcPr>
            <w:tcW w:w="2551" w:type="dxa"/>
            <w:vAlign w:val="center"/>
          </w:tcPr>
          <w:p>
            <w:pPr>
              <w:pStyle w:val="单元格样式4"/>
            </w:pPr>
            <w:r>
              <w:t xml:space="preserve">47.68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47.29</w:t>
            </w:r>
          </w:p>
        </w:tc>
        <w:tc>
          <w:tcPr>
            <w:tcW w:w="2551" w:type="dxa"/>
            <w:vAlign w:val="center"/>
          </w:tcPr>
          <w:p>
            <w:pPr>
              <w:pStyle w:val="单元格样式4"/>
            </w:pPr>
            <w:r>
              <w:t xml:space="preserve">47.29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12.30</w:t>
            </w:r>
          </w:p>
        </w:tc>
        <w:tc>
          <w:tcPr>
            <w:tcW w:w="2551" w:type="dxa"/>
            <w:vAlign w:val="center"/>
          </w:tcPr>
          <w:p>
            <w:pPr>
              <w:pStyle w:val="单元格样式4"/>
            </w:pPr>
            <w:r>
              <w:t xml:space="preserve">12.30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216</w:t>
            </w:r>
          </w:p>
        </w:tc>
        <w:tc>
          <w:tcPr>
            <w:tcW w:w="4535" w:type="dxa"/>
            <w:vAlign w:val="center"/>
          </w:tcPr>
          <w:p>
            <w:pPr>
              <w:pStyle w:val="单元格样式2"/>
            </w:pPr>
            <w:r>
              <w:t xml:space="preserve">商业服务业等支出</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21602</w:t>
            </w:r>
          </w:p>
        </w:tc>
        <w:tc>
          <w:tcPr>
            <w:tcW w:w="4535" w:type="dxa"/>
            <w:vAlign w:val="center"/>
          </w:tcPr>
          <w:p>
            <w:pPr>
              <w:pStyle w:val="单元格样式2"/>
            </w:pPr>
            <w:r>
              <w:t xml:space="preserve">商业流通事务</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2160219</w:t>
            </w:r>
          </w:p>
        </w:tc>
        <w:tc>
          <w:tcPr>
            <w:tcW w:w="4535" w:type="dxa"/>
            <w:vAlign w:val="center"/>
          </w:tcPr>
          <w:p>
            <w:pPr>
              <w:pStyle w:val="单元格样式2"/>
            </w:pPr>
            <w:r>
              <w:t xml:space="preserve">民贸民品贷款贴息</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172.44</w:t>
            </w:r>
          </w:p>
        </w:tc>
        <w:tc>
          <w:tcPr>
            <w:tcW w:w="2551" w:type="dxa"/>
            <w:vAlign w:val="center"/>
          </w:tcPr>
          <w:p>
            <w:pPr>
              <w:pStyle w:val="单元格样式7"/>
            </w:pPr>
            <w:r>
              <w:t xml:space="preserve">154.73</w:t>
            </w:r>
          </w:p>
        </w:tc>
        <w:tc>
          <w:tcPr>
            <w:tcW w:w="2551" w:type="dxa"/>
            <w:vAlign w:val="center"/>
          </w:tcPr>
          <w:p>
            <w:pPr>
              <w:pStyle w:val="单元格样式7"/>
            </w:pPr>
            <w:r>
              <w:t xml:space="preserve">17.71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125.89</w:t>
            </w:r>
          </w:p>
        </w:tc>
        <w:tc>
          <w:tcPr>
            <w:tcW w:w="2551" w:type="dxa"/>
            <w:vAlign w:val="center"/>
          </w:tcPr>
          <w:p>
            <w:pPr>
              <w:pStyle w:val="单元格样式4"/>
            </w:pPr>
            <w:r>
              <w:t xml:space="preserve">125.89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48.55</w:t>
            </w:r>
          </w:p>
        </w:tc>
        <w:tc>
          <w:tcPr>
            <w:tcW w:w="2551" w:type="dxa"/>
            <w:vAlign w:val="center"/>
          </w:tcPr>
          <w:p>
            <w:pPr>
              <w:pStyle w:val="单元格样式4"/>
            </w:pPr>
            <w:r>
              <w:t xml:space="preserve">48.55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21.27</w:t>
            </w:r>
          </w:p>
        </w:tc>
        <w:tc>
          <w:tcPr>
            <w:tcW w:w="2551" w:type="dxa"/>
            <w:vAlign w:val="center"/>
          </w:tcPr>
          <w:p>
            <w:pPr>
              <w:pStyle w:val="单元格样式4"/>
            </w:pPr>
            <w:r>
              <w:t xml:space="preserve">21.27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19.93</w:t>
            </w:r>
          </w:p>
        </w:tc>
        <w:tc>
          <w:tcPr>
            <w:tcW w:w="2551" w:type="dxa"/>
            <w:vAlign w:val="center"/>
          </w:tcPr>
          <w:p>
            <w:pPr>
              <w:pStyle w:val="单元格样式4"/>
            </w:pPr>
            <w:r>
              <w:t xml:space="preserve">19.93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12.30</w:t>
            </w:r>
          </w:p>
        </w:tc>
        <w:tc>
          <w:tcPr>
            <w:tcW w:w="2551" w:type="dxa"/>
            <w:vAlign w:val="center"/>
          </w:tcPr>
          <w:p>
            <w:pPr>
              <w:pStyle w:val="单元格样式4"/>
            </w:pPr>
            <w:r>
              <w:t xml:space="preserve">12.30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17.71</w:t>
            </w:r>
          </w:p>
        </w:tc>
        <w:tc>
          <w:tcPr>
            <w:tcW w:w="2551" w:type="dxa"/>
            <w:vAlign w:val="center"/>
          </w:tcPr>
          <w:p>
            <w:pPr>
              <w:pStyle w:val="单元格样式4"/>
            </w:pPr>
          </w:p>
        </w:tc>
        <w:tc>
          <w:tcPr>
            <w:tcW w:w="2551" w:type="dxa"/>
            <w:vAlign w:val="center"/>
          </w:tcPr>
          <w:p>
            <w:pPr>
              <w:pStyle w:val="单元格样式4"/>
            </w:pPr>
            <w:r>
              <w:t xml:space="preserve">17.71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0.65</w:t>
            </w:r>
          </w:p>
        </w:tc>
        <w:tc>
          <w:tcPr>
            <w:tcW w:w="2551" w:type="dxa"/>
            <w:vAlign w:val="center"/>
          </w:tcPr>
          <w:p>
            <w:pPr>
              <w:pStyle w:val="单元格样式4"/>
            </w:pPr>
          </w:p>
        </w:tc>
        <w:tc>
          <w:tcPr>
            <w:tcW w:w="2551" w:type="dxa"/>
            <w:vAlign w:val="center"/>
          </w:tcPr>
          <w:p>
            <w:pPr>
              <w:pStyle w:val="单元格样式4"/>
            </w:pPr>
            <w:r>
              <w:t xml:space="preserve">0.65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4.70</w:t>
            </w:r>
          </w:p>
        </w:tc>
        <w:tc>
          <w:tcPr>
            <w:tcW w:w="2551" w:type="dxa"/>
            <w:vAlign w:val="center"/>
          </w:tcPr>
          <w:p>
            <w:pPr>
              <w:pStyle w:val="单元格样式4"/>
            </w:pPr>
          </w:p>
        </w:tc>
        <w:tc>
          <w:tcPr>
            <w:tcW w:w="2551" w:type="dxa"/>
            <w:vAlign w:val="center"/>
          </w:tcPr>
          <w:p>
            <w:pPr>
              <w:pStyle w:val="单元格样式4"/>
            </w:pPr>
            <w:r>
              <w:t xml:space="preserve">4.70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0.93</w:t>
            </w:r>
          </w:p>
        </w:tc>
        <w:tc>
          <w:tcPr>
            <w:tcW w:w="2551" w:type="dxa"/>
            <w:vAlign w:val="center"/>
          </w:tcPr>
          <w:p>
            <w:pPr>
              <w:pStyle w:val="单元格样式4"/>
            </w:pPr>
          </w:p>
        </w:tc>
        <w:tc>
          <w:tcPr>
            <w:tcW w:w="2551" w:type="dxa"/>
            <w:vAlign w:val="center"/>
          </w:tcPr>
          <w:p>
            <w:pPr>
              <w:pStyle w:val="单元格样式4"/>
            </w:pPr>
            <w:r>
              <w:t xml:space="preserve">0.93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6.12</w:t>
            </w:r>
          </w:p>
        </w:tc>
        <w:tc>
          <w:tcPr>
            <w:tcW w:w="2551" w:type="dxa"/>
            <w:vAlign w:val="center"/>
          </w:tcPr>
          <w:p>
            <w:pPr>
              <w:pStyle w:val="单元格样式4"/>
            </w:pPr>
          </w:p>
        </w:tc>
        <w:tc>
          <w:tcPr>
            <w:tcW w:w="2551" w:type="dxa"/>
            <w:vAlign w:val="center"/>
          </w:tcPr>
          <w:p>
            <w:pPr>
              <w:pStyle w:val="单元格样式4"/>
            </w:pPr>
            <w:r>
              <w:t xml:space="preserve">6.12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2.98</w:t>
            </w:r>
          </w:p>
        </w:tc>
        <w:tc>
          <w:tcPr>
            <w:tcW w:w="2551" w:type="dxa"/>
            <w:vAlign w:val="center"/>
          </w:tcPr>
          <w:p>
            <w:pPr>
              <w:pStyle w:val="单元格样式4"/>
            </w:pPr>
          </w:p>
        </w:tc>
        <w:tc>
          <w:tcPr>
            <w:tcW w:w="2551" w:type="dxa"/>
            <w:vAlign w:val="center"/>
          </w:tcPr>
          <w:p>
            <w:pPr>
              <w:pStyle w:val="单元格样式4"/>
            </w:pPr>
            <w:r>
              <w:t xml:space="preserve">2.98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新乐市民族宗教事务局2026年部门预算信息公开情况说明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新乐市民族宗教事务局2026年部门预算信息公开情况说明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按照《中华人民共和国预算法》、《地方预决算公开操作规程》和《关于进一步推进预算公开工作的实施意见》规定，现将新乐市民族宗教事务局2026年部门预算公开如下：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(一)组织开展民族宗教理论、政策及重大问题的调查研究，提出政策性意见和建议。</w:t>
      </w:r>
    </w:p>
    <w:p>
      <w:pPr>
        <w:pStyle w:val="插入文本样式-插入预算公开部门职责文件"/>
      </w:pPr>
      <w:r>
        <w:t xml:space="preserve">(二)负责指导有关部门、各乡镇(街道)、有关领域落实民族宗教政策，促进民族宗教工作开展。</w:t>
      </w:r>
    </w:p>
    <w:p>
      <w:pPr>
        <w:pStyle w:val="插入文本样式-插入预算公开部门职责文件"/>
      </w:pPr>
      <w:r>
        <w:t xml:space="preserve">(三)贯彻执行民族宗教方面的地方性法规、政府规章和政策规定，保障少数民族和信教群众的合法权益；负责流动少数民族服务管理工作。负责贯彻落实《中华人民共和国民族区域自治法》。</w:t>
      </w:r>
    </w:p>
    <w:p>
      <w:pPr>
        <w:pStyle w:val="插入文本样式-插入预算公开部门职责文件"/>
      </w:pPr>
      <w:r>
        <w:t xml:space="preserve">(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pPr>
        <w:pStyle w:val="插入文本样式-插入预算公开部门职责文件"/>
      </w:pPr>
      <w:r>
        <w:t xml:space="preserve">（五）研究并提出协调民族关系的工作建议，协调处理民族关系中的重大事件，参与协调涉及民族事务突发事件处置和民族地区社会稳定工作。</w:t>
      </w:r>
    </w:p>
    <w:p>
      <w:pPr>
        <w:pStyle w:val="插入文本样式-插入预算公开部门职责文件"/>
      </w:pPr>
      <w:r>
        <w:t xml:space="preserve">(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pPr>
        <w:pStyle w:val="插入文本样式-插入预算公开部门职责文件"/>
      </w:pPr>
      <w:r>
        <w:t xml:space="preserve">（七）负责组织指导少数民族语言文字的翻译、出版和民族古籍的搜集、整理、出版有关工作；提出文化、教育、科技、卫生、体育、艺术、语言文字、新闻出版等社会事业发展有关政策建议；承办民族统计工作。</w:t>
      </w:r>
    </w:p>
    <w:p>
      <w:pPr>
        <w:pStyle w:val="插入文本样式-插入预算公开部门职责文件"/>
      </w:pPr>
      <w:r>
        <w:t xml:space="preserve">（八）负责组织协调民族宗教领域对外和对港澳台的交流与合作工作；参与涉及民族宗教事务对外宣传工作。</w:t>
      </w:r>
    </w:p>
    <w:p>
      <w:pPr>
        <w:pStyle w:val="插入文本样式-插入预算公开部门职责文件"/>
      </w:pPr>
      <w:r>
        <w:t xml:space="preserve">(九)参与拟定少数民族人才队伍建设规划，协助有关部门做好少数民族干部的培养、教育和使用工作。</w:t>
      </w:r>
    </w:p>
    <w:p>
      <w:pPr>
        <w:pStyle w:val="插入文本样式-插入预算公开部门职责文件"/>
      </w:pPr>
      <w:r>
        <w:t xml:space="preserve">（十）依法对宗教行政事务进行管理，依法保护公民的宗教信仰自由和正常的宗教活动，维护宗教界合法权益。抵御境外利</w:t>
      </w:r>
    </w:p>
    <w:p>
      <w:pPr>
        <w:pStyle w:val="插入文本样式-插入预算公开部门职责文件"/>
      </w:pPr>
      <w:r>
        <w:t xml:space="preserve">用宗教进行渗透，引导各宗教坚持中国化方向，巩固和发展同宗教界的爱国统一战线，促进宗教关系和谐。</w:t>
      </w:r>
    </w:p>
    <w:p>
      <w:pPr>
        <w:pStyle w:val="插入文本样式-插入预算公开部门职责文件"/>
      </w:pPr>
      <w:r>
        <w:t xml:space="preserve">(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pPr>
        <w:pStyle w:val="插入文本样式-插入预算公开部门职责文件"/>
      </w:pPr>
      <w:r>
        <w:t xml:space="preserve">（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pPr>
        <w:pStyle w:val="插入文本样式-插入预算公开部门职责文件"/>
      </w:pPr>
      <w:r>
        <w:t xml:space="preserve">(十三)完成市委、市政府交办的其他任务。</w:t>
      </w:r>
    </w:p>
    <w:p>
      <w:pPr>
        <w:pStyle w:val="插入文本样式-插入预算公开部门职责文件"/>
      </w:pPr>
      <w:r>
        <w:t xml:space="preserve">新乐市民族宗教事务局根据工作需要，设有办公室、民宗股等股室。</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新乐市民族宗教事务局</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按照预算管理有关规定，目前部门预算的编制实行综合预算管理，即全部收入和支出都反映在预算中。新乐市民族宗教事务局机关及所属事业单位的收支包含在部门预算中。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190.34万元，其中：一般公共预算收入190.34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民族宗教事务局年度部门预算中支出预算的总体情况。2026年支出预算190.34万元，其中基本支出172.44万元，包括人员经费154.73万元和日常公用经费17.71万元；项目支出17.90万元，主要为民族工作专项支出12万元、民贸民品贷款贴息支出2.9万元、宗教事务支出3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190.34万元，较2025年预算增加20.20万元，其中：基本支出增加10.62万元，主要为人员经费及日常公用经费增长。一是政策性调资、社保缴费基数调整等因素，人员经费相应增加10.35万元；二是随着单位正常运转及业务工作开展，办公费等日常公用经费增长0.27万元，共同导致本年度基本支出较上年度增加10.62万元。项目支出增加9.58万元，主要为民族工作专项支出增加6万元、民贸民品贷款贴息支出增加0.58万元、宗教事务支出增加3万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2026年，我部门机关运行经费共计安排17.71万元，主要用于日常维修、办公用房水电费、办公用房取暖费、办公用房物业管理费等日常运行支出。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因公出国（境）费0万元，与2025年相比增加0.00万元，无增减变化，主要原因是年初没有安排因公出国费；公务用车购置及运维费2.33万元（其中：公务用车购置费为0.00万元，公务用车运维费2.40万元)，与2025年相比减少0.07万元，主要原因是严格执行公务用车相关制度，厉行节约； 公务接待费0.00万元。与2025年相比增加0.00万元， 无增减变化，主要原因是年初没有安排公务接待费用。</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以习近平新时代中国特色社会主义思想为指导，深入学习贯彻中央、省、石家庄市民族、宗教工作会议精神，在市委、市政府的正确领导下，紧紧围绕全市中心工作，民族工作以铸牢中华民族共同体意识为主线，坚定不移走中国特色解决民族问题的正确道路，构筑中华民族共有精神家园，促进各民族交往交流交融，推动民族地区加快现代化建设步伐，提升民族事务治理法治化水平。宗教工作全面贯彻党的宗教工作基本方针，全面贯彻党的宗教信仰自由政策，坚持我国宗教中国化方向，积极引导宗教与社会主义社会相适应，提高宗教界自我管理水平，提高宗教事务治理法治化水平。</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绩效目标：做好民族相关工作，宣传好民族工作相关的法律法规及政策 绩效指标：准确把握和全面贯彻党关于加强和改进民族工作的重要思想，贯彻执行党和国家关于民族工作的方针政策，做好有关民族工作的法律法规及相关政策规定的组织实施和监督执行，协调处理涉民族关系的有关事宜，防范化解民族领域风险隐患，推动民族乡村经济社会高质量发展。民族工作相关的宣传活动不少于4次；民族法律政策宣传普及率不低于80%。 绩效目标：提高宗教事务治理法治化水平 绩效指标：贯彻执行党和国家关于宗教工作的基本方针，大力开展和谐寺观教堂创建和“双创四建”活动，深入推进我国宗教中国化，引导和支持我国宗教以社会主义核心价值观为引领，增进宗教界人士和信教群众对伟大祖国、中华民族、中华文化、中国共产党、中国特色社会主义的认同。全力推进宗教领域专项整治和系统治理工作，巩固治理成果，探索建立长效机制；持续加强“三支队伍”培训，不断提升宗教工作队伍的能力素质。全市大型宗教活动场所“双创四建”覆盖率达到 100%。</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1、加强制度建设。建立健全机关预算绩效管理制度，为全年预算绩效目标的实现奠定制度基础。</w:t>
      </w:r>
    </w:p>
    <w:p>
      <w:pPr>
        <w:pStyle w:val="插入文本样式-插入实现年度发展规划目标的保障措施文件"/>
      </w:pPr>
      <w:r>
        <w:t xml:space="preserve">2、规范财务管理。进一步完善财务管理制度，通过科学编制预算、优化支出结构、加快政府采购、加快项目建设、及时拨付资金，确保经费支出进度达到规定标准。</w:t>
      </w:r>
    </w:p>
    <w:p>
      <w:pPr>
        <w:pStyle w:val="插入文本样式-插入实现年度发展规划目标的保障措施文件"/>
      </w:pPr>
      <w:r>
        <w:t xml:space="preserve">3、加强内部监督。加强内部监督制度建设，对绩效运行、重大支出事项、资产处置及其他重要经济业务事项决策和执行进行监督，定期开展财务内部审计，确保财政资金使用安全合规。</w:t>
      </w:r>
    </w:p>
    <w:p>
      <w:pPr>
        <w:pStyle w:val="插入文本样式-插入实现年度发展规划目标的保障措施文件"/>
      </w:pPr>
      <w:r>
        <w:t xml:space="preserve">4、加强绩效监控。积极开展绩效运行监控，发现问题及时采取措施，确保绩效目标如期保质实现。</w:t>
      </w:r>
    </w:p>
    <w:p>
      <w:pPr>
        <w:pStyle w:val="插入文本样式-插入实现年度发展规划目标的保障措施文件"/>
      </w:pPr>
      <w:r>
        <w:t xml:space="preserve">5、做好绩效自评。按要求开展部门预算绩效自评和重点项目评价工作，对评价中发现的问题及时整改。</w:t>
      </w:r>
    </w:p>
    <w:p>
      <w:pPr>
        <w:pStyle w:val="插入文本样式-插入实现年度发展规划目标的保障措施文件"/>
      </w:pPr>
      <w:r>
        <w:t xml:space="preserve">6、加强宣传培训。加强人员培训，加大宣传力度，强化预算绩效管理意识，促进预算绩效管理水平提升。</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1、冀财金【2025】51号-提前下达2026年省级普惠金融发展专项资金（民贸民品贷款贴息）绩效目标表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13018426P00007810017H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冀财金【2025】51号-提前下达2026年省级普惠金融发展专项资金（民贸民品贷款贴息）</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对符合条件的民贸民品贷款给予贴息支持。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1.为满足少数民族群众生产生活需要，促进民族地区贸易发展，加强民族贸易和民族特需商品生产贷款贴息管理，对符合条件的民贸民品贷款给予贴息支持。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民贸民品企业贷款财政贴息水平</w:t>
            </w:r>
          </w:p>
        </w:tc>
        <w:tc>
          <w:tcPr>
            <w:tcW w:w="5386" w:type="dxa"/>
            <w:vAlign w:val="center"/>
          </w:tcPr>
          <w:p>
            <w:pPr>
              <w:pStyle w:val="单元格样式2"/>
            </w:pPr>
            <w:r>
              <w:t xml:space="preserve">为符合条件的民贸民品企业贷款安排的财政贴息水平</w:t>
            </w:r>
          </w:p>
        </w:tc>
        <w:tc>
          <w:tcPr>
            <w:tcW w:w="2268" w:type="dxa"/>
            <w:vAlign w:val="center"/>
          </w:tcPr>
          <w:p>
            <w:pPr>
              <w:pStyle w:val="单元格样式2"/>
            </w:pPr>
            <w:r>
              <w:t xml:space="preserve">≤2.88贷款本金金额的2.88%</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民贸民品贷款贴息合规率</w:t>
            </w:r>
          </w:p>
        </w:tc>
        <w:tc>
          <w:tcPr>
            <w:tcW w:w="5386" w:type="dxa"/>
            <w:vAlign w:val="center"/>
          </w:tcPr>
          <w:p>
            <w:pPr>
              <w:pStyle w:val="单元格样式2"/>
            </w:pPr>
            <w:r>
              <w:t xml:space="preserve">民贸民品贷款贴息按照政策要求严格审核</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民贸民品贷款贴息资金拨付及时率</w:t>
            </w:r>
          </w:p>
        </w:tc>
        <w:tc>
          <w:tcPr>
            <w:tcW w:w="5386" w:type="dxa"/>
            <w:vAlign w:val="center"/>
          </w:tcPr>
          <w:p>
            <w:pPr>
              <w:pStyle w:val="单元格样式2"/>
            </w:pPr>
            <w:r>
              <w:t xml:space="preserve">按照政策要求按时足额拨付财政贴息资金</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民贸民品企业贷款贴息限额</w:t>
            </w:r>
          </w:p>
        </w:tc>
        <w:tc>
          <w:tcPr>
            <w:tcW w:w="5386" w:type="dxa"/>
            <w:vAlign w:val="center"/>
          </w:tcPr>
          <w:p>
            <w:pPr>
              <w:pStyle w:val="单元格样式2"/>
            </w:pPr>
            <w:r>
              <w:t xml:space="preserve">民贸民品企业贷款贴息限额</w:t>
            </w:r>
          </w:p>
        </w:tc>
        <w:tc>
          <w:tcPr>
            <w:tcW w:w="2268" w:type="dxa"/>
            <w:vAlign w:val="center"/>
          </w:tcPr>
          <w:p>
            <w:pPr>
              <w:pStyle w:val="单元格样式2"/>
            </w:pPr>
            <w:r>
              <w:t xml:space="preserve">≤1000万元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民贸民品贷款发放金额</w:t>
            </w:r>
          </w:p>
        </w:tc>
        <w:tc>
          <w:tcPr>
            <w:tcW w:w="5386" w:type="dxa"/>
            <w:vAlign w:val="center"/>
          </w:tcPr>
          <w:p>
            <w:pPr>
              <w:pStyle w:val="单元格样式2"/>
            </w:pPr>
            <w:r>
              <w:t xml:space="preserve">引导银行类金融机构发放贷款金额</w:t>
            </w:r>
          </w:p>
        </w:tc>
        <w:tc>
          <w:tcPr>
            <w:tcW w:w="2268" w:type="dxa"/>
            <w:vAlign w:val="center"/>
          </w:tcPr>
          <w:p>
            <w:pPr>
              <w:pStyle w:val="单元格样式2"/>
            </w:pPr>
            <w:r>
              <w:t xml:space="preserve">≥250万元（本地区前三年平均发放贷款金额）</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受益企业满意度</w:t>
            </w:r>
          </w:p>
        </w:tc>
        <w:tc>
          <w:tcPr>
            <w:tcW w:w="5386" w:type="dxa"/>
            <w:vAlign w:val="center"/>
          </w:tcPr>
          <w:p>
            <w:pPr>
              <w:pStyle w:val="单元格样式2"/>
            </w:pPr>
            <w:r>
              <w:t xml:space="preserve">受益企业满意度</w:t>
            </w:r>
          </w:p>
        </w:tc>
        <w:tc>
          <w:tcPr>
            <w:tcW w:w="2268" w:type="dxa"/>
            <w:vAlign w:val="center"/>
          </w:tcPr>
          <w:p>
            <w:pPr>
              <w:pStyle w:val="单元格样式2"/>
            </w:pPr>
            <w:r>
              <w:t xml:space="preserve">≥95%</w:t>
            </w:r>
          </w:p>
        </w:tc>
        <w:tc>
          <w:tcPr>
            <w:tcW w:w="1276" w:type="dxa"/>
            <w:vAlign w:val="center"/>
          </w:tcPr>
          <w:p>
            <w:pPr>
              <w:pStyle w:val="单元格样式2"/>
            </w:pPr>
            <w:r>
              <w:t xml:space="preserve">依据历史数据</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2、冀财行【2025】102号-提前下达2026年省级少数民族地区补助资金绩效目标表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13018426P005281100033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冀财行【2025】102号-提前下达2026年省级少数民族地区补助资金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助力各项民族工作顺利开展，推动少数民族和民族地区社会事业发展，促进民族团结进步，引导各族群众铸牢中华民族共同体意识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1.助力各项民族工作顺利开展，推动少数民族和民族地区社会事业发展，促进民族团结进步，引导各族群众铸牢中华民族共同体意识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开展活动次数</w:t>
            </w:r>
          </w:p>
        </w:tc>
        <w:tc>
          <w:tcPr>
            <w:tcW w:w="2268" w:type="dxa"/>
            <w:vAlign w:val="center"/>
          </w:tcPr>
          <w:p>
            <w:pPr>
              <w:pStyle w:val="单元格样式2"/>
            </w:pPr>
            <w:r>
              <w:t xml:space="preserve">≥1次</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工作、活动开展有效率</w:t>
            </w:r>
          </w:p>
        </w:tc>
        <w:tc>
          <w:tcPr>
            <w:tcW w:w="5386" w:type="dxa"/>
            <w:vAlign w:val="center"/>
          </w:tcPr>
          <w:p>
            <w:pPr>
              <w:pStyle w:val="单元格样式2"/>
            </w:pPr>
            <w:r>
              <w:t xml:space="preserve">工作、活动开展有效率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工作完成情况</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100%2026年12月底</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支持活动资金标准</w:t>
            </w:r>
          </w:p>
        </w:tc>
        <w:tc>
          <w:tcPr>
            <w:tcW w:w="5386" w:type="dxa"/>
            <w:vAlign w:val="center"/>
          </w:tcPr>
          <w:p>
            <w:pPr>
              <w:pStyle w:val="单元格样式2"/>
            </w:pPr>
            <w:r>
              <w:t xml:space="preserve">支持活动资金标准</w:t>
            </w:r>
          </w:p>
        </w:tc>
        <w:tc>
          <w:tcPr>
            <w:tcW w:w="2268" w:type="dxa"/>
            <w:vAlign w:val="center"/>
          </w:tcPr>
          <w:p>
            <w:pPr>
              <w:pStyle w:val="单元格样式2"/>
            </w:pPr>
            <w:r>
              <w:t xml:space="preserve">12万元按照资金管理办法执行</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被媒体报导次数</w:t>
            </w:r>
          </w:p>
        </w:tc>
        <w:tc>
          <w:tcPr>
            <w:tcW w:w="5386" w:type="dxa"/>
            <w:vAlign w:val="center"/>
          </w:tcPr>
          <w:p>
            <w:pPr>
              <w:pStyle w:val="单元格样式2"/>
            </w:pPr>
            <w:r>
              <w:t xml:space="preserve">被媒体报导次数</w:t>
            </w:r>
          </w:p>
        </w:tc>
        <w:tc>
          <w:tcPr>
            <w:tcW w:w="2268" w:type="dxa"/>
            <w:vAlign w:val="center"/>
          </w:tcPr>
          <w:p>
            <w:pPr>
              <w:pStyle w:val="单元格样式2"/>
            </w:pPr>
            <w:r>
              <w:t xml:space="preserve">≥1次</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受众满意率</w:t>
            </w:r>
          </w:p>
        </w:tc>
        <w:tc>
          <w:tcPr>
            <w:tcW w:w="5386" w:type="dxa"/>
            <w:vAlign w:val="center"/>
          </w:tcPr>
          <w:p>
            <w:pPr>
              <w:pStyle w:val="单元格样式2"/>
            </w:pPr>
            <w:r>
              <w:t xml:space="preserve">受众满意率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3、冀财行【2025】99号-提前下达省级基层宗教事务管理补助经费绩效目标表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13018426P00005810003Q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冀财行【2025】99号-提前下达省级基层宗教事务管理补助经费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系统推进我国宗教中国化实践，加强全市宗教事务管理，维护全市宗教领域安全稳定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1.系统推进我国宗教中国化实践，加强全市宗教事务管理，维护全市宗教领域安全稳定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支持宗教工作经费</w:t>
            </w:r>
          </w:p>
        </w:tc>
        <w:tc>
          <w:tcPr>
            <w:tcW w:w="5386" w:type="dxa"/>
            <w:vAlign w:val="center"/>
          </w:tcPr>
          <w:p>
            <w:pPr>
              <w:pStyle w:val="单元格样式2"/>
            </w:pPr>
            <w:r>
              <w:t xml:space="preserve">宗教工作经费金额</w:t>
            </w:r>
          </w:p>
        </w:tc>
        <w:tc>
          <w:tcPr>
            <w:tcW w:w="2268" w:type="dxa"/>
            <w:vAlign w:val="center"/>
          </w:tcPr>
          <w:p>
            <w:pPr>
              <w:pStyle w:val="单元格样式2"/>
            </w:pPr>
            <w:r>
              <w:t xml:space="preserve">2万元</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系统推进我国宗教中国化实践，维护全市宗教领域安全稳定</w:t>
            </w:r>
          </w:p>
        </w:tc>
        <w:tc>
          <w:tcPr>
            <w:tcW w:w="5386" w:type="dxa"/>
            <w:vAlign w:val="center"/>
          </w:tcPr>
          <w:p>
            <w:pPr>
              <w:pStyle w:val="单元格样式2"/>
            </w:pPr>
            <w:r>
              <w:t xml:space="preserve">有效制止非法宗教活动件数</w:t>
            </w:r>
          </w:p>
        </w:tc>
        <w:tc>
          <w:tcPr>
            <w:tcW w:w="2268" w:type="dxa"/>
            <w:vAlign w:val="center"/>
          </w:tcPr>
          <w:p>
            <w:pPr>
              <w:pStyle w:val="单元格样式2"/>
            </w:pPr>
            <w:r>
              <w:t xml:space="preserve">≥1件</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资金拨付到位</w:t>
            </w:r>
          </w:p>
        </w:tc>
        <w:tc>
          <w:tcPr>
            <w:tcW w:w="5386" w:type="dxa"/>
            <w:vAlign w:val="center"/>
          </w:tcPr>
          <w:p>
            <w:pPr>
              <w:pStyle w:val="单元格样式2"/>
            </w:pPr>
            <w:r>
              <w:t xml:space="preserve">资金拨付到位率</w:t>
            </w:r>
          </w:p>
        </w:tc>
        <w:tc>
          <w:tcPr>
            <w:tcW w:w="2268" w:type="dxa"/>
            <w:vAlign w:val="center"/>
          </w:tcPr>
          <w:p>
            <w:pPr>
              <w:pStyle w:val="单元格样式2"/>
            </w:pPr>
            <w:r>
              <w:t xml:space="preserve">100%</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维护宗教领域社会稳定</w:t>
            </w:r>
          </w:p>
        </w:tc>
        <w:tc>
          <w:tcPr>
            <w:tcW w:w="5386" w:type="dxa"/>
            <w:vAlign w:val="center"/>
          </w:tcPr>
          <w:p>
            <w:pPr>
              <w:pStyle w:val="单元格样式2"/>
            </w:pPr>
            <w:r>
              <w:t xml:space="preserve">排查化解宗教领域风险隐患件数</w:t>
            </w:r>
          </w:p>
        </w:tc>
        <w:tc>
          <w:tcPr>
            <w:tcW w:w="2268" w:type="dxa"/>
            <w:vAlign w:val="center"/>
          </w:tcPr>
          <w:p>
            <w:pPr>
              <w:pStyle w:val="单元格样式2"/>
            </w:pPr>
            <w:r>
              <w:t xml:space="preserve">≥1件</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促进全市宗教工作开展，激发宗教干部工作热情</w:t>
            </w:r>
          </w:p>
        </w:tc>
        <w:tc>
          <w:tcPr>
            <w:tcW w:w="2268" w:type="dxa"/>
            <w:vAlign w:val="center"/>
          </w:tcPr>
          <w:p>
            <w:pPr>
              <w:pStyle w:val="单元格样式2"/>
            </w:pPr>
            <w:r>
              <w:t xml:space="preserve">100%</w:t>
            </w:r>
          </w:p>
        </w:tc>
        <w:tc>
          <w:tcPr>
            <w:tcW w:w="1276" w:type="dxa"/>
            <w:vAlign w:val="center"/>
          </w:tcPr>
          <w:p>
            <w:pPr>
              <w:pStyle w:val="单元格样式2"/>
            </w:pPr>
            <w:r>
              <w:t xml:space="preserve">服务对象反馈信息</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新乐市民族宗教事务局（含所属单位）上年末固定资产金额为32.77万元（详见下表）。本年度拟购置固定资产总额为0.00万元，已按要求列入政府采购预算，详见政府采购预算表。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308新乐市民族宗教事务局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32.77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8.96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136</w:t>
            </w:r>
          </w:p>
        </w:tc>
        <w:tc>
          <w:tcPr>
            <w:tcW w:w="2835" w:type="dxa"/>
            <w:vAlign w:val="center"/>
          </w:tcPr>
          <w:p>
            <w:pPr>
              <w:pStyle w:val="单元格样式4"/>
            </w:pPr>
            <w:r>
              <w:t xml:space="preserve">23.81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2026-03-03T16:47:16Z</dcterms:created>
  <dcterms:modified xsi:type="dcterms:W3CDTF">2026-03-03T16:47:16Z</dcterms:modified>
</cp:coreProperties>
</file>