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687.07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1040.79</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516.65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986.62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2344.61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1727.86</w:t>
            </w:r>
          </w:p>
        </w:tc>
        <w:tc>
          <w:tcPr>
            <w:tcW w:w="4535" w:type="dxa"/>
            <w:vAlign w:val="center"/>
          </w:tcPr>
          <w:p>
            <w:pPr>
              <w:pStyle w:val="15"/>
            </w:pPr>
            <w:r>
              <w:t>本年支出合计</w:t>
            </w:r>
          </w:p>
        </w:tc>
        <w:tc>
          <w:tcPr>
            <w:tcW w:w="2126" w:type="dxa"/>
            <w:vAlign w:val="center"/>
          </w:tcPr>
          <w:p>
            <w:pPr>
              <w:pStyle w:val="16"/>
            </w:pPr>
            <w:r>
              <w:t>3847.89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2120.03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3847.89</w:t>
            </w:r>
          </w:p>
        </w:tc>
        <w:tc>
          <w:tcPr>
            <w:tcW w:w="4535" w:type="dxa"/>
            <w:vAlign w:val="center"/>
          </w:tcPr>
          <w:p>
            <w:pPr>
              <w:pStyle w:val="15"/>
            </w:pPr>
            <w:r>
              <w:t>支出总计</w:t>
            </w:r>
          </w:p>
        </w:tc>
        <w:tc>
          <w:tcPr>
            <w:tcW w:w="2126" w:type="dxa"/>
            <w:vAlign w:val="center"/>
          </w:tcPr>
          <w:p>
            <w:pPr>
              <w:pStyle w:val="16"/>
            </w:pPr>
            <w:r>
              <w:t>3847.89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3847.89</w:t>
            </w:r>
          </w:p>
        </w:tc>
        <w:tc>
          <w:tcPr>
            <w:tcW w:w="1134" w:type="dxa"/>
            <w:vAlign w:val="center"/>
          </w:tcPr>
          <w:p>
            <w:pPr>
              <w:pStyle w:val="16"/>
            </w:pPr>
            <w:r>
              <w:t>1727.86</w:t>
            </w:r>
          </w:p>
        </w:tc>
        <w:tc>
          <w:tcPr>
            <w:tcW w:w="1134" w:type="dxa"/>
            <w:vAlign w:val="center"/>
          </w:tcPr>
          <w:p>
            <w:pPr>
              <w:pStyle w:val="16"/>
            </w:pPr>
            <w:r>
              <w:t>1727.86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2120.03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516.65</w:t>
            </w:r>
          </w:p>
        </w:tc>
        <w:tc>
          <w:tcPr>
            <w:tcW w:w="1134" w:type="dxa"/>
            <w:vAlign w:val="center"/>
          </w:tcPr>
          <w:p>
            <w:pPr>
              <w:pStyle w:val="12"/>
            </w:pPr>
            <w:r>
              <w:t>516.65</w:t>
            </w:r>
          </w:p>
        </w:tc>
        <w:tc>
          <w:tcPr>
            <w:tcW w:w="1134" w:type="dxa"/>
            <w:vAlign w:val="center"/>
          </w:tcPr>
          <w:p>
            <w:pPr>
              <w:pStyle w:val="12"/>
            </w:pPr>
            <w:r>
              <w:t>516.65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411.75</w:t>
            </w:r>
          </w:p>
        </w:tc>
        <w:tc>
          <w:tcPr>
            <w:tcW w:w="1134" w:type="dxa"/>
            <w:vAlign w:val="center"/>
          </w:tcPr>
          <w:p>
            <w:pPr>
              <w:pStyle w:val="12"/>
            </w:pPr>
            <w:r>
              <w:t>411.75</w:t>
            </w:r>
          </w:p>
        </w:tc>
        <w:tc>
          <w:tcPr>
            <w:tcW w:w="1134" w:type="dxa"/>
            <w:vAlign w:val="center"/>
          </w:tcPr>
          <w:p>
            <w:pPr>
              <w:pStyle w:val="12"/>
            </w:pPr>
            <w:r>
              <w:t>411.75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2060101</w:t>
            </w:r>
          </w:p>
        </w:tc>
        <w:tc>
          <w:tcPr>
            <w:tcW w:w="1559" w:type="dxa"/>
            <w:vAlign w:val="center"/>
          </w:tcPr>
          <w:p>
            <w:pPr>
              <w:pStyle w:val="13"/>
            </w:pPr>
            <w:r>
              <w:t>行政运行</w:t>
            </w:r>
          </w:p>
        </w:tc>
        <w:tc>
          <w:tcPr>
            <w:tcW w:w="1134" w:type="dxa"/>
            <w:vAlign w:val="center"/>
          </w:tcPr>
          <w:p>
            <w:pPr>
              <w:pStyle w:val="12"/>
            </w:pPr>
            <w:r>
              <w:t>411.75</w:t>
            </w:r>
          </w:p>
        </w:tc>
        <w:tc>
          <w:tcPr>
            <w:tcW w:w="1134" w:type="dxa"/>
            <w:vAlign w:val="center"/>
          </w:tcPr>
          <w:p>
            <w:pPr>
              <w:pStyle w:val="12"/>
            </w:pPr>
            <w:r>
              <w:t>411.75</w:t>
            </w:r>
          </w:p>
        </w:tc>
        <w:tc>
          <w:tcPr>
            <w:tcW w:w="1134" w:type="dxa"/>
            <w:vAlign w:val="center"/>
          </w:tcPr>
          <w:p>
            <w:pPr>
              <w:pStyle w:val="12"/>
            </w:pPr>
            <w:r>
              <w:t>411.75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18.82</w:t>
            </w:r>
          </w:p>
        </w:tc>
        <w:tc>
          <w:tcPr>
            <w:tcW w:w="1134" w:type="dxa"/>
            <w:vAlign w:val="center"/>
          </w:tcPr>
          <w:p>
            <w:pPr>
              <w:pStyle w:val="12"/>
            </w:pPr>
            <w:r>
              <w:t>18.82</w:t>
            </w:r>
          </w:p>
        </w:tc>
        <w:tc>
          <w:tcPr>
            <w:tcW w:w="1134" w:type="dxa"/>
            <w:vAlign w:val="center"/>
          </w:tcPr>
          <w:p>
            <w:pPr>
              <w:pStyle w:val="12"/>
            </w:pPr>
            <w:r>
              <w:t>18.82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2060499</w:t>
            </w:r>
          </w:p>
        </w:tc>
        <w:tc>
          <w:tcPr>
            <w:tcW w:w="1559" w:type="dxa"/>
            <w:vAlign w:val="center"/>
          </w:tcPr>
          <w:p>
            <w:pPr>
              <w:pStyle w:val="13"/>
            </w:pPr>
            <w:r>
              <w:t>其他技术研究与开发支出</w:t>
            </w:r>
          </w:p>
        </w:tc>
        <w:tc>
          <w:tcPr>
            <w:tcW w:w="1134" w:type="dxa"/>
            <w:vAlign w:val="center"/>
          </w:tcPr>
          <w:p>
            <w:pPr>
              <w:pStyle w:val="12"/>
            </w:pPr>
            <w:r>
              <w:t>18.82</w:t>
            </w:r>
          </w:p>
        </w:tc>
        <w:tc>
          <w:tcPr>
            <w:tcW w:w="1134" w:type="dxa"/>
            <w:vAlign w:val="center"/>
          </w:tcPr>
          <w:p>
            <w:pPr>
              <w:pStyle w:val="12"/>
            </w:pPr>
            <w:r>
              <w:t>18.82</w:t>
            </w:r>
          </w:p>
        </w:tc>
        <w:tc>
          <w:tcPr>
            <w:tcW w:w="1134" w:type="dxa"/>
            <w:vAlign w:val="center"/>
          </w:tcPr>
          <w:p>
            <w:pPr>
              <w:pStyle w:val="12"/>
            </w:pPr>
            <w:r>
              <w:t>18.82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86.08</w:t>
            </w:r>
          </w:p>
        </w:tc>
        <w:tc>
          <w:tcPr>
            <w:tcW w:w="1134" w:type="dxa"/>
            <w:vAlign w:val="center"/>
          </w:tcPr>
          <w:p>
            <w:pPr>
              <w:pStyle w:val="12"/>
            </w:pPr>
            <w:r>
              <w:t>86.08</w:t>
            </w:r>
          </w:p>
        </w:tc>
        <w:tc>
          <w:tcPr>
            <w:tcW w:w="1134" w:type="dxa"/>
            <w:vAlign w:val="center"/>
          </w:tcPr>
          <w:p>
            <w:pPr>
              <w:pStyle w:val="12"/>
            </w:pPr>
            <w:r>
              <w:t>86.08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86.08</w:t>
            </w:r>
          </w:p>
        </w:tc>
        <w:tc>
          <w:tcPr>
            <w:tcW w:w="1134" w:type="dxa"/>
            <w:vAlign w:val="center"/>
          </w:tcPr>
          <w:p>
            <w:pPr>
              <w:pStyle w:val="12"/>
            </w:pPr>
            <w:r>
              <w:t>86.08</w:t>
            </w:r>
          </w:p>
        </w:tc>
        <w:tc>
          <w:tcPr>
            <w:tcW w:w="1134" w:type="dxa"/>
            <w:vAlign w:val="center"/>
          </w:tcPr>
          <w:p>
            <w:pPr>
              <w:pStyle w:val="12"/>
            </w:pPr>
            <w:r>
              <w:t>86.08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986.62</w:t>
            </w:r>
          </w:p>
        </w:tc>
        <w:tc>
          <w:tcPr>
            <w:tcW w:w="1134" w:type="dxa"/>
            <w:vAlign w:val="center"/>
          </w:tcPr>
          <w:p>
            <w:pPr>
              <w:pStyle w:val="12"/>
            </w:pPr>
            <w:r>
              <w:t>170.42</w:t>
            </w:r>
          </w:p>
        </w:tc>
        <w:tc>
          <w:tcPr>
            <w:tcW w:w="1134" w:type="dxa"/>
            <w:vAlign w:val="center"/>
          </w:tcPr>
          <w:p>
            <w:pPr>
              <w:pStyle w:val="12"/>
            </w:pPr>
            <w:r>
              <w:t>170.42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21505</w:t>
            </w:r>
          </w:p>
        </w:tc>
        <w:tc>
          <w:tcPr>
            <w:tcW w:w="1559" w:type="dxa"/>
            <w:vAlign w:val="center"/>
          </w:tcPr>
          <w:p>
            <w:pPr>
              <w:pStyle w:val="13"/>
            </w:pPr>
            <w:r>
              <w:t>工业和信息产业</w:t>
            </w:r>
          </w:p>
        </w:tc>
        <w:tc>
          <w:tcPr>
            <w:tcW w:w="1134" w:type="dxa"/>
            <w:vAlign w:val="center"/>
          </w:tcPr>
          <w:p>
            <w:pPr>
              <w:pStyle w:val="12"/>
            </w:pPr>
            <w:r>
              <w:t>10.42</w:t>
            </w:r>
          </w:p>
        </w:tc>
        <w:tc>
          <w:tcPr>
            <w:tcW w:w="1134" w:type="dxa"/>
            <w:vAlign w:val="center"/>
          </w:tcPr>
          <w:p>
            <w:pPr>
              <w:pStyle w:val="12"/>
            </w:pPr>
            <w:r>
              <w:t>10.42</w:t>
            </w:r>
          </w:p>
        </w:tc>
        <w:tc>
          <w:tcPr>
            <w:tcW w:w="1134" w:type="dxa"/>
            <w:vAlign w:val="center"/>
          </w:tcPr>
          <w:p>
            <w:pPr>
              <w:pStyle w:val="12"/>
            </w:pPr>
            <w:r>
              <w:t>10.42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2150517</w:t>
            </w:r>
          </w:p>
        </w:tc>
        <w:tc>
          <w:tcPr>
            <w:tcW w:w="1559" w:type="dxa"/>
            <w:vAlign w:val="center"/>
          </w:tcPr>
          <w:p>
            <w:pPr>
              <w:pStyle w:val="13"/>
            </w:pPr>
            <w:r>
              <w:t>产业发展</w:t>
            </w:r>
          </w:p>
        </w:tc>
        <w:tc>
          <w:tcPr>
            <w:tcW w:w="1134" w:type="dxa"/>
            <w:vAlign w:val="center"/>
          </w:tcPr>
          <w:p>
            <w:pPr>
              <w:pStyle w:val="12"/>
            </w:pPr>
            <w:r>
              <w:t>10.42</w:t>
            </w:r>
          </w:p>
        </w:tc>
        <w:tc>
          <w:tcPr>
            <w:tcW w:w="1134" w:type="dxa"/>
            <w:vAlign w:val="center"/>
          </w:tcPr>
          <w:p>
            <w:pPr>
              <w:pStyle w:val="12"/>
            </w:pPr>
            <w:r>
              <w:t>10.42</w:t>
            </w:r>
          </w:p>
        </w:tc>
        <w:tc>
          <w:tcPr>
            <w:tcW w:w="1134" w:type="dxa"/>
            <w:vAlign w:val="center"/>
          </w:tcPr>
          <w:p>
            <w:pPr>
              <w:pStyle w:val="12"/>
            </w:pPr>
            <w:r>
              <w:t>10.42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21507</w:t>
            </w:r>
          </w:p>
        </w:tc>
        <w:tc>
          <w:tcPr>
            <w:tcW w:w="1559" w:type="dxa"/>
            <w:vAlign w:val="center"/>
          </w:tcPr>
          <w:p>
            <w:pPr>
              <w:pStyle w:val="13"/>
            </w:pPr>
            <w:r>
              <w:t>国有资产监管</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2150799</w:t>
            </w:r>
          </w:p>
        </w:tc>
        <w:tc>
          <w:tcPr>
            <w:tcW w:w="1559" w:type="dxa"/>
            <w:vAlign w:val="center"/>
          </w:tcPr>
          <w:p>
            <w:pPr>
              <w:pStyle w:val="13"/>
            </w:pPr>
            <w:r>
              <w:t>其他国有资产监管支出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21508</w:t>
            </w:r>
          </w:p>
        </w:tc>
        <w:tc>
          <w:tcPr>
            <w:tcW w:w="1559" w:type="dxa"/>
            <w:vAlign w:val="center"/>
          </w:tcPr>
          <w:p>
            <w:pPr>
              <w:pStyle w:val="13"/>
            </w:pPr>
            <w:r>
              <w:t>支持中小企业发展和管理支出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2150805</w:t>
            </w:r>
          </w:p>
        </w:tc>
        <w:tc>
          <w:tcPr>
            <w:tcW w:w="1559" w:type="dxa"/>
            <w:vAlign w:val="center"/>
          </w:tcPr>
          <w:p>
            <w:pPr>
              <w:pStyle w:val="13"/>
            </w:pPr>
            <w:r>
              <w:t>中小企业发展专项</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21598</w:t>
            </w:r>
          </w:p>
        </w:tc>
        <w:tc>
          <w:tcPr>
            <w:tcW w:w="1559" w:type="dxa"/>
            <w:vAlign w:val="center"/>
          </w:tcPr>
          <w:p>
            <w:pPr>
              <w:pStyle w:val="13"/>
            </w:pPr>
            <w:r>
              <w:t>超长期特别国债安排的支出</w:t>
            </w:r>
          </w:p>
        </w:tc>
        <w:tc>
          <w:tcPr>
            <w:tcW w:w="1134" w:type="dxa"/>
            <w:vAlign w:val="center"/>
          </w:tcPr>
          <w:p>
            <w:pPr>
              <w:pStyle w:val="12"/>
            </w:pPr>
            <w:r>
              <w:t>816.20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2159802</w:t>
            </w:r>
          </w:p>
        </w:tc>
        <w:tc>
          <w:tcPr>
            <w:tcW w:w="1559" w:type="dxa"/>
            <w:vAlign w:val="center"/>
          </w:tcPr>
          <w:p>
            <w:pPr>
              <w:pStyle w:val="13"/>
            </w:pPr>
            <w:r>
              <w:t>制造业</w:t>
            </w:r>
          </w:p>
        </w:tc>
        <w:tc>
          <w:tcPr>
            <w:tcW w:w="1134" w:type="dxa"/>
            <w:vAlign w:val="center"/>
          </w:tcPr>
          <w:p>
            <w:pPr>
              <w:pStyle w:val="12"/>
            </w:pPr>
            <w:r>
              <w:t>816.20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2344.61</w:t>
            </w:r>
          </w:p>
        </w:tc>
        <w:tc>
          <w:tcPr>
            <w:tcW w:w="1134" w:type="dxa"/>
            <w:vAlign w:val="center"/>
          </w:tcPr>
          <w:p>
            <w:pPr>
              <w:pStyle w:val="12"/>
            </w:pPr>
            <w:r>
              <w:t>1040.79</w:t>
            </w:r>
          </w:p>
        </w:tc>
        <w:tc>
          <w:tcPr>
            <w:tcW w:w="1134" w:type="dxa"/>
            <w:vAlign w:val="center"/>
          </w:tcPr>
          <w:p>
            <w:pPr>
              <w:pStyle w:val="12"/>
            </w:pPr>
            <w:r>
              <w:t>1040.79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2344.61</w:t>
            </w:r>
          </w:p>
        </w:tc>
        <w:tc>
          <w:tcPr>
            <w:tcW w:w="1134" w:type="dxa"/>
            <w:vAlign w:val="center"/>
          </w:tcPr>
          <w:p>
            <w:pPr>
              <w:pStyle w:val="12"/>
            </w:pPr>
            <w:r>
              <w:t>1040.79</w:t>
            </w:r>
          </w:p>
        </w:tc>
        <w:tc>
          <w:tcPr>
            <w:tcW w:w="1134" w:type="dxa"/>
            <w:vAlign w:val="center"/>
          </w:tcPr>
          <w:p>
            <w:pPr>
              <w:pStyle w:val="12"/>
            </w:pPr>
            <w:r>
              <w:t>1040.79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2344.61</w:t>
            </w:r>
          </w:p>
        </w:tc>
        <w:tc>
          <w:tcPr>
            <w:tcW w:w="1134" w:type="dxa"/>
            <w:vAlign w:val="center"/>
          </w:tcPr>
          <w:p>
            <w:pPr>
              <w:pStyle w:val="12"/>
            </w:pPr>
            <w:r>
              <w:t>1040.79</w:t>
            </w:r>
          </w:p>
        </w:tc>
        <w:tc>
          <w:tcPr>
            <w:tcW w:w="1134" w:type="dxa"/>
            <w:vAlign w:val="center"/>
          </w:tcPr>
          <w:p>
            <w:pPr>
              <w:pStyle w:val="12"/>
            </w:pPr>
            <w:r>
              <w:t>1040.79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1303.83</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3847.89</w:t>
            </w:r>
          </w:p>
        </w:tc>
        <w:tc>
          <w:tcPr>
            <w:tcW w:w="1361" w:type="dxa"/>
            <w:vAlign w:val="center"/>
          </w:tcPr>
          <w:p>
            <w:pPr>
              <w:pStyle w:val="16"/>
            </w:pPr>
            <w:r>
              <w:t>401.65</w:t>
            </w:r>
          </w:p>
        </w:tc>
        <w:tc>
          <w:tcPr>
            <w:tcW w:w="1361" w:type="dxa"/>
            <w:vAlign w:val="center"/>
          </w:tcPr>
          <w:p>
            <w:pPr>
              <w:pStyle w:val="16"/>
            </w:pPr>
            <w:r>
              <w:t>3446.24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516.65</w:t>
            </w:r>
          </w:p>
        </w:tc>
        <w:tc>
          <w:tcPr>
            <w:tcW w:w="1361" w:type="dxa"/>
            <w:vAlign w:val="center"/>
          </w:tcPr>
          <w:p>
            <w:pPr>
              <w:pStyle w:val="12"/>
            </w:pPr>
            <w:r>
              <w:t>401.65</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411.75</w:t>
            </w:r>
          </w:p>
        </w:tc>
        <w:tc>
          <w:tcPr>
            <w:tcW w:w="1361" w:type="dxa"/>
            <w:vAlign w:val="center"/>
          </w:tcPr>
          <w:p>
            <w:pPr>
              <w:pStyle w:val="12"/>
            </w:pPr>
            <w:r>
              <w:t>401.65</w:t>
            </w:r>
          </w:p>
        </w:tc>
        <w:tc>
          <w:tcPr>
            <w:tcW w:w="1361" w:type="dxa"/>
            <w:vAlign w:val="center"/>
          </w:tcPr>
          <w:p>
            <w:pPr>
              <w:pStyle w:val="12"/>
            </w:pPr>
            <w:r>
              <w:t>10.10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2060101</w:t>
            </w:r>
          </w:p>
        </w:tc>
        <w:tc>
          <w:tcPr>
            <w:tcW w:w="4535" w:type="dxa"/>
            <w:vAlign w:val="center"/>
          </w:tcPr>
          <w:p>
            <w:pPr>
              <w:pStyle w:val="13"/>
            </w:pPr>
            <w:r>
              <w:t>行政运行</w:t>
            </w:r>
          </w:p>
        </w:tc>
        <w:tc>
          <w:tcPr>
            <w:tcW w:w="1361" w:type="dxa"/>
            <w:vAlign w:val="center"/>
          </w:tcPr>
          <w:p>
            <w:pPr>
              <w:pStyle w:val="12"/>
            </w:pPr>
            <w:r>
              <w:t>411.75</w:t>
            </w:r>
          </w:p>
        </w:tc>
        <w:tc>
          <w:tcPr>
            <w:tcW w:w="1361" w:type="dxa"/>
            <w:vAlign w:val="center"/>
          </w:tcPr>
          <w:p>
            <w:pPr>
              <w:pStyle w:val="12"/>
            </w:pPr>
            <w:r>
              <w:t>401.65</w:t>
            </w:r>
          </w:p>
        </w:tc>
        <w:tc>
          <w:tcPr>
            <w:tcW w:w="1361" w:type="dxa"/>
            <w:vAlign w:val="center"/>
          </w:tcPr>
          <w:p>
            <w:pPr>
              <w:pStyle w:val="12"/>
            </w:pPr>
            <w:r>
              <w:t>10.10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18.82</w:t>
            </w:r>
          </w:p>
        </w:tc>
        <w:tc>
          <w:tcPr>
            <w:tcW w:w="1361" w:type="dxa"/>
            <w:vAlign w:val="center"/>
          </w:tcPr>
          <w:p>
            <w:pPr>
              <w:pStyle w:val="12"/>
            </w:pPr>
          </w:p>
        </w:tc>
        <w:tc>
          <w:tcPr>
            <w:tcW w:w="1361" w:type="dxa"/>
            <w:vAlign w:val="center"/>
          </w:tcPr>
          <w:p>
            <w:pPr>
              <w:pStyle w:val="12"/>
            </w:pPr>
            <w:r>
              <w:t>18.82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2060499</w:t>
            </w:r>
          </w:p>
        </w:tc>
        <w:tc>
          <w:tcPr>
            <w:tcW w:w="4535" w:type="dxa"/>
            <w:vAlign w:val="center"/>
          </w:tcPr>
          <w:p>
            <w:pPr>
              <w:pStyle w:val="13"/>
            </w:pPr>
            <w:r>
              <w:t>其他技术研究与开发支出</w:t>
            </w:r>
          </w:p>
        </w:tc>
        <w:tc>
          <w:tcPr>
            <w:tcW w:w="1361" w:type="dxa"/>
            <w:vAlign w:val="center"/>
          </w:tcPr>
          <w:p>
            <w:pPr>
              <w:pStyle w:val="12"/>
            </w:pPr>
            <w:r>
              <w:t>18.82</w:t>
            </w:r>
          </w:p>
        </w:tc>
        <w:tc>
          <w:tcPr>
            <w:tcW w:w="1361" w:type="dxa"/>
            <w:vAlign w:val="center"/>
          </w:tcPr>
          <w:p>
            <w:pPr>
              <w:pStyle w:val="12"/>
            </w:pPr>
          </w:p>
        </w:tc>
        <w:tc>
          <w:tcPr>
            <w:tcW w:w="1361" w:type="dxa"/>
            <w:vAlign w:val="center"/>
          </w:tcPr>
          <w:p>
            <w:pPr>
              <w:pStyle w:val="12"/>
            </w:pPr>
            <w:r>
              <w:t>18.82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86.08</w:t>
            </w:r>
          </w:p>
        </w:tc>
        <w:tc>
          <w:tcPr>
            <w:tcW w:w="1361" w:type="dxa"/>
            <w:vAlign w:val="center"/>
          </w:tcPr>
          <w:p>
            <w:pPr>
              <w:pStyle w:val="12"/>
            </w:pPr>
          </w:p>
        </w:tc>
        <w:tc>
          <w:tcPr>
            <w:tcW w:w="1361" w:type="dxa"/>
            <w:vAlign w:val="center"/>
          </w:tcPr>
          <w:p>
            <w:pPr>
              <w:pStyle w:val="12"/>
            </w:pPr>
            <w:r>
              <w:t>86.08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86.08</w:t>
            </w:r>
          </w:p>
        </w:tc>
        <w:tc>
          <w:tcPr>
            <w:tcW w:w="1361" w:type="dxa"/>
            <w:vAlign w:val="center"/>
          </w:tcPr>
          <w:p>
            <w:pPr>
              <w:pStyle w:val="12"/>
            </w:pPr>
          </w:p>
        </w:tc>
        <w:tc>
          <w:tcPr>
            <w:tcW w:w="1361" w:type="dxa"/>
            <w:vAlign w:val="center"/>
          </w:tcPr>
          <w:p>
            <w:pPr>
              <w:pStyle w:val="12"/>
            </w:pPr>
            <w:r>
              <w:t>86.08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986.62</w:t>
            </w:r>
          </w:p>
        </w:tc>
        <w:tc>
          <w:tcPr>
            <w:tcW w:w="1361" w:type="dxa"/>
            <w:vAlign w:val="center"/>
          </w:tcPr>
          <w:p>
            <w:pPr>
              <w:pStyle w:val="12"/>
            </w:pPr>
          </w:p>
        </w:tc>
        <w:tc>
          <w:tcPr>
            <w:tcW w:w="1361" w:type="dxa"/>
            <w:vAlign w:val="center"/>
          </w:tcPr>
          <w:p>
            <w:pPr>
              <w:pStyle w:val="12"/>
            </w:pPr>
            <w:r>
              <w:t>986.62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21505</w:t>
            </w:r>
          </w:p>
        </w:tc>
        <w:tc>
          <w:tcPr>
            <w:tcW w:w="4535" w:type="dxa"/>
            <w:vAlign w:val="center"/>
          </w:tcPr>
          <w:p>
            <w:pPr>
              <w:pStyle w:val="13"/>
            </w:pPr>
            <w:r>
              <w:t>工业和信息产业</w:t>
            </w:r>
          </w:p>
        </w:tc>
        <w:tc>
          <w:tcPr>
            <w:tcW w:w="1361" w:type="dxa"/>
            <w:vAlign w:val="center"/>
          </w:tcPr>
          <w:p>
            <w:pPr>
              <w:pStyle w:val="12"/>
            </w:pPr>
            <w:r>
              <w:t>10.42</w:t>
            </w:r>
          </w:p>
        </w:tc>
        <w:tc>
          <w:tcPr>
            <w:tcW w:w="1361" w:type="dxa"/>
            <w:vAlign w:val="center"/>
          </w:tcPr>
          <w:p>
            <w:pPr>
              <w:pStyle w:val="12"/>
            </w:pPr>
          </w:p>
        </w:tc>
        <w:tc>
          <w:tcPr>
            <w:tcW w:w="1361" w:type="dxa"/>
            <w:vAlign w:val="center"/>
          </w:tcPr>
          <w:p>
            <w:pPr>
              <w:pStyle w:val="12"/>
            </w:pPr>
            <w:r>
              <w:t>10.42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2150517</w:t>
            </w:r>
          </w:p>
        </w:tc>
        <w:tc>
          <w:tcPr>
            <w:tcW w:w="4535" w:type="dxa"/>
            <w:vAlign w:val="center"/>
          </w:tcPr>
          <w:p>
            <w:pPr>
              <w:pStyle w:val="13"/>
            </w:pPr>
            <w:r>
              <w:t>产业发展</w:t>
            </w:r>
          </w:p>
        </w:tc>
        <w:tc>
          <w:tcPr>
            <w:tcW w:w="1361" w:type="dxa"/>
            <w:vAlign w:val="center"/>
          </w:tcPr>
          <w:p>
            <w:pPr>
              <w:pStyle w:val="12"/>
            </w:pPr>
            <w:r>
              <w:t>10.42</w:t>
            </w:r>
          </w:p>
        </w:tc>
        <w:tc>
          <w:tcPr>
            <w:tcW w:w="1361" w:type="dxa"/>
            <w:vAlign w:val="center"/>
          </w:tcPr>
          <w:p>
            <w:pPr>
              <w:pStyle w:val="12"/>
            </w:pPr>
          </w:p>
        </w:tc>
        <w:tc>
          <w:tcPr>
            <w:tcW w:w="1361" w:type="dxa"/>
            <w:vAlign w:val="center"/>
          </w:tcPr>
          <w:p>
            <w:pPr>
              <w:pStyle w:val="12"/>
            </w:pPr>
            <w:r>
              <w:t>10.42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21507</w:t>
            </w:r>
          </w:p>
        </w:tc>
        <w:tc>
          <w:tcPr>
            <w:tcW w:w="4535" w:type="dxa"/>
            <w:vAlign w:val="center"/>
          </w:tcPr>
          <w:p>
            <w:pPr>
              <w:pStyle w:val="13"/>
            </w:pPr>
            <w:r>
              <w:t>国有资产监管</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2150799</w:t>
            </w:r>
          </w:p>
        </w:tc>
        <w:tc>
          <w:tcPr>
            <w:tcW w:w="4535" w:type="dxa"/>
            <w:vAlign w:val="center"/>
          </w:tcPr>
          <w:p>
            <w:pPr>
              <w:pStyle w:val="13"/>
            </w:pPr>
            <w:r>
              <w:t>其他国有资产监管支出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21508</w:t>
            </w:r>
          </w:p>
        </w:tc>
        <w:tc>
          <w:tcPr>
            <w:tcW w:w="4535" w:type="dxa"/>
            <w:vAlign w:val="center"/>
          </w:tcPr>
          <w:p>
            <w:pPr>
              <w:pStyle w:val="13"/>
            </w:pPr>
            <w:r>
              <w:t>支持中小企业发展和管理支出</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2150805</w:t>
            </w:r>
          </w:p>
        </w:tc>
        <w:tc>
          <w:tcPr>
            <w:tcW w:w="4535" w:type="dxa"/>
            <w:vAlign w:val="center"/>
          </w:tcPr>
          <w:p>
            <w:pPr>
              <w:pStyle w:val="13"/>
            </w:pPr>
            <w:r>
              <w:t>中小企业发展专项</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21598</w:t>
            </w:r>
          </w:p>
        </w:tc>
        <w:tc>
          <w:tcPr>
            <w:tcW w:w="4535" w:type="dxa"/>
            <w:vAlign w:val="center"/>
          </w:tcPr>
          <w:p>
            <w:pPr>
              <w:pStyle w:val="13"/>
            </w:pPr>
            <w:r>
              <w:t>超长期特别国债安排的支出</w:t>
            </w:r>
          </w:p>
        </w:tc>
        <w:tc>
          <w:tcPr>
            <w:tcW w:w="1361" w:type="dxa"/>
            <w:vAlign w:val="center"/>
          </w:tcPr>
          <w:p>
            <w:pPr>
              <w:pStyle w:val="12"/>
            </w:pPr>
            <w:r>
              <w:t>816.20</w:t>
            </w:r>
          </w:p>
        </w:tc>
        <w:tc>
          <w:tcPr>
            <w:tcW w:w="1361" w:type="dxa"/>
            <w:vAlign w:val="center"/>
          </w:tcPr>
          <w:p>
            <w:pPr>
              <w:pStyle w:val="12"/>
            </w:pPr>
          </w:p>
        </w:tc>
        <w:tc>
          <w:tcPr>
            <w:tcW w:w="1361" w:type="dxa"/>
            <w:vAlign w:val="center"/>
          </w:tcPr>
          <w:p>
            <w:pPr>
              <w:pStyle w:val="12"/>
            </w:pPr>
            <w:r>
              <w:t>816.20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2159802</w:t>
            </w:r>
          </w:p>
        </w:tc>
        <w:tc>
          <w:tcPr>
            <w:tcW w:w="4535" w:type="dxa"/>
            <w:vAlign w:val="center"/>
          </w:tcPr>
          <w:p>
            <w:pPr>
              <w:pStyle w:val="13"/>
            </w:pPr>
            <w:r>
              <w:t>制造业</w:t>
            </w:r>
          </w:p>
        </w:tc>
        <w:tc>
          <w:tcPr>
            <w:tcW w:w="1361" w:type="dxa"/>
            <w:vAlign w:val="center"/>
          </w:tcPr>
          <w:p>
            <w:pPr>
              <w:pStyle w:val="12"/>
            </w:pPr>
            <w:r>
              <w:t>816.20</w:t>
            </w:r>
          </w:p>
        </w:tc>
        <w:tc>
          <w:tcPr>
            <w:tcW w:w="1361" w:type="dxa"/>
            <w:vAlign w:val="center"/>
          </w:tcPr>
          <w:p>
            <w:pPr>
              <w:pStyle w:val="12"/>
            </w:pPr>
          </w:p>
        </w:tc>
        <w:tc>
          <w:tcPr>
            <w:tcW w:w="1361" w:type="dxa"/>
            <w:vAlign w:val="center"/>
          </w:tcPr>
          <w:p>
            <w:pPr>
              <w:pStyle w:val="12"/>
            </w:pPr>
            <w:r>
              <w:t>816.20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2344.61</w:t>
            </w:r>
          </w:p>
        </w:tc>
        <w:tc>
          <w:tcPr>
            <w:tcW w:w="1361" w:type="dxa"/>
            <w:vAlign w:val="center"/>
          </w:tcPr>
          <w:p>
            <w:pPr>
              <w:pStyle w:val="12"/>
            </w:pPr>
          </w:p>
        </w:tc>
        <w:tc>
          <w:tcPr>
            <w:tcW w:w="1361" w:type="dxa"/>
            <w:vAlign w:val="center"/>
          </w:tcPr>
          <w:p>
            <w:pPr>
              <w:pStyle w:val="12"/>
            </w:pPr>
            <w:r>
              <w:t>2344.61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2344.61</w:t>
            </w:r>
          </w:p>
        </w:tc>
        <w:tc>
          <w:tcPr>
            <w:tcW w:w="1361" w:type="dxa"/>
            <w:vAlign w:val="center"/>
          </w:tcPr>
          <w:p>
            <w:pPr>
              <w:pStyle w:val="12"/>
            </w:pPr>
          </w:p>
        </w:tc>
        <w:tc>
          <w:tcPr>
            <w:tcW w:w="1361" w:type="dxa"/>
            <w:vAlign w:val="center"/>
          </w:tcPr>
          <w:p>
            <w:pPr>
              <w:pStyle w:val="12"/>
            </w:pPr>
            <w:r>
              <w:t>2344.61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2344.61</w:t>
            </w:r>
          </w:p>
        </w:tc>
        <w:tc>
          <w:tcPr>
            <w:tcW w:w="1361" w:type="dxa"/>
            <w:vAlign w:val="center"/>
          </w:tcPr>
          <w:p>
            <w:pPr>
              <w:pStyle w:val="12"/>
            </w:pPr>
          </w:p>
        </w:tc>
        <w:tc>
          <w:tcPr>
            <w:tcW w:w="1361" w:type="dxa"/>
            <w:vAlign w:val="center"/>
          </w:tcPr>
          <w:p>
            <w:pPr>
              <w:pStyle w:val="12"/>
            </w:pPr>
            <w:r>
              <w:t>2344.61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687.07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1040.79</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516.65</w:t>
            </w:r>
          </w:p>
        </w:tc>
        <w:tc>
          <w:tcPr>
            <w:tcW w:w="1474" w:type="dxa"/>
            <w:vAlign w:val="center"/>
          </w:tcPr>
          <w:p>
            <w:pPr>
              <w:pStyle w:val="12"/>
            </w:pPr>
            <w:r>
              <w:t>516.65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986.62</w:t>
            </w:r>
          </w:p>
        </w:tc>
        <w:tc>
          <w:tcPr>
            <w:tcW w:w="1474" w:type="dxa"/>
            <w:vAlign w:val="center"/>
          </w:tcPr>
          <w:p>
            <w:pPr>
              <w:pStyle w:val="12"/>
            </w:pPr>
            <w:r>
              <w:t>170.42</w:t>
            </w:r>
          </w:p>
        </w:tc>
        <w:tc>
          <w:tcPr>
            <w:tcW w:w="1474" w:type="dxa"/>
            <w:vAlign w:val="center"/>
          </w:tcPr>
          <w:p>
            <w:pPr>
              <w:pStyle w:val="12"/>
            </w:pPr>
            <w:r>
              <w:t>816.20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2344.61</w:t>
            </w:r>
          </w:p>
        </w:tc>
        <w:tc>
          <w:tcPr>
            <w:tcW w:w="1474" w:type="dxa"/>
            <w:vAlign w:val="center"/>
          </w:tcPr>
          <w:p>
            <w:pPr>
              <w:pStyle w:val="12"/>
            </w:pPr>
          </w:p>
        </w:tc>
        <w:tc>
          <w:tcPr>
            <w:tcW w:w="1474" w:type="dxa"/>
            <w:vAlign w:val="center"/>
          </w:tcPr>
          <w:p>
            <w:pPr>
              <w:pStyle w:val="12"/>
            </w:pPr>
            <w:r>
              <w:t>2344.61</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1727.86</w:t>
            </w:r>
          </w:p>
        </w:tc>
        <w:tc>
          <w:tcPr>
            <w:tcW w:w="3402" w:type="dxa"/>
            <w:vAlign w:val="center"/>
          </w:tcPr>
          <w:p>
            <w:pPr>
              <w:pStyle w:val="15"/>
            </w:pPr>
            <w:r>
              <w:t>本年支出合计</w:t>
            </w:r>
          </w:p>
        </w:tc>
        <w:tc>
          <w:tcPr>
            <w:tcW w:w="1474" w:type="dxa"/>
            <w:vAlign w:val="center"/>
          </w:tcPr>
          <w:p>
            <w:pPr>
              <w:pStyle w:val="16"/>
            </w:pPr>
            <w:r>
              <w:t>3847.89</w:t>
            </w:r>
          </w:p>
        </w:tc>
        <w:tc>
          <w:tcPr>
            <w:tcW w:w="1474" w:type="dxa"/>
            <w:vAlign w:val="center"/>
          </w:tcPr>
          <w:p>
            <w:pPr>
              <w:pStyle w:val="16"/>
            </w:pPr>
            <w:r>
              <w:t>687.07</w:t>
            </w:r>
          </w:p>
        </w:tc>
        <w:tc>
          <w:tcPr>
            <w:tcW w:w="1474" w:type="dxa"/>
            <w:vAlign w:val="center"/>
          </w:tcPr>
          <w:p>
            <w:pPr>
              <w:pStyle w:val="16"/>
            </w:pPr>
            <w:r>
              <w:t>3160.81</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2120.03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2120.03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3847.89</w:t>
            </w:r>
          </w:p>
        </w:tc>
        <w:tc>
          <w:tcPr>
            <w:tcW w:w="3402" w:type="dxa"/>
            <w:vAlign w:val="center"/>
          </w:tcPr>
          <w:p>
            <w:pPr>
              <w:pStyle w:val="15"/>
            </w:pPr>
            <w:r>
              <w:t>支出总计</w:t>
            </w:r>
          </w:p>
        </w:tc>
        <w:tc>
          <w:tcPr>
            <w:tcW w:w="1474" w:type="dxa"/>
            <w:vAlign w:val="center"/>
          </w:tcPr>
          <w:p>
            <w:pPr>
              <w:pStyle w:val="16"/>
            </w:pPr>
            <w:r>
              <w:t>3847.89</w:t>
            </w:r>
          </w:p>
        </w:tc>
        <w:tc>
          <w:tcPr>
            <w:tcW w:w="1474" w:type="dxa"/>
            <w:vAlign w:val="center"/>
          </w:tcPr>
          <w:p>
            <w:pPr>
              <w:pStyle w:val="16"/>
            </w:pPr>
            <w:r>
              <w:t>687.07</w:t>
            </w:r>
          </w:p>
        </w:tc>
        <w:tc>
          <w:tcPr>
            <w:tcW w:w="1474" w:type="dxa"/>
            <w:vAlign w:val="center"/>
          </w:tcPr>
          <w:p>
            <w:pPr>
              <w:pStyle w:val="16"/>
            </w:pPr>
            <w:r>
              <w:t>3160.81</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687.07</w:t>
            </w:r>
          </w:p>
        </w:tc>
        <w:tc>
          <w:tcPr>
            <w:tcW w:w="2551" w:type="dxa"/>
            <w:vAlign w:val="center"/>
          </w:tcPr>
          <w:p>
            <w:pPr>
              <w:pStyle w:val="16"/>
            </w:pPr>
            <w:r>
              <w:t>401.65</w:t>
            </w:r>
          </w:p>
        </w:tc>
        <w:tc>
          <w:tcPr>
            <w:tcW w:w="2551" w:type="dxa"/>
            <w:vAlign w:val="center"/>
          </w:tcPr>
          <w:p>
            <w:pPr>
              <w:pStyle w:val="16"/>
            </w:pPr>
            <w:r>
              <w:t>285.42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516.65</w:t>
            </w:r>
          </w:p>
        </w:tc>
        <w:tc>
          <w:tcPr>
            <w:tcW w:w="2551" w:type="dxa"/>
            <w:vAlign w:val="center"/>
          </w:tcPr>
          <w:p>
            <w:pPr>
              <w:pStyle w:val="12"/>
            </w:pPr>
            <w:r>
              <w:t>401.65</w:t>
            </w:r>
          </w:p>
        </w:tc>
        <w:tc>
          <w:tcPr>
            <w:tcW w:w="2551" w:type="dxa"/>
            <w:vAlign w:val="center"/>
          </w:tcPr>
          <w:p>
            <w:pPr>
              <w:pStyle w:val="12"/>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411.75</w:t>
            </w:r>
          </w:p>
        </w:tc>
        <w:tc>
          <w:tcPr>
            <w:tcW w:w="2551" w:type="dxa"/>
            <w:vAlign w:val="center"/>
          </w:tcPr>
          <w:p>
            <w:pPr>
              <w:pStyle w:val="12"/>
            </w:pPr>
            <w:r>
              <w:t>401.65</w:t>
            </w:r>
          </w:p>
        </w:tc>
        <w:tc>
          <w:tcPr>
            <w:tcW w:w="2551" w:type="dxa"/>
            <w:vAlign w:val="center"/>
          </w:tcPr>
          <w:p>
            <w:pPr>
              <w:pStyle w:val="12"/>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2060101</w:t>
            </w:r>
          </w:p>
        </w:tc>
        <w:tc>
          <w:tcPr>
            <w:tcW w:w="4535" w:type="dxa"/>
            <w:vAlign w:val="center"/>
          </w:tcPr>
          <w:p>
            <w:pPr>
              <w:pStyle w:val="13"/>
            </w:pPr>
            <w:r>
              <w:t>行政运行</w:t>
            </w:r>
          </w:p>
        </w:tc>
        <w:tc>
          <w:tcPr>
            <w:tcW w:w="2551" w:type="dxa"/>
            <w:vAlign w:val="center"/>
          </w:tcPr>
          <w:p>
            <w:pPr>
              <w:pStyle w:val="12"/>
            </w:pPr>
            <w:r>
              <w:t>411.75</w:t>
            </w:r>
          </w:p>
        </w:tc>
        <w:tc>
          <w:tcPr>
            <w:tcW w:w="2551" w:type="dxa"/>
            <w:vAlign w:val="center"/>
          </w:tcPr>
          <w:p>
            <w:pPr>
              <w:pStyle w:val="12"/>
            </w:pPr>
            <w:r>
              <w:t>401.65</w:t>
            </w:r>
          </w:p>
        </w:tc>
        <w:tc>
          <w:tcPr>
            <w:tcW w:w="2551" w:type="dxa"/>
            <w:vAlign w:val="center"/>
          </w:tcPr>
          <w:p>
            <w:pPr>
              <w:pStyle w:val="12"/>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18.82</w:t>
            </w:r>
          </w:p>
        </w:tc>
        <w:tc>
          <w:tcPr>
            <w:tcW w:w="2551" w:type="dxa"/>
            <w:vAlign w:val="center"/>
          </w:tcPr>
          <w:p>
            <w:pPr>
              <w:pStyle w:val="12"/>
            </w:pPr>
          </w:p>
        </w:tc>
        <w:tc>
          <w:tcPr>
            <w:tcW w:w="2551" w:type="dxa"/>
            <w:vAlign w:val="center"/>
          </w:tcPr>
          <w:p>
            <w:pPr>
              <w:pStyle w:val="12"/>
            </w:pPr>
            <w:r>
              <w:t>18.82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2060499</w:t>
            </w:r>
          </w:p>
        </w:tc>
        <w:tc>
          <w:tcPr>
            <w:tcW w:w="4535" w:type="dxa"/>
            <w:vAlign w:val="center"/>
          </w:tcPr>
          <w:p>
            <w:pPr>
              <w:pStyle w:val="13"/>
            </w:pPr>
            <w:r>
              <w:t>其他技术研究与开发支出</w:t>
            </w:r>
          </w:p>
        </w:tc>
        <w:tc>
          <w:tcPr>
            <w:tcW w:w="2551" w:type="dxa"/>
            <w:vAlign w:val="center"/>
          </w:tcPr>
          <w:p>
            <w:pPr>
              <w:pStyle w:val="12"/>
            </w:pPr>
            <w:r>
              <w:t>18.82</w:t>
            </w:r>
          </w:p>
        </w:tc>
        <w:tc>
          <w:tcPr>
            <w:tcW w:w="2551" w:type="dxa"/>
            <w:vAlign w:val="center"/>
          </w:tcPr>
          <w:p>
            <w:pPr>
              <w:pStyle w:val="12"/>
            </w:pPr>
          </w:p>
        </w:tc>
        <w:tc>
          <w:tcPr>
            <w:tcW w:w="2551" w:type="dxa"/>
            <w:vAlign w:val="center"/>
          </w:tcPr>
          <w:p>
            <w:pPr>
              <w:pStyle w:val="12"/>
            </w:pPr>
            <w:r>
              <w:t>18.82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86.08</w:t>
            </w:r>
          </w:p>
        </w:tc>
        <w:tc>
          <w:tcPr>
            <w:tcW w:w="2551" w:type="dxa"/>
            <w:vAlign w:val="center"/>
          </w:tcPr>
          <w:p>
            <w:pPr>
              <w:pStyle w:val="12"/>
            </w:pPr>
          </w:p>
        </w:tc>
        <w:tc>
          <w:tcPr>
            <w:tcW w:w="2551" w:type="dxa"/>
            <w:vAlign w:val="center"/>
          </w:tcPr>
          <w:p>
            <w:pPr>
              <w:pStyle w:val="12"/>
            </w:pPr>
            <w:r>
              <w:t>86.08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86.08</w:t>
            </w:r>
          </w:p>
        </w:tc>
        <w:tc>
          <w:tcPr>
            <w:tcW w:w="2551" w:type="dxa"/>
            <w:vAlign w:val="center"/>
          </w:tcPr>
          <w:p>
            <w:pPr>
              <w:pStyle w:val="12"/>
            </w:pPr>
          </w:p>
        </w:tc>
        <w:tc>
          <w:tcPr>
            <w:tcW w:w="2551" w:type="dxa"/>
            <w:vAlign w:val="center"/>
          </w:tcPr>
          <w:p>
            <w:pPr>
              <w:pStyle w:val="12"/>
            </w:pPr>
            <w:r>
              <w:t>86.08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170.42</w:t>
            </w:r>
          </w:p>
        </w:tc>
        <w:tc>
          <w:tcPr>
            <w:tcW w:w="2551" w:type="dxa"/>
            <w:vAlign w:val="center"/>
          </w:tcPr>
          <w:p>
            <w:pPr>
              <w:pStyle w:val="12"/>
            </w:pPr>
          </w:p>
        </w:tc>
        <w:tc>
          <w:tcPr>
            <w:tcW w:w="2551" w:type="dxa"/>
            <w:vAlign w:val="center"/>
          </w:tcPr>
          <w:p>
            <w:pPr>
              <w:pStyle w:val="12"/>
            </w:pPr>
            <w:r>
              <w:t>170.42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21505</w:t>
            </w:r>
          </w:p>
        </w:tc>
        <w:tc>
          <w:tcPr>
            <w:tcW w:w="4535" w:type="dxa"/>
            <w:vAlign w:val="center"/>
          </w:tcPr>
          <w:p>
            <w:pPr>
              <w:pStyle w:val="13"/>
            </w:pPr>
            <w:r>
              <w:t>工业和信息产业</w:t>
            </w:r>
          </w:p>
        </w:tc>
        <w:tc>
          <w:tcPr>
            <w:tcW w:w="2551" w:type="dxa"/>
            <w:vAlign w:val="center"/>
          </w:tcPr>
          <w:p>
            <w:pPr>
              <w:pStyle w:val="12"/>
            </w:pPr>
            <w:r>
              <w:t>10.42</w:t>
            </w:r>
          </w:p>
        </w:tc>
        <w:tc>
          <w:tcPr>
            <w:tcW w:w="2551" w:type="dxa"/>
            <w:vAlign w:val="center"/>
          </w:tcPr>
          <w:p>
            <w:pPr>
              <w:pStyle w:val="12"/>
            </w:pPr>
          </w:p>
        </w:tc>
        <w:tc>
          <w:tcPr>
            <w:tcW w:w="2551" w:type="dxa"/>
            <w:vAlign w:val="center"/>
          </w:tcPr>
          <w:p>
            <w:pPr>
              <w:pStyle w:val="12"/>
            </w:pPr>
            <w:r>
              <w:t>10.42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2150517</w:t>
            </w:r>
          </w:p>
        </w:tc>
        <w:tc>
          <w:tcPr>
            <w:tcW w:w="4535" w:type="dxa"/>
            <w:vAlign w:val="center"/>
          </w:tcPr>
          <w:p>
            <w:pPr>
              <w:pStyle w:val="13"/>
            </w:pPr>
            <w:r>
              <w:t>产业发展</w:t>
            </w:r>
          </w:p>
        </w:tc>
        <w:tc>
          <w:tcPr>
            <w:tcW w:w="2551" w:type="dxa"/>
            <w:vAlign w:val="center"/>
          </w:tcPr>
          <w:p>
            <w:pPr>
              <w:pStyle w:val="12"/>
            </w:pPr>
            <w:r>
              <w:t>10.42</w:t>
            </w:r>
          </w:p>
        </w:tc>
        <w:tc>
          <w:tcPr>
            <w:tcW w:w="2551" w:type="dxa"/>
            <w:vAlign w:val="center"/>
          </w:tcPr>
          <w:p>
            <w:pPr>
              <w:pStyle w:val="12"/>
            </w:pPr>
          </w:p>
        </w:tc>
        <w:tc>
          <w:tcPr>
            <w:tcW w:w="2551" w:type="dxa"/>
            <w:vAlign w:val="center"/>
          </w:tcPr>
          <w:p>
            <w:pPr>
              <w:pStyle w:val="12"/>
            </w:pPr>
            <w:r>
              <w:t>10.42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21507</w:t>
            </w:r>
          </w:p>
        </w:tc>
        <w:tc>
          <w:tcPr>
            <w:tcW w:w="4535" w:type="dxa"/>
            <w:vAlign w:val="center"/>
          </w:tcPr>
          <w:p>
            <w:pPr>
              <w:pStyle w:val="13"/>
            </w:pPr>
            <w:r>
              <w:t>国有资产监管</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2150799</w:t>
            </w:r>
          </w:p>
        </w:tc>
        <w:tc>
          <w:tcPr>
            <w:tcW w:w="4535" w:type="dxa"/>
            <w:vAlign w:val="center"/>
          </w:tcPr>
          <w:p>
            <w:pPr>
              <w:pStyle w:val="13"/>
            </w:pPr>
            <w:r>
              <w:t>其他国有资产监管支出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21508</w:t>
            </w:r>
          </w:p>
        </w:tc>
        <w:tc>
          <w:tcPr>
            <w:tcW w:w="4535" w:type="dxa"/>
            <w:vAlign w:val="center"/>
          </w:tcPr>
          <w:p>
            <w:pPr>
              <w:pStyle w:val="13"/>
            </w:pPr>
            <w:r>
              <w:t>支持中小企业发展和管理支出</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2150805</w:t>
            </w:r>
          </w:p>
        </w:tc>
        <w:tc>
          <w:tcPr>
            <w:tcW w:w="4535" w:type="dxa"/>
            <w:vAlign w:val="center"/>
          </w:tcPr>
          <w:p>
            <w:pPr>
              <w:pStyle w:val="13"/>
            </w:pPr>
            <w:r>
              <w:t>中小企业发展专项</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401.65</w:t>
            </w:r>
          </w:p>
        </w:tc>
        <w:tc>
          <w:tcPr>
            <w:tcW w:w="2551" w:type="dxa"/>
            <w:vAlign w:val="center"/>
          </w:tcPr>
          <w:p>
            <w:pPr>
              <w:pStyle w:val="16"/>
            </w:pPr>
            <w:r>
              <w:t>375.20</w:t>
            </w:r>
          </w:p>
        </w:tc>
        <w:tc>
          <w:tcPr>
            <w:tcW w:w="2551" w:type="dxa"/>
            <w:vAlign w:val="center"/>
          </w:tcPr>
          <w:p>
            <w:pPr>
              <w:pStyle w:val="16"/>
            </w:pPr>
            <w:r>
              <w:t>26.45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273.52</w:t>
            </w:r>
          </w:p>
        </w:tc>
        <w:tc>
          <w:tcPr>
            <w:tcW w:w="2551" w:type="dxa"/>
            <w:vAlign w:val="center"/>
          </w:tcPr>
          <w:p>
            <w:pPr>
              <w:pStyle w:val="12"/>
            </w:pPr>
            <w:r>
              <w:t>273.52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95.64</w:t>
            </w:r>
          </w:p>
        </w:tc>
        <w:tc>
          <w:tcPr>
            <w:tcW w:w="2551" w:type="dxa"/>
            <w:vAlign w:val="center"/>
          </w:tcPr>
          <w:p>
            <w:pPr>
              <w:pStyle w:val="12"/>
            </w:pPr>
            <w:r>
              <w:t>95.64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32.42</w:t>
            </w:r>
          </w:p>
        </w:tc>
        <w:tc>
          <w:tcPr>
            <w:tcW w:w="2551" w:type="dxa"/>
            <w:vAlign w:val="center"/>
          </w:tcPr>
          <w:p>
            <w:pPr>
              <w:pStyle w:val="12"/>
            </w:pPr>
            <w:r>
              <w:t>32.42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26.52</w:t>
            </w:r>
          </w:p>
        </w:tc>
        <w:tc>
          <w:tcPr>
            <w:tcW w:w="2551" w:type="dxa"/>
            <w:vAlign w:val="center"/>
          </w:tcPr>
          <w:p>
            <w:pPr>
              <w:pStyle w:val="12"/>
            </w:pPr>
            <w:r>
              <w:t>26.52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31.25</w:t>
            </w:r>
          </w:p>
        </w:tc>
        <w:tc>
          <w:tcPr>
            <w:tcW w:w="2551" w:type="dxa"/>
            <w:vAlign w:val="center"/>
          </w:tcPr>
          <w:p>
            <w:pPr>
              <w:pStyle w:val="12"/>
            </w:pPr>
            <w:r>
              <w:t>31.25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30.75</w:t>
            </w:r>
          </w:p>
        </w:tc>
        <w:tc>
          <w:tcPr>
            <w:tcW w:w="2551" w:type="dxa"/>
            <w:vAlign w:val="center"/>
          </w:tcPr>
          <w:p>
            <w:pPr>
              <w:pStyle w:val="12"/>
            </w:pPr>
            <w:r>
              <w:t>30.75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12.18</w:t>
            </w:r>
          </w:p>
        </w:tc>
        <w:tc>
          <w:tcPr>
            <w:tcW w:w="2551" w:type="dxa"/>
            <w:vAlign w:val="center"/>
          </w:tcPr>
          <w:p>
            <w:pPr>
              <w:pStyle w:val="12"/>
            </w:pPr>
            <w:r>
              <w:t>12.18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11.72</w:t>
            </w:r>
          </w:p>
        </w:tc>
        <w:tc>
          <w:tcPr>
            <w:tcW w:w="2551" w:type="dxa"/>
            <w:vAlign w:val="center"/>
          </w:tcPr>
          <w:p>
            <w:pPr>
              <w:pStyle w:val="12"/>
            </w:pPr>
            <w:r>
              <w:t>11.72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1.09</w:t>
            </w:r>
          </w:p>
        </w:tc>
        <w:tc>
          <w:tcPr>
            <w:tcW w:w="2551" w:type="dxa"/>
            <w:vAlign w:val="center"/>
          </w:tcPr>
          <w:p>
            <w:pPr>
              <w:pStyle w:val="12"/>
            </w:pPr>
            <w:r>
              <w:t>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24.18</w:t>
            </w:r>
          </w:p>
        </w:tc>
        <w:tc>
          <w:tcPr>
            <w:tcW w:w="2551" w:type="dxa"/>
            <w:vAlign w:val="center"/>
          </w:tcPr>
          <w:p>
            <w:pPr>
              <w:pStyle w:val="12"/>
            </w:pPr>
            <w:r>
              <w:t>24.18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7.77</w:t>
            </w:r>
          </w:p>
        </w:tc>
        <w:tc>
          <w:tcPr>
            <w:tcW w:w="2551" w:type="dxa"/>
            <w:vAlign w:val="center"/>
          </w:tcPr>
          <w:p>
            <w:pPr>
              <w:pStyle w:val="12"/>
            </w:pPr>
            <w:r>
              <w:t>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26.45</w:t>
            </w:r>
          </w:p>
        </w:tc>
        <w:tc>
          <w:tcPr>
            <w:tcW w:w="2551" w:type="dxa"/>
            <w:vAlign w:val="center"/>
          </w:tcPr>
          <w:p>
            <w:pPr>
              <w:pStyle w:val="12"/>
            </w:pPr>
          </w:p>
        </w:tc>
        <w:tc>
          <w:tcPr>
            <w:tcW w:w="2551" w:type="dxa"/>
            <w:vAlign w:val="center"/>
          </w:tcPr>
          <w:p>
            <w:pPr>
              <w:pStyle w:val="12"/>
            </w:pPr>
            <w:r>
              <w:t>26.45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2.28</w:t>
            </w:r>
          </w:p>
        </w:tc>
        <w:tc>
          <w:tcPr>
            <w:tcW w:w="2551" w:type="dxa"/>
            <w:vAlign w:val="center"/>
          </w:tcPr>
          <w:p>
            <w:pPr>
              <w:pStyle w:val="12"/>
            </w:pPr>
          </w:p>
        </w:tc>
        <w:tc>
          <w:tcPr>
            <w:tcW w:w="2551" w:type="dxa"/>
            <w:vAlign w:val="center"/>
          </w:tcPr>
          <w:p>
            <w:pPr>
              <w:pStyle w:val="12"/>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6.72</w:t>
            </w:r>
          </w:p>
        </w:tc>
        <w:tc>
          <w:tcPr>
            <w:tcW w:w="2551" w:type="dxa"/>
            <w:vAlign w:val="center"/>
          </w:tcPr>
          <w:p>
            <w:pPr>
              <w:pStyle w:val="12"/>
            </w:pPr>
          </w:p>
        </w:tc>
        <w:tc>
          <w:tcPr>
            <w:tcW w:w="2551" w:type="dxa"/>
            <w:vAlign w:val="center"/>
          </w:tcPr>
          <w:p>
            <w:pPr>
              <w:pStyle w:val="12"/>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1.92</w:t>
            </w:r>
          </w:p>
        </w:tc>
        <w:tc>
          <w:tcPr>
            <w:tcW w:w="2551" w:type="dxa"/>
            <w:vAlign w:val="center"/>
          </w:tcPr>
          <w:p>
            <w:pPr>
              <w:pStyle w:val="12"/>
            </w:pPr>
          </w:p>
        </w:tc>
        <w:tc>
          <w:tcPr>
            <w:tcW w:w="2551" w:type="dxa"/>
            <w:vAlign w:val="center"/>
          </w:tcPr>
          <w:p>
            <w:pPr>
              <w:pStyle w:val="12"/>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1.26</w:t>
            </w:r>
          </w:p>
        </w:tc>
        <w:tc>
          <w:tcPr>
            <w:tcW w:w="2551" w:type="dxa"/>
            <w:vAlign w:val="center"/>
          </w:tcPr>
          <w:p>
            <w:pPr>
              <w:pStyle w:val="12"/>
            </w:pPr>
          </w:p>
        </w:tc>
        <w:tc>
          <w:tcPr>
            <w:tcW w:w="2551"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7.98</w:t>
            </w:r>
          </w:p>
        </w:tc>
        <w:tc>
          <w:tcPr>
            <w:tcW w:w="2551" w:type="dxa"/>
            <w:vAlign w:val="center"/>
          </w:tcPr>
          <w:p>
            <w:pPr>
              <w:pStyle w:val="12"/>
            </w:pPr>
          </w:p>
        </w:tc>
        <w:tc>
          <w:tcPr>
            <w:tcW w:w="2551" w:type="dxa"/>
            <w:vAlign w:val="center"/>
          </w:tcPr>
          <w:p>
            <w:pPr>
              <w:pStyle w:val="12"/>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6.29</w:t>
            </w:r>
          </w:p>
        </w:tc>
        <w:tc>
          <w:tcPr>
            <w:tcW w:w="2551" w:type="dxa"/>
            <w:vAlign w:val="center"/>
          </w:tcPr>
          <w:p>
            <w:pPr>
              <w:pStyle w:val="12"/>
            </w:pPr>
          </w:p>
        </w:tc>
        <w:tc>
          <w:tcPr>
            <w:tcW w:w="2551" w:type="dxa"/>
            <w:vAlign w:val="center"/>
          </w:tcPr>
          <w:p>
            <w:pPr>
              <w:pStyle w:val="12"/>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101.68</w:t>
            </w:r>
          </w:p>
        </w:tc>
        <w:tc>
          <w:tcPr>
            <w:tcW w:w="2551" w:type="dxa"/>
            <w:vAlign w:val="center"/>
          </w:tcPr>
          <w:p>
            <w:pPr>
              <w:pStyle w:val="12"/>
            </w:pPr>
            <w:r>
              <w:t>101.68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93.74</w:t>
            </w:r>
          </w:p>
        </w:tc>
        <w:tc>
          <w:tcPr>
            <w:tcW w:w="2551" w:type="dxa"/>
            <w:vAlign w:val="center"/>
          </w:tcPr>
          <w:p>
            <w:pPr>
              <w:pStyle w:val="12"/>
            </w:pPr>
            <w:r>
              <w:t>93.74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7.94</w:t>
            </w:r>
          </w:p>
        </w:tc>
        <w:tc>
          <w:tcPr>
            <w:tcW w:w="2551" w:type="dxa"/>
            <w:vAlign w:val="center"/>
          </w:tcPr>
          <w:p>
            <w:pPr>
              <w:pStyle w:val="12"/>
            </w:pPr>
            <w:r>
              <w:t>7.94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3160.81</w:t>
            </w:r>
          </w:p>
        </w:tc>
        <w:tc>
          <w:tcPr>
            <w:tcW w:w="2551" w:type="dxa"/>
            <w:vAlign w:val="center"/>
          </w:tcPr>
          <w:p>
            <w:pPr>
              <w:pStyle w:val="16"/>
            </w:pPr>
          </w:p>
        </w:tc>
        <w:tc>
          <w:tcPr>
            <w:tcW w:w="2551" w:type="dxa"/>
            <w:vAlign w:val="center"/>
          </w:tcPr>
          <w:p>
            <w:pPr>
              <w:pStyle w:val="16"/>
            </w:pPr>
            <w:r>
              <w:t>3160.81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816.20</w:t>
            </w:r>
          </w:p>
        </w:tc>
        <w:tc>
          <w:tcPr>
            <w:tcW w:w="2551" w:type="dxa"/>
            <w:vAlign w:val="center"/>
          </w:tcPr>
          <w:p>
            <w:pPr>
              <w:pStyle w:val="12"/>
            </w:pPr>
          </w:p>
        </w:tc>
        <w:tc>
          <w:tcPr>
            <w:tcW w:w="2551" w:type="dxa"/>
            <w:vAlign w:val="center"/>
          </w:tcPr>
          <w:p>
            <w:pPr>
              <w:pStyle w:val="12"/>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21598</w:t>
            </w:r>
          </w:p>
        </w:tc>
        <w:tc>
          <w:tcPr>
            <w:tcW w:w="4535" w:type="dxa"/>
            <w:vAlign w:val="center"/>
          </w:tcPr>
          <w:p>
            <w:pPr>
              <w:pStyle w:val="13"/>
            </w:pPr>
            <w:r>
              <w:t>超长期特别国债安排的支出</w:t>
            </w:r>
          </w:p>
        </w:tc>
        <w:tc>
          <w:tcPr>
            <w:tcW w:w="2551" w:type="dxa"/>
            <w:vAlign w:val="center"/>
          </w:tcPr>
          <w:p>
            <w:pPr>
              <w:pStyle w:val="12"/>
            </w:pPr>
            <w:r>
              <w:t>816.20</w:t>
            </w:r>
          </w:p>
        </w:tc>
        <w:tc>
          <w:tcPr>
            <w:tcW w:w="2551" w:type="dxa"/>
            <w:vAlign w:val="center"/>
          </w:tcPr>
          <w:p>
            <w:pPr>
              <w:pStyle w:val="12"/>
            </w:pPr>
          </w:p>
        </w:tc>
        <w:tc>
          <w:tcPr>
            <w:tcW w:w="2551" w:type="dxa"/>
            <w:vAlign w:val="center"/>
          </w:tcPr>
          <w:p>
            <w:pPr>
              <w:pStyle w:val="12"/>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2159802</w:t>
            </w:r>
          </w:p>
        </w:tc>
        <w:tc>
          <w:tcPr>
            <w:tcW w:w="4535" w:type="dxa"/>
            <w:vAlign w:val="center"/>
          </w:tcPr>
          <w:p>
            <w:pPr>
              <w:pStyle w:val="13"/>
            </w:pPr>
            <w:r>
              <w:t>制造业</w:t>
            </w:r>
          </w:p>
        </w:tc>
        <w:tc>
          <w:tcPr>
            <w:tcW w:w="2551" w:type="dxa"/>
            <w:vAlign w:val="center"/>
          </w:tcPr>
          <w:p>
            <w:pPr>
              <w:pStyle w:val="12"/>
            </w:pPr>
            <w:r>
              <w:t>816.20</w:t>
            </w:r>
          </w:p>
        </w:tc>
        <w:tc>
          <w:tcPr>
            <w:tcW w:w="2551" w:type="dxa"/>
            <w:vAlign w:val="center"/>
          </w:tcPr>
          <w:p>
            <w:pPr>
              <w:pStyle w:val="12"/>
            </w:pPr>
          </w:p>
        </w:tc>
        <w:tc>
          <w:tcPr>
            <w:tcW w:w="2551" w:type="dxa"/>
            <w:vAlign w:val="center"/>
          </w:tcPr>
          <w:p>
            <w:pPr>
              <w:pStyle w:val="12"/>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2344.61</w:t>
            </w:r>
          </w:p>
        </w:tc>
        <w:tc>
          <w:tcPr>
            <w:tcW w:w="2551" w:type="dxa"/>
            <w:vAlign w:val="center"/>
          </w:tcPr>
          <w:p>
            <w:pPr>
              <w:pStyle w:val="12"/>
            </w:pPr>
          </w:p>
        </w:tc>
        <w:tc>
          <w:tcPr>
            <w:tcW w:w="2551" w:type="dxa"/>
            <w:vAlign w:val="center"/>
          </w:tcPr>
          <w:p>
            <w:pPr>
              <w:pStyle w:val="12"/>
            </w:pPr>
            <w:r>
              <w:t>2344.61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2344.61</w:t>
            </w:r>
          </w:p>
        </w:tc>
        <w:tc>
          <w:tcPr>
            <w:tcW w:w="2551" w:type="dxa"/>
            <w:vAlign w:val="center"/>
          </w:tcPr>
          <w:p>
            <w:pPr>
              <w:pStyle w:val="12"/>
            </w:pPr>
          </w:p>
        </w:tc>
        <w:tc>
          <w:tcPr>
            <w:tcW w:w="2551" w:type="dxa"/>
            <w:vAlign w:val="center"/>
          </w:tcPr>
          <w:p>
            <w:pPr>
              <w:pStyle w:val="12"/>
            </w:pPr>
            <w:r>
              <w:t>2344.61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2344.61</w:t>
            </w:r>
          </w:p>
        </w:tc>
        <w:tc>
          <w:tcPr>
            <w:tcW w:w="2551" w:type="dxa"/>
            <w:vAlign w:val="center"/>
          </w:tcPr>
          <w:p>
            <w:pPr>
              <w:pStyle w:val="12"/>
            </w:pPr>
          </w:p>
        </w:tc>
        <w:tc>
          <w:tcPr>
            <w:tcW w:w="2551" w:type="dxa"/>
            <w:vAlign w:val="center"/>
          </w:tcPr>
          <w:p>
            <w:pPr>
              <w:pStyle w:val="12"/>
            </w:pPr>
            <w:r>
              <w:t>2344.61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1.26</w:t>
            </w:r>
          </w:p>
        </w:tc>
        <w:tc>
          <w:tcPr>
            <w:tcW w:w="2381" w:type="dxa"/>
            <w:vAlign w:val="center"/>
          </w:tcPr>
          <w:p>
            <w:pPr>
              <w:pStyle w:val="16"/>
            </w:pPr>
            <w:r>
              <w:t>1.26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1.26</w:t>
            </w:r>
          </w:p>
        </w:tc>
        <w:tc>
          <w:tcPr>
            <w:tcW w:w="2381" w:type="dxa"/>
            <w:vAlign w:val="center"/>
          </w:tcPr>
          <w:p>
            <w:pPr>
              <w:pStyle w:val="12"/>
            </w:pPr>
            <w:r>
              <w:t>1.26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1.26</w:t>
            </w:r>
          </w:p>
        </w:tc>
        <w:tc>
          <w:tcPr>
            <w:tcW w:w="2381" w:type="dxa"/>
            <w:vAlign w:val="center"/>
          </w:tcPr>
          <w:p>
            <w:pPr>
              <w:pStyle w:val="12"/>
            </w:pPr>
            <w:r>
              <w:t>1.26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新乐市科学技术和工业信息化局2026年部门预算信息公开情况说明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新乐市科学技术和工业信息化局2026年部门预算信息公开情况说明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按照《中华人民共和国预算法》、《地方预决算公开操作规程》和《关于进一步推进预算公开工作的实施意见》规定，现将新乐市科学技术和工业信息化局2026年部门预算公开如下：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（一）贯彻落实党中央和省委、石家庄市委、新乐市委关于科技创新工作的方针政策和决策部署，坚持和加强党对科技创新工作的集中统一领导。起草科技方面的规范性文件。</w:t>
      </w:r>
    </w:p>
    <w:p>
      <w:pPr>
        <w:pStyle w:val="18"/>
      </w:pPr>
      <w:r>
        <w:t>（二）贯彻落实创新驱动发展战略方针，拟订科技发展、引进国外智力规划并组织实施。统筹推进全市创新体系建设和科技体制改革，会同有关部门健全技术创新激励机制。优化科研体系建设，推进科研机构改革发展，推动企业科技创新能力建设，承担推进科技军民融合发展相关工作，推进市重大科技决策咨询制度建设。拟订科学普及和科学传播规划、措施。牵头建立统一的市级科技管理平台和科研项目资金协调、评估、监管机制。会同有关部门提出优化配置科技资源的措施建议，推动多元化科技投入体系建设，协调管理市级财政科技计划（专项、基金等）并组织实施。</w:t>
      </w:r>
    </w:p>
    <w:p>
      <w:pPr>
        <w:pStyle w:val="18"/>
      </w:pPr>
      <w:r>
        <w:t>（三）拟订重大科技创新基地建设规划并组织实施，推动科研条件保障、科技平台建设和科技资源开放共享；负责省自然科学基金项目和基础研究项目的组织申报工作。编制市重大科技项目计划并组织实施，统筹关键共性技术、前沿引领技术、现代工程技术、颠覆性技术研发和创新，牵头组织重大技术攻关和成果应用示范。组织拟订高新技术发展及产业化、科技促进农业农村和社会发展规划和措施。组织开展重点领域技术发展需求分析，提出重大任务并组织实施。指导科技园区建设。</w:t>
      </w:r>
    </w:p>
    <w:p>
      <w:pPr>
        <w:pStyle w:val="18"/>
      </w:pPr>
      <w:r>
        <w:t>（四）牵头技术转移体系建设，拟订科技成果转移转化和促进产学研结合相关措施并组织实施。指导科技服务业、技术市场和科技中介组织发展。统筹区域科技创新体系建设，促进区域创新发展、科技资源合理布局和协同创新能力建设。负责科技监督评价体系建设和相关科技评估管理，指导科技评价机制改革，统筹科研诚信建设。组织实施创新调查和科技报告制度，承担全市科技保密工作。</w:t>
      </w:r>
    </w:p>
    <w:p>
      <w:pPr>
        <w:pStyle w:val="18"/>
      </w:pPr>
      <w:r>
        <w:t>（五）拟订国际科技合作与创新能力开放合作规划和措施，组织开展国际科技合作交流。负责引进国外智力工作。拟订市重点引外国专家总体规划、划并，立外国高层才吸引集聚机制和重点外国专家联系服务机制。</w:t>
      </w:r>
    </w:p>
    <w:p>
      <w:pPr>
        <w:pStyle w:val="18"/>
      </w:pPr>
      <w:r>
        <w:t>（六）会同有关部门报订科技人才队伍建设措施，建立健会料技人才评价和微助机制，组织实施料技人才相关计划，推动商端科技创新人才队伍建设。</w:t>
      </w:r>
    </w:p>
    <w:p>
      <w:pPr>
        <w:pStyle w:val="18"/>
      </w:pPr>
      <w:r>
        <w:t>（七）围绕贯彻实施创新驱动发展战略、科教兴市战略、人才强市战略，加强、优化、转变政府科技管理和服务职能，完善科技创新制度和组织体系，加强宏观管理和统筹协调，减少微观管理，加强事中事后监管和科研诚信建设。从研发管理向创新服务转变，深入推进科技计划管理改革，建立公开统一的市科技管理平台，减少科技计划项目重复、分散、封闭、低效和资源配置“碎片化”的现象。委托项目管理专业机构开展项目受理、评审等具体工作。</w:t>
      </w:r>
    </w:p>
    <w:p>
      <w:pPr>
        <w:pStyle w:val="18"/>
      </w:pPr>
      <w:r>
        <w:t>（八）提出全市新型工业化发展战略和政策，协调解决新型工业化进程中的重大问题，推进产业结构战略性调整和优化升级，推进信息化和工业化融合，促进民营经济发展。</w:t>
      </w:r>
    </w:p>
    <w:p>
      <w:pPr>
        <w:pStyle w:val="18"/>
      </w:pPr>
      <w:r>
        <w:t>（九）制订并组织实施全市工业行业规划、计划和产业政策,提出优化产业布局、结构的政策建议，推进现代产业体系建设，起草相关规范性文件，组织实施行业技术规范和标准，指导行业质量管理工作。</w:t>
      </w:r>
    </w:p>
    <w:p>
      <w:pPr>
        <w:pStyle w:val="18"/>
      </w:pPr>
      <w:r>
        <w:t>（十）监测、分析全市工业运行态势，协调解决行业运行发展中的有关问题并提出政策建议；负责工业用电监测；负责监管领域、监管企业的安全生产有关工作；发挥工业相关行业协会纽带作用，加强对行业、企业发展态势的把握。</w:t>
      </w:r>
    </w:p>
    <w:p>
      <w:pPr>
        <w:pStyle w:val="18"/>
      </w:pPr>
      <w:r>
        <w:t>（十一）负责提出全市工业固定资产投资规模和方向（含利用外资和境外投资）工业转型升级（技术改造）投资方向（含利用外资和境外投资）国家和省、石家庄市财政性转型升级（技术改造）专项资金安排的意见。</w:t>
      </w:r>
    </w:p>
    <w:p>
      <w:pPr>
        <w:pStyle w:val="18"/>
      </w:pPr>
      <w:r>
        <w:t>（十二）负责对中小企业和民营经济促进工作进行指导、综合协调和监督检查，会同有关部门拟订促进中小企业发展和民营经济发展的相关政策和措施并组织实施，协调解决有关重大问题。</w:t>
      </w:r>
    </w:p>
    <w:p>
      <w:pPr>
        <w:pStyle w:val="18"/>
      </w:pPr>
      <w:r>
        <w:t>（十三）贯彻国家政策和标准，拟订高技术产业中涉及生物医药、新材料、信息产业等规划并组织实施；指导行业技术创新和技术进步，以先进适用技术改造提升传统产业；推进实施有关国家和省、石家庄市科技重大专项，推进相关科研成果产业化，推动全市软件业、信息服务业和新兴产业发展。</w:t>
      </w:r>
    </w:p>
    <w:p>
      <w:pPr>
        <w:pStyle w:val="18"/>
      </w:pPr>
      <w:r>
        <w:t>（十四）承担全市振兴装备制造业的组织协调，贯彻执行国家、省重大技术装备发展和自主创新规划、政策，依托国家和省、石家庄市重点工程建设，协调有关重大专项的实施，推进重大技术装备国产化，指导引进重大技术装备的消化创新。</w:t>
      </w:r>
    </w:p>
    <w:p>
      <w:pPr>
        <w:pStyle w:val="18"/>
      </w:pPr>
      <w:r>
        <w:t>（十五）拟订并组织实施全市工业能源节约和资源综合利用促进政策，参与拟订能源节约和资源综合利用促进规划，组织协调相关重大示范工程和新产品、新技术、新设备、新材料的推广应用。</w:t>
      </w:r>
    </w:p>
    <w:p>
      <w:pPr>
        <w:pStyle w:val="18"/>
      </w:pPr>
      <w:r>
        <w:t>（十六）推进全市工业体制改革和管理创新，提高行业综合素质和核心竞争力，指导监管企业加强安全生产管理，负责民爆行业生产流通的监督管理和安全生产工作。</w:t>
      </w:r>
    </w:p>
    <w:p>
      <w:pPr>
        <w:pStyle w:val="18"/>
      </w:pPr>
      <w:r>
        <w:t>（十七）组织开展工业、中小企业、民营企业的对外合作与交流。</w:t>
      </w:r>
    </w:p>
    <w:p>
      <w:pPr>
        <w:pStyle w:val="18"/>
      </w:pPr>
      <w:r>
        <w:t>（十八）完成市委、市政府交办的其他任务。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新乐市科学技术和工业信息化局本级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按照预算管理有关规定，目前部门预算的编制实行综合预算管理，即全部收入和支出都反映在预算中。新乐市科学技术和工业信息化局机关及所属事业单位的收支包含在部门预算中。</w:t>
      </w:r>
    </w:p>
    <w:p>
      <w:pPr>
        <w:pStyle w:val="19"/>
      </w:pPr>
      <w:r>
        <w:t>1、收入说明</w:t>
      </w:r>
    </w:p>
    <w:p>
      <w:pPr>
        <w:pStyle w:val="19"/>
      </w:pPr>
      <w:r>
        <w:t>反映本部门当年全部收入。2026年预算收入3847.89万元，其中：一般公共预算收入687.07万元，基金预算收入1040.79万元，国有资本经营预算收入0.00万元，财政专户核拨收入0.00万元，单位资金收入0.00万元，上年结转结余2120.03万元。</w:t>
      </w:r>
    </w:p>
    <w:p>
      <w:pPr>
        <w:pStyle w:val="19"/>
      </w:pPr>
      <w:r>
        <w:t>2、支出说明</w:t>
      </w:r>
    </w:p>
    <w:p>
      <w:pPr>
        <w:pStyle w:val="19"/>
      </w:pPr>
      <w:r>
        <w:t>收支预算总表支出栏、基本支出表、项目支出表按经济分类和支出功能分类科目编制，反映新乐市科学技术和工业信息化局年度部门预算中支出预算的总体情况。2026年支出预算3847.89万元，其中基本支出401.65万元，包括人员经费375.20万元和日常公用经费26.45万元；项目支出3446.24万元，主要为2026年支持市县科技创新和科学普及专项资金18.82万元，2026年支持市县科技创新和科学普及专项资金（高新技术企业认定奖补）70万元，2026年新能源汽车产业发展等项目资金10.42万元，2026年市级特色产业集群奖补资金60万元，神马实业股份有限公司补偿款100万元，供水公司资产清产核资、资产评估费用10.1万元，工业企业帮扶专项资金16.08万元，新乐市智慧城市大数据中心项目1040.79万元，河北奥星集团药业有限公司中药提取及制剂生产线设备更新项目816.2万元，新乐市拖欠企业账款项目1303.83万元。；预计下年使用的单位资金结余0.00万元。委托业务费共计安排30.10万元，主要用于因技术原因确需对外委托的辅助性工作和确有必要对外委托开展咨询、评审、规划等工作。</w:t>
      </w:r>
    </w:p>
    <w:p>
      <w:pPr>
        <w:pStyle w:val="19"/>
      </w:pPr>
      <w:r>
        <w:t>3、比上年增减情况</w:t>
      </w:r>
    </w:p>
    <w:p>
      <w:pPr>
        <w:pStyle w:val="19"/>
      </w:pPr>
      <w:r>
        <w:t>2026年预算收支安排3847.89万元，较2025年预算增加384.45万元，其中：基本支出增加27.85万元，主要为上级项目资金的增加。项目支出增加356.60万元，主要为上级项目资金的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rPr>
      </w:pPr>
      <w:r>
        <w:rPr>
          <w:rFonts w:hint="eastAsia"/>
        </w:rPr>
        <w:t>2026年，我部门机关运行经费共计安排26.45万元，主要用于日常维修、办公用房水电费、办公用房取暖费、 办公用房物业管理费等日常运行支出。</w:t>
      </w:r>
    </w:p>
    <w:p>
      <w:pPr>
        <w:pStyle w:val="20"/>
        <w:rPr>
          <w:rFonts w:hint="eastAsia"/>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1.26万元，其中因公出国（境）费0.00万元；公务用车购置及运维费1.26万元（其中：公务用车购置费为0.00万元，公务用车运维费1.26万元)；公务接待费0.00万元。与2025年相比减少0.04万元，增减变化的主要原因是严格控制“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全面贯彻落实党的二十大和二十届二中、三中全会精神，坚持稳中求进工作总基调，聚焦主责主业，以强科技创新生态链、稳工业经济基本盘、蓄数字转型新动能为出发点，切实抓好工业经济运行分析，深入推进产业转型升级、企业做大做强、精准入企帮扶、大气污染防治等各项工作，确保全市工业经济实现高质量发展，为建设新时代经济强市、美丽新乐做出积极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1、推动工业稳定增长。</w:t>
      </w:r>
    </w:p>
    <w:p>
      <w:pPr>
        <w:pStyle w:val="23"/>
      </w:pPr>
      <w:r>
        <w:t>绩效目标：加强工业运行监测，加快规模工业企业培育，壮大工业企业总量。</w:t>
      </w:r>
    </w:p>
    <w:p>
      <w:pPr>
        <w:pStyle w:val="23"/>
      </w:pPr>
      <w:r>
        <w:t>绩效指标：预计全市规上工业增加值增速预期目标为8.5%以上。通过对入库企业实施动态监测，推动新增入统工作。</w:t>
      </w:r>
    </w:p>
    <w:p>
      <w:pPr>
        <w:pStyle w:val="23"/>
      </w:pPr>
      <w:r>
        <w:t>2、促进工业转型升级。</w:t>
      </w:r>
    </w:p>
    <w:p>
      <w:pPr>
        <w:pStyle w:val="23"/>
      </w:pPr>
      <w:r>
        <w:t>绩效目标：帮助解决项目建设过程中遇到的困难，加快项目建设进度。</w:t>
      </w:r>
    </w:p>
    <w:p>
      <w:pPr>
        <w:pStyle w:val="23"/>
      </w:pPr>
      <w:r>
        <w:t>绩效指标：提高企业扩规模、搞技改、增产量的积极性和主动性，力争企业早完工、早投产、早达效。</w:t>
      </w:r>
    </w:p>
    <w:p>
      <w:pPr>
        <w:pStyle w:val="23"/>
      </w:pPr>
      <w:r>
        <w:t>3、推进中小企业发展。</w:t>
      </w:r>
    </w:p>
    <w:p>
      <w:pPr>
        <w:pStyle w:val="23"/>
      </w:pPr>
      <w:r>
        <w:t>绩效目标：持续推进已经签约企业的数字化改造。</w:t>
      </w:r>
    </w:p>
    <w:p>
      <w:pPr>
        <w:pStyle w:val="23"/>
      </w:pPr>
      <w:r>
        <w:t>绩效指标：按时高标准完成改造任务，并通过上级验收。</w:t>
      </w:r>
    </w:p>
    <w:p>
      <w:pPr>
        <w:pStyle w:val="23"/>
      </w:pPr>
      <w:r>
        <w:t>4、加强科技创新平台建设。</w:t>
      </w:r>
    </w:p>
    <w:p>
      <w:pPr>
        <w:pStyle w:val="23"/>
      </w:pPr>
      <w:r>
        <w:t>绩效目标：加强创新体系建设，极大推动创新能力和水平的跃升，发挥我市已有的产业基础优势，促进创新链和产业链的深度融合，推动全市高质量发展。</w:t>
      </w:r>
    </w:p>
    <w:p>
      <w:pPr>
        <w:pStyle w:val="23"/>
      </w:pPr>
      <w:r>
        <w:t>绩效指标：年内争创省级以上创新平台1家。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1、抓好工业经济运行。一是继续做好对全市规上重点工业企业运行情况的常态化分析。二是继续坚持与统计和发改三部门联动，实行 “一月分析、一调度、一研判”工作机制，加强工业经济运行分析、监测和调度。三是继续加强与上级部门的沟通协调，帮助企业跑办各类工业专项资金。四是做好新增规上企业培育工作。</w:t>
      </w:r>
    </w:p>
    <w:p>
      <w:pPr>
        <w:pStyle w:val="24"/>
      </w:pPr>
      <w:r>
        <w:t>2、推动企业转型升级。一是持续抓好骨干企业提档升级。对优秀民营企业进行大力表彰，促进骨干企业不断做大做强。二是持续推进传统产业转型发展。大力实施增品种、提品质、创品牌三品行动，不断提升产业竞争力。三是持续深化企业服务。在全市工业系统开展政策宣传培训，确保各项惠企、金融政策落地生根。建立工业系统解难纾困服务网络平台，畅通政府与企业沟通渠道，有针对性地进行工作调研，及时帮助企业解决实际问题。</w:t>
      </w:r>
    </w:p>
    <w:p>
      <w:pPr>
        <w:pStyle w:val="24"/>
      </w:pPr>
      <w:r>
        <w:t>3、狠抓项目建设。狠抓工业项目建设和跟踪服务，推广技改典型经验和做法，定期调研分析，“清单式”管理，实施市级领导包联制度，帮助解决项目建设过程中遇到的问题，提高企业扩规模、搞技改、增产量的积极性和主动性。</w:t>
      </w:r>
    </w:p>
    <w:p>
      <w:pPr>
        <w:pStyle w:val="24"/>
        <w:sectPr>
          <w:pgSz w:w="16840" w:h="11900" w:orient="landscape"/>
          <w:pgMar w:top="1361" w:right="1020" w:bottom="1361" w:left="1020" w:header="720" w:footer="720" w:gutter="0"/>
        </w:sectPr>
      </w:pPr>
      <w:r>
        <w:t>4、提升企业科技创新能力。通过科技项目支持、高企申报培育、创新政策扶持等多种激励方式，引导企业持续加大研发投入，激发科技创新内生动力。强化企业创新主体地位，加大力度培育高新技术、科技型中小企业。优化企业科技创新条件，积极建设创新平台和创新创业服务机构。</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1、2023年专项债券-新乐市智慧城市大数据中心项目（结转25年）绩效目标表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13018426P00523910173Q</w:t>
            </w:r>
          </w:p>
        </w:tc>
        <w:tc>
          <w:tcPr>
            <w:tcW w:w="2835" w:type="dxa"/>
            <w:vAlign w:val="center"/>
          </w:tcPr>
          <w:p>
            <w:pPr>
              <w:pStyle w:val="11"/>
            </w:pPr>
            <w:r>
              <w:t>项目名称</w:t>
            </w:r>
          </w:p>
        </w:tc>
        <w:tc>
          <w:tcPr>
            <w:tcW w:w="6095" w:type="dxa"/>
            <w:gridSpan w:val="3"/>
            <w:vAlign w:val="center"/>
          </w:tcPr>
          <w:p>
            <w:pPr>
              <w:pStyle w:val="13"/>
            </w:pPr>
            <w:r>
              <w:t>2023年专项债券-新乐市智慧城市大数据中心项目（结转25年）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1040.79</w:t>
            </w:r>
          </w:p>
        </w:tc>
        <w:tc>
          <w:tcPr>
            <w:tcW w:w="2835" w:type="dxa"/>
            <w:vAlign w:val="center"/>
          </w:tcPr>
          <w:p>
            <w:pPr>
              <w:pStyle w:val="11"/>
            </w:pPr>
            <w:r>
              <w:t>其中：财政    资金</w:t>
            </w:r>
          </w:p>
        </w:tc>
        <w:tc>
          <w:tcPr>
            <w:tcW w:w="2551" w:type="dxa"/>
            <w:vAlign w:val="center"/>
          </w:tcPr>
          <w:p>
            <w:pPr>
              <w:pStyle w:val="13"/>
            </w:pPr>
            <w:r>
              <w:t>1040.79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用于新乐市智慧城市大数据中心建设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1040.79</w:t>
            </w:r>
          </w:p>
        </w:tc>
        <w:tc>
          <w:tcPr>
            <w:tcW w:w="2835" w:type="dxa"/>
            <w:vAlign w:val="center"/>
          </w:tcPr>
          <w:p>
            <w:pPr>
              <w:pStyle w:val="14"/>
            </w:pPr>
            <w:r>
              <w:t>1040.79</w:t>
            </w:r>
          </w:p>
        </w:tc>
        <w:tc>
          <w:tcPr>
            <w:tcW w:w="2551" w:type="dxa"/>
            <w:vAlign w:val="center"/>
          </w:tcPr>
          <w:p>
            <w:pPr>
              <w:pStyle w:val="14"/>
            </w:pPr>
            <w:r>
              <w:t>1040.79</w:t>
            </w:r>
          </w:p>
        </w:tc>
        <w:tc>
          <w:tcPr>
            <w:tcW w:w="3544" w:type="dxa"/>
            <w:gridSpan w:val="2"/>
            <w:vAlign w:val="center"/>
          </w:tcPr>
          <w:p>
            <w:pPr>
              <w:pStyle w:val="14"/>
            </w:pPr>
            <w:r>
              <w:t>1040.79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1.建设新乐市智慧城市大数据中心，积累沉淀全市数据信息资源，形成公共信息资源池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大数据中心</w:t>
            </w:r>
          </w:p>
        </w:tc>
        <w:tc>
          <w:tcPr>
            <w:tcW w:w="5386" w:type="dxa"/>
            <w:vAlign w:val="center"/>
          </w:tcPr>
          <w:p>
            <w:pPr>
              <w:pStyle w:val="13"/>
            </w:pPr>
            <w:r>
              <w:t>建设大数据中心数量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验收通过率</w:t>
            </w:r>
          </w:p>
        </w:tc>
        <w:tc>
          <w:tcPr>
            <w:tcW w:w="2268" w:type="dxa"/>
            <w:vAlign w:val="center"/>
          </w:tcPr>
          <w:p>
            <w:pPr>
              <w:pStyle w:val="13"/>
            </w:pPr>
            <w:r>
              <w:t>≥95%</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按时完工</w:t>
            </w:r>
          </w:p>
        </w:tc>
        <w:tc>
          <w:tcPr>
            <w:tcW w:w="5386" w:type="dxa"/>
            <w:vAlign w:val="center"/>
          </w:tcPr>
          <w:p>
            <w:pPr>
              <w:pStyle w:val="13"/>
            </w:pPr>
            <w:r>
              <w:t>按时完成项目建设</w:t>
            </w:r>
          </w:p>
        </w:tc>
        <w:tc>
          <w:tcPr>
            <w:tcW w:w="2268" w:type="dxa"/>
            <w:vAlign w:val="center"/>
          </w:tcPr>
          <w:p>
            <w:pPr>
              <w:pStyle w:val="13"/>
            </w:pPr>
            <w:r>
              <w:t>按时完工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不超预算</w:t>
            </w:r>
          </w:p>
        </w:tc>
        <w:tc>
          <w:tcPr>
            <w:tcW w:w="2268" w:type="dxa"/>
            <w:vAlign w:val="center"/>
          </w:tcPr>
          <w:p>
            <w:pPr>
              <w:pStyle w:val="13"/>
            </w:pPr>
            <w:r>
              <w:t>≤1040.79万元</w:t>
            </w:r>
          </w:p>
        </w:tc>
        <w:tc>
          <w:tcPr>
            <w:tcW w:w="1276" w:type="dxa"/>
            <w:vAlign w:val="center"/>
          </w:tcPr>
          <w:p>
            <w:pPr>
              <w:pStyle w:val="13"/>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数据资源发挥更大价值</w:t>
            </w:r>
          </w:p>
        </w:tc>
        <w:tc>
          <w:tcPr>
            <w:tcW w:w="5386" w:type="dxa"/>
            <w:vAlign w:val="center"/>
          </w:tcPr>
          <w:p>
            <w:pPr>
              <w:pStyle w:val="13"/>
            </w:pPr>
            <w:r>
              <w:t>数据资源发挥更大价值</w:t>
            </w:r>
          </w:p>
        </w:tc>
        <w:tc>
          <w:tcPr>
            <w:tcW w:w="2268" w:type="dxa"/>
            <w:vAlign w:val="center"/>
          </w:tcPr>
          <w:p>
            <w:pPr>
              <w:pStyle w:val="13"/>
            </w:pPr>
            <w:r>
              <w:t>数据资源发挥更大价值</w:t>
            </w:r>
          </w:p>
        </w:tc>
        <w:tc>
          <w:tcPr>
            <w:tcW w:w="1276" w:type="dxa"/>
            <w:vAlign w:val="center"/>
          </w:tcPr>
          <w:p>
            <w:pPr>
              <w:pStyle w:val="13"/>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2、2026年本级支出-规上工业企业统计人员补贴绩效目标表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13018426P00008110013J</w:t>
            </w:r>
          </w:p>
        </w:tc>
        <w:tc>
          <w:tcPr>
            <w:tcW w:w="2835" w:type="dxa"/>
            <w:vAlign w:val="center"/>
          </w:tcPr>
          <w:p>
            <w:pPr>
              <w:pStyle w:val="11"/>
            </w:pPr>
            <w:r>
              <w:t>项目名称</w:t>
            </w:r>
          </w:p>
        </w:tc>
        <w:tc>
          <w:tcPr>
            <w:tcW w:w="6095" w:type="dxa"/>
            <w:gridSpan w:val="3"/>
            <w:vAlign w:val="center"/>
          </w:tcPr>
          <w:p>
            <w:pPr>
              <w:pStyle w:val="13"/>
            </w:pPr>
            <w:r>
              <w:t>2026年本级支出-规上工业企业统计人员补贴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16.08</w:t>
            </w:r>
          </w:p>
        </w:tc>
        <w:tc>
          <w:tcPr>
            <w:tcW w:w="2835" w:type="dxa"/>
            <w:vAlign w:val="center"/>
          </w:tcPr>
          <w:p>
            <w:pPr>
              <w:pStyle w:val="11"/>
            </w:pPr>
            <w:r>
              <w:t>其中：财政    资金</w:t>
            </w:r>
          </w:p>
        </w:tc>
        <w:tc>
          <w:tcPr>
            <w:tcW w:w="2551" w:type="dxa"/>
            <w:vAlign w:val="center"/>
          </w:tcPr>
          <w:p>
            <w:pPr>
              <w:pStyle w:val="13"/>
            </w:pPr>
            <w:r>
              <w:t>16.08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提高企业统计人员积极性，确保按统计要求准备生产台账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16.08</w:t>
            </w:r>
          </w:p>
        </w:tc>
        <w:tc>
          <w:tcPr>
            <w:tcW w:w="2551" w:type="dxa"/>
            <w:vAlign w:val="center"/>
          </w:tcPr>
          <w:p>
            <w:pPr>
              <w:pStyle w:val="14"/>
            </w:pPr>
            <w:r>
              <w:t>16.08</w:t>
            </w:r>
          </w:p>
        </w:tc>
        <w:tc>
          <w:tcPr>
            <w:tcW w:w="3544" w:type="dxa"/>
            <w:gridSpan w:val="2"/>
            <w:vAlign w:val="center"/>
          </w:tcPr>
          <w:p>
            <w:pPr>
              <w:pStyle w:val="14"/>
            </w:pPr>
            <w:r>
              <w:t>16.08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1.提高企业统计人员积极性，确保按统计要求准备生产台账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补贴统计员数量</w:t>
            </w:r>
          </w:p>
        </w:tc>
        <w:tc>
          <w:tcPr>
            <w:tcW w:w="5386" w:type="dxa"/>
            <w:vAlign w:val="center"/>
          </w:tcPr>
          <w:p>
            <w:pPr>
              <w:pStyle w:val="13"/>
            </w:pPr>
            <w:r>
              <w:t>补贴规上工业企业统计人员</w:t>
            </w:r>
          </w:p>
        </w:tc>
        <w:tc>
          <w:tcPr>
            <w:tcW w:w="2268" w:type="dxa"/>
            <w:vAlign w:val="center"/>
          </w:tcPr>
          <w:p>
            <w:pPr>
              <w:pStyle w:val="13"/>
            </w:pPr>
            <w:r>
              <w:t>134人</w:t>
            </w:r>
          </w:p>
        </w:tc>
        <w:tc>
          <w:tcPr>
            <w:tcW w:w="1276" w:type="dxa"/>
            <w:vAlign w:val="center"/>
          </w:tcPr>
          <w:p>
            <w:pPr>
              <w:pStyle w:val="13"/>
            </w:pPr>
            <w:r>
              <w:t>规上企业数量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企业台账质量</w:t>
            </w:r>
          </w:p>
        </w:tc>
        <w:tc>
          <w:tcPr>
            <w:tcW w:w="5386" w:type="dxa"/>
            <w:vAlign w:val="center"/>
          </w:tcPr>
          <w:p>
            <w:pPr>
              <w:pStyle w:val="13"/>
            </w:pPr>
            <w:r>
              <w:t>企业台账质量</w:t>
            </w:r>
          </w:p>
        </w:tc>
        <w:tc>
          <w:tcPr>
            <w:tcW w:w="2268" w:type="dxa"/>
            <w:vAlign w:val="center"/>
          </w:tcPr>
          <w:p>
            <w:pPr>
              <w:pStyle w:val="13"/>
            </w:pPr>
            <w:r>
              <w:t>保质保量完成产值台账</w:t>
            </w:r>
          </w:p>
        </w:tc>
        <w:tc>
          <w:tcPr>
            <w:tcW w:w="1276" w:type="dxa"/>
            <w:vAlign w:val="center"/>
          </w:tcPr>
          <w:p>
            <w:pPr>
              <w:pStyle w:val="13"/>
            </w:pPr>
            <w: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及时完成资金拨付</w:t>
            </w:r>
          </w:p>
        </w:tc>
        <w:tc>
          <w:tcPr>
            <w:tcW w:w="5386" w:type="dxa"/>
            <w:vAlign w:val="center"/>
          </w:tcPr>
          <w:p>
            <w:pPr>
              <w:pStyle w:val="13"/>
            </w:pPr>
            <w:r>
              <w:t>及时完成资金拨付</w:t>
            </w:r>
          </w:p>
        </w:tc>
        <w:tc>
          <w:tcPr>
            <w:tcW w:w="2268" w:type="dxa"/>
            <w:vAlign w:val="center"/>
          </w:tcPr>
          <w:p>
            <w:pPr>
              <w:pStyle w:val="13"/>
            </w:pPr>
            <w:r>
              <w:t>及时完成资金拨付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预算范围内</w:t>
            </w:r>
          </w:p>
        </w:tc>
        <w:tc>
          <w:tcPr>
            <w:tcW w:w="5386" w:type="dxa"/>
            <w:vAlign w:val="center"/>
          </w:tcPr>
          <w:p>
            <w:pPr>
              <w:pStyle w:val="13"/>
            </w:pPr>
            <w:r>
              <w:t>预算范围内</w:t>
            </w:r>
          </w:p>
        </w:tc>
        <w:tc>
          <w:tcPr>
            <w:tcW w:w="2268" w:type="dxa"/>
            <w:vAlign w:val="center"/>
          </w:tcPr>
          <w:p>
            <w:pPr>
              <w:pStyle w:val="13"/>
            </w:pPr>
            <w:r>
              <w:t>≤16.08万元</w:t>
            </w:r>
          </w:p>
        </w:tc>
        <w:tc>
          <w:tcPr>
            <w:tcW w:w="1276" w:type="dxa"/>
            <w:vAlign w:val="center"/>
          </w:tcPr>
          <w:p>
            <w:pPr>
              <w:pStyle w:val="13"/>
            </w:pPr>
            <w:r>
              <w:t>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确保我市产值应统尽统</w:t>
            </w:r>
          </w:p>
        </w:tc>
        <w:tc>
          <w:tcPr>
            <w:tcW w:w="5386" w:type="dxa"/>
            <w:vAlign w:val="center"/>
          </w:tcPr>
          <w:p>
            <w:pPr>
              <w:pStyle w:val="13"/>
            </w:pPr>
            <w:r>
              <w:t>确保我市产值应统尽统</w:t>
            </w:r>
          </w:p>
        </w:tc>
        <w:tc>
          <w:tcPr>
            <w:tcW w:w="2268" w:type="dxa"/>
            <w:vAlign w:val="center"/>
          </w:tcPr>
          <w:p>
            <w:pPr>
              <w:pStyle w:val="13"/>
            </w:pPr>
            <w:r>
              <w:t>确保我市产值应统尽统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3、2026年本级支出-神马实业股份有限公司补偿款绩效目标表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13018426P00524210026E</w:t>
            </w:r>
          </w:p>
        </w:tc>
        <w:tc>
          <w:tcPr>
            <w:tcW w:w="2835" w:type="dxa"/>
            <w:vAlign w:val="center"/>
          </w:tcPr>
          <w:p>
            <w:pPr>
              <w:pStyle w:val="11"/>
            </w:pPr>
            <w:r>
              <w:t>项目名称</w:t>
            </w:r>
          </w:p>
        </w:tc>
        <w:tc>
          <w:tcPr>
            <w:tcW w:w="6095" w:type="dxa"/>
            <w:gridSpan w:val="3"/>
            <w:vAlign w:val="center"/>
          </w:tcPr>
          <w:p>
            <w:pPr>
              <w:pStyle w:val="13"/>
            </w:pPr>
            <w:r>
              <w:t>2026年本级支出-神马实业股份有限公司补偿款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解决历史遗留问题，维护职工合法权益和信访稳定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100.00</w:t>
            </w:r>
          </w:p>
        </w:tc>
        <w:tc>
          <w:tcPr>
            <w:tcW w:w="2551" w:type="dxa"/>
            <w:vAlign w:val="center"/>
          </w:tcPr>
          <w:p>
            <w:pPr>
              <w:pStyle w:val="14"/>
            </w:pPr>
            <w:r>
              <w:t>100.00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1.妥善解决历史遗留问题，维护职工合法权益和信访稳定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补偿企业数量</w:t>
            </w:r>
          </w:p>
        </w:tc>
        <w:tc>
          <w:tcPr>
            <w:tcW w:w="5386" w:type="dxa"/>
            <w:vAlign w:val="center"/>
          </w:tcPr>
          <w:p>
            <w:pPr>
              <w:pStyle w:val="13"/>
            </w:pPr>
            <w:r>
              <w:t>补偿企业数量</w:t>
            </w:r>
          </w:p>
        </w:tc>
        <w:tc>
          <w:tcPr>
            <w:tcW w:w="2268" w:type="dxa"/>
            <w:vAlign w:val="center"/>
          </w:tcPr>
          <w:p>
            <w:pPr>
              <w:pStyle w:val="13"/>
            </w:pPr>
            <w:r>
              <w:t>1个</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符合补贴政策</w:t>
            </w:r>
          </w:p>
        </w:tc>
        <w:tc>
          <w:tcPr>
            <w:tcW w:w="5386" w:type="dxa"/>
            <w:vAlign w:val="center"/>
          </w:tcPr>
          <w:p>
            <w:pPr>
              <w:pStyle w:val="13"/>
            </w:pPr>
            <w:r>
              <w:t>符合补贴政策</w:t>
            </w:r>
          </w:p>
        </w:tc>
        <w:tc>
          <w:tcPr>
            <w:tcW w:w="2268" w:type="dxa"/>
            <w:vAlign w:val="center"/>
          </w:tcPr>
          <w:p>
            <w:pPr>
              <w:pStyle w:val="13"/>
            </w:pPr>
            <w:r>
              <w:t>符合政策补贴</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及时完成拨付</w:t>
            </w:r>
          </w:p>
        </w:tc>
        <w:tc>
          <w:tcPr>
            <w:tcW w:w="5386" w:type="dxa"/>
            <w:vAlign w:val="center"/>
          </w:tcPr>
          <w:p>
            <w:pPr>
              <w:pStyle w:val="13"/>
            </w:pPr>
            <w:r>
              <w:t>及时完成拨付</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预算控制范围内</w:t>
            </w:r>
          </w:p>
        </w:tc>
        <w:tc>
          <w:tcPr>
            <w:tcW w:w="5386" w:type="dxa"/>
            <w:vAlign w:val="center"/>
          </w:tcPr>
          <w:p>
            <w:pPr>
              <w:pStyle w:val="13"/>
            </w:pPr>
            <w:r>
              <w:t>预算控制范围内</w:t>
            </w:r>
          </w:p>
        </w:tc>
        <w:tc>
          <w:tcPr>
            <w:tcW w:w="2268" w:type="dxa"/>
            <w:vAlign w:val="center"/>
          </w:tcPr>
          <w:p>
            <w:pPr>
              <w:pStyle w:val="13"/>
            </w:pPr>
            <w:r>
              <w:t>≤100万元</w:t>
            </w:r>
          </w:p>
        </w:tc>
        <w:tc>
          <w:tcPr>
            <w:tcW w:w="1276" w:type="dxa"/>
            <w:vAlign w:val="center"/>
          </w:tcPr>
          <w:p>
            <w:pPr>
              <w:pStyle w:val="13"/>
            </w:pPr>
            <w:r>
              <w:t>测算指标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维护信访稳定</w:t>
            </w:r>
          </w:p>
        </w:tc>
        <w:tc>
          <w:tcPr>
            <w:tcW w:w="5386" w:type="dxa"/>
            <w:vAlign w:val="center"/>
          </w:tcPr>
          <w:p>
            <w:pPr>
              <w:pStyle w:val="13"/>
            </w:pPr>
            <w:r>
              <w:t>维护信访稳定</w:t>
            </w:r>
          </w:p>
        </w:tc>
        <w:tc>
          <w:tcPr>
            <w:tcW w:w="2268" w:type="dxa"/>
            <w:vAlign w:val="center"/>
          </w:tcPr>
          <w:p>
            <w:pPr>
              <w:pStyle w:val="13"/>
            </w:pPr>
            <w:r>
              <w:t>维护信访稳定</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服务企业满意度</w:t>
            </w:r>
          </w:p>
        </w:tc>
        <w:tc>
          <w:tcPr>
            <w:tcW w:w="5386" w:type="dxa"/>
            <w:vAlign w:val="center"/>
          </w:tcPr>
          <w:p>
            <w:pPr>
              <w:pStyle w:val="13"/>
            </w:pPr>
            <w:r>
              <w:t>服务企业满意度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4、2026年本级支出-新乐供水责任有限公司清产核资、资产评估费用绩效目标表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13018426P00524210025T</w:t>
            </w:r>
          </w:p>
        </w:tc>
        <w:tc>
          <w:tcPr>
            <w:tcW w:w="2835" w:type="dxa"/>
            <w:vAlign w:val="center"/>
          </w:tcPr>
          <w:p>
            <w:pPr>
              <w:pStyle w:val="11"/>
            </w:pPr>
            <w:r>
              <w:t>项目名称</w:t>
            </w:r>
          </w:p>
        </w:tc>
        <w:tc>
          <w:tcPr>
            <w:tcW w:w="6095" w:type="dxa"/>
            <w:gridSpan w:val="3"/>
            <w:vAlign w:val="center"/>
          </w:tcPr>
          <w:p>
            <w:pPr>
              <w:pStyle w:val="13"/>
            </w:pPr>
            <w:r>
              <w:t>2026年本级支出-新乐供水责任有限公司清产核资、资产评估费用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10.10</w:t>
            </w:r>
          </w:p>
        </w:tc>
        <w:tc>
          <w:tcPr>
            <w:tcW w:w="2835" w:type="dxa"/>
            <w:vAlign w:val="center"/>
          </w:tcPr>
          <w:p>
            <w:pPr>
              <w:pStyle w:val="11"/>
            </w:pPr>
            <w:r>
              <w:t>其中：财政    资金</w:t>
            </w:r>
          </w:p>
        </w:tc>
        <w:tc>
          <w:tcPr>
            <w:tcW w:w="2551" w:type="dxa"/>
            <w:vAlign w:val="center"/>
          </w:tcPr>
          <w:p>
            <w:pPr>
              <w:pStyle w:val="13"/>
            </w:pPr>
            <w:r>
              <w:t>10.10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明确国有资产价值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10.10</w:t>
            </w:r>
          </w:p>
        </w:tc>
        <w:tc>
          <w:tcPr>
            <w:tcW w:w="2835" w:type="dxa"/>
            <w:vAlign w:val="center"/>
          </w:tcPr>
          <w:p>
            <w:pPr>
              <w:pStyle w:val="14"/>
            </w:pPr>
            <w:r>
              <w:t>10.10</w:t>
            </w:r>
          </w:p>
        </w:tc>
        <w:tc>
          <w:tcPr>
            <w:tcW w:w="2551" w:type="dxa"/>
            <w:vAlign w:val="center"/>
          </w:tcPr>
          <w:p>
            <w:pPr>
              <w:pStyle w:val="14"/>
            </w:pPr>
            <w:r>
              <w:t>10.10</w:t>
            </w:r>
          </w:p>
        </w:tc>
        <w:tc>
          <w:tcPr>
            <w:tcW w:w="3544" w:type="dxa"/>
            <w:gridSpan w:val="2"/>
            <w:vAlign w:val="center"/>
          </w:tcPr>
          <w:p>
            <w:pPr>
              <w:pStyle w:val="14"/>
            </w:pPr>
            <w:r>
              <w:t>10.10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1.对供水公司进行清产核资及资产评估，明确国有资产价值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委托项目数</w:t>
            </w:r>
          </w:p>
        </w:tc>
        <w:tc>
          <w:tcPr>
            <w:tcW w:w="5386" w:type="dxa"/>
            <w:vAlign w:val="center"/>
          </w:tcPr>
          <w:p>
            <w:pPr>
              <w:pStyle w:val="13"/>
            </w:pPr>
            <w:r>
              <w:t>委托项目数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及时完成拨付</w:t>
            </w:r>
          </w:p>
        </w:tc>
        <w:tc>
          <w:tcPr>
            <w:tcW w:w="5386" w:type="dxa"/>
            <w:vAlign w:val="center"/>
          </w:tcPr>
          <w:p>
            <w:pPr>
              <w:pStyle w:val="13"/>
            </w:pPr>
            <w:r>
              <w:t>及时完成拨付</w:t>
            </w:r>
          </w:p>
        </w:tc>
        <w:tc>
          <w:tcPr>
            <w:tcW w:w="2268" w:type="dxa"/>
            <w:vAlign w:val="center"/>
          </w:tcPr>
          <w:p>
            <w:pPr>
              <w:pStyle w:val="13"/>
            </w:pPr>
            <w:r>
              <w:t>年底前完成拨付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在预算可控范围内</w:t>
            </w:r>
          </w:p>
        </w:tc>
        <w:tc>
          <w:tcPr>
            <w:tcW w:w="2268" w:type="dxa"/>
            <w:vAlign w:val="center"/>
          </w:tcPr>
          <w:p>
            <w:pPr>
              <w:pStyle w:val="13"/>
            </w:pPr>
            <w:r>
              <w:t>≤10.1万元</w:t>
            </w:r>
          </w:p>
        </w:tc>
        <w:tc>
          <w:tcPr>
            <w:tcW w:w="1276" w:type="dxa"/>
            <w:vAlign w:val="center"/>
          </w:tcPr>
          <w:p>
            <w:pPr>
              <w:pStyle w:val="13"/>
            </w:pPr>
            <w:r>
              <w:t>成本核算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明确国有资产价值</w:t>
            </w:r>
          </w:p>
        </w:tc>
        <w:tc>
          <w:tcPr>
            <w:tcW w:w="5386" w:type="dxa"/>
            <w:vAlign w:val="center"/>
          </w:tcPr>
          <w:p>
            <w:pPr>
              <w:pStyle w:val="13"/>
            </w:pPr>
            <w:r>
              <w:t>明确国有资产价值</w:t>
            </w:r>
          </w:p>
        </w:tc>
        <w:tc>
          <w:tcPr>
            <w:tcW w:w="2268" w:type="dxa"/>
            <w:vAlign w:val="center"/>
          </w:tcPr>
          <w:p>
            <w:pPr>
              <w:pStyle w:val="13"/>
            </w:pPr>
            <w:r>
              <w:t>明确国有资产价值</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5、冀财建〔2025〕98号-2025年第一批超长期特别国债（大规模设备更新领域）绩效目标表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13018425P005319100010</w:t>
            </w:r>
          </w:p>
        </w:tc>
        <w:tc>
          <w:tcPr>
            <w:tcW w:w="2835" w:type="dxa"/>
            <w:vAlign w:val="center"/>
          </w:tcPr>
          <w:p>
            <w:pPr>
              <w:pStyle w:val="11"/>
            </w:pPr>
            <w:r>
              <w:t>项目名称</w:t>
            </w:r>
          </w:p>
        </w:tc>
        <w:tc>
          <w:tcPr>
            <w:tcW w:w="6095" w:type="dxa"/>
            <w:gridSpan w:val="3"/>
            <w:vAlign w:val="center"/>
          </w:tcPr>
          <w:p>
            <w:pPr>
              <w:pStyle w:val="13"/>
            </w:pPr>
            <w:r>
              <w:t>冀财建〔2025〕98号-2025年第一批超长期特别国债（大规模设备更新领域）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816.20</w:t>
            </w:r>
          </w:p>
        </w:tc>
        <w:tc>
          <w:tcPr>
            <w:tcW w:w="2835" w:type="dxa"/>
            <w:vAlign w:val="center"/>
          </w:tcPr>
          <w:p>
            <w:pPr>
              <w:pStyle w:val="11"/>
            </w:pPr>
            <w:r>
              <w:t>其中：财政    资金</w:t>
            </w:r>
          </w:p>
        </w:tc>
        <w:tc>
          <w:tcPr>
            <w:tcW w:w="2551" w:type="dxa"/>
            <w:vAlign w:val="center"/>
          </w:tcPr>
          <w:p>
            <w:pPr>
              <w:pStyle w:val="13"/>
            </w:pPr>
            <w:r>
              <w:t>816.20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支持中小企业设备更新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816.20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1.支持中小企业设备更新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企业数量</w:t>
            </w:r>
          </w:p>
        </w:tc>
        <w:tc>
          <w:tcPr>
            <w:tcW w:w="5386" w:type="dxa"/>
            <w:vAlign w:val="center"/>
          </w:tcPr>
          <w:p>
            <w:pPr>
              <w:pStyle w:val="13"/>
            </w:pPr>
            <w:r>
              <w:t>企业数量</w:t>
            </w:r>
          </w:p>
        </w:tc>
        <w:tc>
          <w:tcPr>
            <w:tcW w:w="2268" w:type="dxa"/>
            <w:vAlign w:val="center"/>
          </w:tcPr>
          <w:p>
            <w:pPr>
              <w:pStyle w:val="13"/>
            </w:pPr>
            <w:r>
              <w:t>1个</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支持企业设备更新</w:t>
            </w:r>
          </w:p>
        </w:tc>
        <w:tc>
          <w:tcPr>
            <w:tcW w:w="5386" w:type="dxa"/>
            <w:vAlign w:val="center"/>
          </w:tcPr>
          <w:p>
            <w:pPr>
              <w:pStyle w:val="13"/>
            </w:pPr>
            <w:r>
              <w:t>支持企业设备更新</w:t>
            </w:r>
          </w:p>
        </w:tc>
        <w:tc>
          <w:tcPr>
            <w:tcW w:w="2268" w:type="dxa"/>
            <w:vAlign w:val="center"/>
          </w:tcPr>
          <w:p>
            <w:pPr>
              <w:pStyle w:val="13"/>
            </w:pPr>
            <w:r>
              <w:t>企业完成设备更新</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及时完成拨付</w:t>
            </w:r>
          </w:p>
        </w:tc>
        <w:tc>
          <w:tcPr>
            <w:tcW w:w="5386" w:type="dxa"/>
            <w:vAlign w:val="center"/>
          </w:tcPr>
          <w:p>
            <w:pPr>
              <w:pStyle w:val="13"/>
            </w:pPr>
            <w:r>
              <w:t>及时完成拨付</w:t>
            </w:r>
          </w:p>
        </w:tc>
        <w:tc>
          <w:tcPr>
            <w:tcW w:w="2268" w:type="dxa"/>
            <w:vAlign w:val="center"/>
          </w:tcPr>
          <w:p>
            <w:pPr>
              <w:pStyle w:val="13"/>
            </w:pPr>
            <w:r>
              <w:t>及时完成拨付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预算范围内</w:t>
            </w:r>
          </w:p>
        </w:tc>
        <w:tc>
          <w:tcPr>
            <w:tcW w:w="5386" w:type="dxa"/>
            <w:vAlign w:val="center"/>
          </w:tcPr>
          <w:p>
            <w:pPr>
              <w:pStyle w:val="13"/>
            </w:pPr>
            <w:r>
              <w:t>预算范围内</w:t>
            </w:r>
          </w:p>
        </w:tc>
        <w:tc>
          <w:tcPr>
            <w:tcW w:w="2268" w:type="dxa"/>
            <w:vAlign w:val="center"/>
          </w:tcPr>
          <w:p>
            <w:pPr>
              <w:pStyle w:val="13"/>
            </w:pPr>
            <w:r>
              <w:t>≤1166万元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支持工业领域设备更新</w:t>
            </w:r>
          </w:p>
        </w:tc>
        <w:tc>
          <w:tcPr>
            <w:tcW w:w="5386" w:type="dxa"/>
            <w:vAlign w:val="center"/>
          </w:tcPr>
          <w:p>
            <w:pPr>
              <w:pStyle w:val="13"/>
            </w:pPr>
            <w:r>
              <w:t>支持工业领域设备更新</w:t>
            </w:r>
          </w:p>
        </w:tc>
        <w:tc>
          <w:tcPr>
            <w:tcW w:w="2268" w:type="dxa"/>
            <w:vAlign w:val="center"/>
          </w:tcPr>
          <w:p>
            <w:pPr>
              <w:pStyle w:val="13"/>
            </w:pPr>
            <w:r>
              <w:t>支持工业领域设备更新</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6、冀财建【2025】209号-提前下达2026年新能源汽车产业发展等项目资金绩效目标表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13018426P00008110011B</w:t>
            </w:r>
          </w:p>
        </w:tc>
        <w:tc>
          <w:tcPr>
            <w:tcW w:w="2835" w:type="dxa"/>
            <w:vAlign w:val="center"/>
          </w:tcPr>
          <w:p>
            <w:pPr>
              <w:pStyle w:val="11"/>
            </w:pPr>
            <w:r>
              <w:t>项目名称</w:t>
            </w:r>
          </w:p>
        </w:tc>
        <w:tc>
          <w:tcPr>
            <w:tcW w:w="6095" w:type="dxa"/>
            <w:gridSpan w:val="3"/>
            <w:vAlign w:val="center"/>
          </w:tcPr>
          <w:p>
            <w:pPr>
              <w:pStyle w:val="13"/>
            </w:pPr>
            <w:r>
              <w:t>冀财建【2025】209号-提前下达2026年新能源汽车产业发展等项目资金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10.42</w:t>
            </w:r>
          </w:p>
        </w:tc>
        <w:tc>
          <w:tcPr>
            <w:tcW w:w="2835" w:type="dxa"/>
            <w:vAlign w:val="center"/>
          </w:tcPr>
          <w:p>
            <w:pPr>
              <w:pStyle w:val="11"/>
            </w:pPr>
            <w:r>
              <w:t>其中：财政    资金</w:t>
            </w:r>
          </w:p>
        </w:tc>
        <w:tc>
          <w:tcPr>
            <w:tcW w:w="2551" w:type="dxa"/>
            <w:vAlign w:val="center"/>
          </w:tcPr>
          <w:p>
            <w:pPr>
              <w:pStyle w:val="13"/>
            </w:pPr>
            <w:r>
              <w:t>10.42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购买工业设计服务项目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10.42</w:t>
            </w:r>
          </w:p>
        </w:tc>
        <w:tc>
          <w:tcPr>
            <w:tcW w:w="2835" w:type="dxa"/>
            <w:vAlign w:val="center"/>
          </w:tcPr>
          <w:p>
            <w:pPr>
              <w:pStyle w:val="14"/>
            </w:pPr>
            <w:r>
              <w:t>10.42</w:t>
            </w:r>
          </w:p>
        </w:tc>
        <w:tc>
          <w:tcPr>
            <w:tcW w:w="2551" w:type="dxa"/>
            <w:vAlign w:val="center"/>
          </w:tcPr>
          <w:p>
            <w:pPr>
              <w:pStyle w:val="14"/>
            </w:pPr>
            <w:r>
              <w:t>10.42</w:t>
            </w:r>
          </w:p>
        </w:tc>
        <w:tc>
          <w:tcPr>
            <w:tcW w:w="3544" w:type="dxa"/>
            <w:gridSpan w:val="2"/>
            <w:vAlign w:val="center"/>
          </w:tcPr>
          <w:p>
            <w:pPr>
              <w:pStyle w:val="14"/>
            </w:pPr>
            <w:r>
              <w:t>10.42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1.提升企业设计创新能力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支持购买工业设计服务项目数量</w:t>
            </w:r>
          </w:p>
        </w:tc>
        <w:tc>
          <w:tcPr>
            <w:tcW w:w="5386" w:type="dxa"/>
            <w:vAlign w:val="center"/>
          </w:tcPr>
          <w:p>
            <w:pPr>
              <w:pStyle w:val="13"/>
            </w:pPr>
            <w:r>
              <w:t>支持购买工业设计服务项目数量</w:t>
            </w:r>
          </w:p>
        </w:tc>
        <w:tc>
          <w:tcPr>
            <w:tcW w:w="2268" w:type="dxa"/>
            <w:vAlign w:val="center"/>
          </w:tcPr>
          <w:p>
            <w:pPr>
              <w:pStyle w:val="13"/>
            </w:pPr>
            <w:r>
              <w:t>1项</w:t>
            </w:r>
          </w:p>
        </w:tc>
        <w:tc>
          <w:tcPr>
            <w:tcW w:w="1276" w:type="dxa"/>
            <w:vAlign w:val="center"/>
          </w:tcPr>
          <w:p>
            <w:pPr>
              <w:pStyle w:val="13"/>
            </w:pPr>
            <w:r>
              <w:t>批示文件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资助购买工业设计服务项目达标率</w:t>
            </w:r>
          </w:p>
        </w:tc>
        <w:tc>
          <w:tcPr>
            <w:tcW w:w="5386" w:type="dxa"/>
            <w:vAlign w:val="center"/>
          </w:tcPr>
          <w:p>
            <w:pPr>
              <w:pStyle w:val="13"/>
            </w:pPr>
            <w:r>
              <w:t>资助购买工业设计服务项目达标率</w:t>
            </w:r>
          </w:p>
        </w:tc>
        <w:tc>
          <w:tcPr>
            <w:tcW w:w="2268" w:type="dxa"/>
            <w:vAlign w:val="center"/>
          </w:tcPr>
          <w:p>
            <w:pPr>
              <w:pStyle w:val="13"/>
            </w:pPr>
            <w:r>
              <w:t>100%</w:t>
            </w:r>
          </w:p>
        </w:tc>
        <w:tc>
          <w:tcPr>
            <w:tcW w:w="1276" w:type="dxa"/>
            <w:vAlign w:val="center"/>
          </w:tcPr>
          <w:p>
            <w:pPr>
              <w:pStyle w:val="13"/>
            </w:pPr>
            <w:r>
              <w:t>批示文件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资金拨付完成时限</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购买工业设计服务项目资助标准</w:t>
            </w:r>
          </w:p>
        </w:tc>
        <w:tc>
          <w:tcPr>
            <w:tcW w:w="5386" w:type="dxa"/>
            <w:vAlign w:val="center"/>
          </w:tcPr>
          <w:p>
            <w:pPr>
              <w:pStyle w:val="13"/>
            </w:pPr>
            <w:r>
              <w:t>购买工业设计服务项目资助标准</w:t>
            </w:r>
          </w:p>
        </w:tc>
        <w:tc>
          <w:tcPr>
            <w:tcW w:w="2268" w:type="dxa"/>
            <w:vAlign w:val="center"/>
          </w:tcPr>
          <w:p>
            <w:pPr>
              <w:pStyle w:val="13"/>
            </w:pPr>
            <w:r>
              <w:t>核定支出的50%，最高不超过20万元</w:t>
            </w:r>
          </w:p>
        </w:tc>
        <w:tc>
          <w:tcPr>
            <w:tcW w:w="1276" w:type="dxa"/>
            <w:vAlign w:val="center"/>
          </w:tcPr>
          <w:p>
            <w:pPr>
              <w:pStyle w:val="13"/>
            </w:pPr>
            <w:r>
              <w:t>批示文件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企业设计创新能力得到提升</w:t>
            </w:r>
          </w:p>
        </w:tc>
        <w:tc>
          <w:tcPr>
            <w:tcW w:w="5386" w:type="dxa"/>
            <w:vAlign w:val="center"/>
          </w:tcPr>
          <w:p>
            <w:pPr>
              <w:pStyle w:val="13"/>
            </w:pPr>
            <w:r>
              <w:t>企业设计创新能力得到提升</w:t>
            </w:r>
          </w:p>
        </w:tc>
        <w:tc>
          <w:tcPr>
            <w:tcW w:w="2268" w:type="dxa"/>
            <w:vAlign w:val="center"/>
          </w:tcPr>
          <w:p>
            <w:pPr>
              <w:pStyle w:val="13"/>
            </w:pPr>
            <w:r>
              <w:t>创新能力进一步提升</w:t>
            </w:r>
          </w:p>
        </w:tc>
        <w:tc>
          <w:tcPr>
            <w:tcW w:w="1276" w:type="dxa"/>
            <w:vAlign w:val="center"/>
          </w:tcPr>
          <w:p>
            <w:pPr>
              <w:pStyle w:val="13"/>
            </w:pPr>
            <w:r>
              <w:t>批示文件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服务企业满意度</w:t>
            </w:r>
          </w:p>
        </w:tc>
        <w:tc>
          <w:tcPr>
            <w:tcW w:w="5386" w:type="dxa"/>
            <w:vAlign w:val="center"/>
          </w:tcPr>
          <w:p>
            <w:pPr>
              <w:pStyle w:val="13"/>
            </w:pPr>
            <w:r>
              <w:t>满意度调查</w:t>
            </w:r>
          </w:p>
        </w:tc>
        <w:tc>
          <w:tcPr>
            <w:tcW w:w="2268" w:type="dxa"/>
            <w:vAlign w:val="center"/>
          </w:tcPr>
          <w:p>
            <w:pPr>
              <w:pStyle w:val="13"/>
            </w:pPr>
            <w:r>
              <w:t>≥90%</w:t>
            </w:r>
          </w:p>
        </w:tc>
        <w:tc>
          <w:tcPr>
            <w:tcW w:w="1276"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7、冀财建【2025】216号-提前下达2026年支持市县科技创新和科学普及专项资金（高新技术企业认定奖补）绩效目标表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13018426P00004710014B</w:t>
            </w:r>
          </w:p>
        </w:tc>
        <w:tc>
          <w:tcPr>
            <w:tcW w:w="2835" w:type="dxa"/>
            <w:vAlign w:val="center"/>
          </w:tcPr>
          <w:p>
            <w:pPr>
              <w:pStyle w:val="11"/>
            </w:pPr>
            <w:r>
              <w:t>项目名称</w:t>
            </w:r>
          </w:p>
        </w:tc>
        <w:tc>
          <w:tcPr>
            <w:tcW w:w="6095" w:type="dxa"/>
            <w:gridSpan w:val="3"/>
            <w:vAlign w:val="center"/>
          </w:tcPr>
          <w:p>
            <w:pPr>
              <w:pStyle w:val="13"/>
            </w:pPr>
            <w:r>
              <w:t>冀财建【2025】216号-提前下达2026年支持市县科技创新和科学普及专项资金（高新技术企业认定奖补）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奖励高新技术企业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70.00</w:t>
            </w:r>
          </w:p>
        </w:tc>
        <w:tc>
          <w:tcPr>
            <w:tcW w:w="2835" w:type="dxa"/>
            <w:vAlign w:val="center"/>
          </w:tcPr>
          <w:p>
            <w:pPr>
              <w:pStyle w:val="14"/>
            </w:pPr>
            <w:r>
              <w:t>70.00</w:t>
            </w:r>
          </w:p>
        </w:tc>
        <w:tc>
          <w:tcPr>
            <w:tcW w:w="2551" w:type="dxa"/>
            <w:vAlign w:val="center"/>
          </w:tcPr>
          <w:p>
            <w:pPr>
              <w:pStyle w:val="14"/>
            </w:pPr>
            <w:r>
              <w:t>70.00</w:t>
            </w:r>
          </w:p>
        </w:tc>
        <w:tc>
          <w:tcPr>
            <w:tcW w:w="3544" w:type="dxa"/>
            <w:gridSpan w:val="2"/>
            <w:vAlign w:val="center"/>
          </w:tcPr>
          <w:p>
            <w:pPr>
              <w:pStyle w:val="14"/>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奖励企业数量</w:t>
            </w:r>
          </w:p>
        </w:tc>
        <w:tc>
          <w:tcPr>
            <w:tcW w:w="5386" w:type="dxa"/>
            <w:vAlign w:val="center"/>
          </w:tcPr>
          <w:p>
            <w:pPr>
              <w:pStyle w:val="13"/>
            </w:pPr>
            <w:r>
              <w:t>奖励国家高新技术企业数量</w:t>
            </w:r>
          </w:p>
        </w:tc>
        <w:tc>
          <w:tcPr>
            <w:tcW w:w="2268" w:type="dxa"/>
            <w:vAlign w:val="center"/>
          </w:tcPr>
          <w:p>
            <w:pPr>
              <w:pStyle w:val="13"/>
            </w:pPr>
            <w:r>
              <w:t>7家</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被奖励企业符合条件</w:t>
            </w:r>
          </w:p>
        </w:tc>
        <w:tc>
          <w:tcPr>
            <w:tcW w:w="5386" w:type="dxa"/>
            <w:vAlign w:val="center"/>
          </w:tcPr>
          <w:p>
            <w:pPr>
              <w:pStyle w:val="13"/>
            </w:pPr>
            <w:r>
              <w:t>被奖励企业符合奖励条件</w:t>
            </w:r>
          </w:p>
        </w:tc>
        <w:tc>
          <w:tcPr>
            <w:tcW w:w="2268" w:type="dxa"/>
            <w:vAlign w:val="center"/>
          </w:tcPr>
          <w:p>
            <w:pPr>
              <w:pStyle w:val="13"/>
            </w:pPr>
            <w:r>
              <w:t>符合规定的奖励条件</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资金按程序下达企业</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5386" w:type="dxa"/>
            <w:vAlign w:val="center"/>
          </w:tcPr>
          <w:p>
            <w:pPr>
              <w:pStyle w:val="13"/>
            </w:pPr>
            <w:r>
              <w:t>对每个国家高新技术企业的奖励标准</w:t>
            </w:r>
          </w:p>
        </w:tc>
        <w:tc>
          <w:tcPr>
            <w:tcW w:w="2268" w:type="dxa"/>
            <w:vAlign w:val="center"/>
          </w:tcPr>
          <w:p>
            <w:pPr>
              <w:pStyle w:val="13"/>
            </w:pPr>
            <w:r>
              <w:t>10万元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促进我市企业技术创新能力提升</w:t>
            </w:r>
          </w:p>
        </w:tc>
        <w:tc>
          <w:tcPr>
            <w:tcW w:w="5386" w:type="dxa"/>
            <w:vAlign w:val="center"/>
          </w:tcPr>
          <w:p>
            <w:pPr>
              <w:pStyle w:val="13"/>
            </w:pPr>
            <w:r>
              <w:t>促进我市企业技术创新能力提升</w:t>
            </w:r>
          </w:p>
        </w:tc>
        <w:tc>
          <w:tcPr>
            <w:tcW w:w="2268" w:type="dxa"/>
            <w:vAlign w:val="center"/>
          </w:tcPr>
          <w:p>
            <w:pPr>
              <w:pStyle w:val="13"/>
            </w:pPr>
            <w:r>
              <w:t>进一步提升</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支持企业满意度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8、冀财教【2025】136号-提前下达2026年支持市县科技创新和科学普及专项资金-科技企业研发投入后补助绩效目标表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13018426P00004710013P</w:t>
            </w:r>
          </w:p>
        </w:tc>
        <w:tc>
          <w:tcPr>
            <w:tcW w:w="2835" w:type="dxa"/>
            <w:vAlign w:val="center"/>
          </w:tcPr>
          <w:p>
            <w:pPr>
              <w:pStyle w:val="11"/>
            </w:pPr>
            <w:r>
              <w:t>项目名称</w:t>
            </w:r>
          </w:p>
        </w:tc>
        <w:tc>
          <w:tcPr>
            <w:tcW w:w="6095" w:type="dxa"/>
            <w:gridSpan w:val="3"/>
            <w:vAlign w:val="center"/>
          </w:tcPr>
          <w:p>
            <w:pPr>
              <w:pStyle w:val="13"/>
            </w:pPr>
            <w:r>
              <w:t>冀财教【2025】136号-提前下达2026年支持市县科技创新和科学普及专项资金-科技企业研发投入后补助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18.82</w:t>
            </w:r>
          </w:p>
        </w:tc>
        <w:tc>
          <w:tcPr>
            <w:tcW w:w="2835" w:type="dxa"/>
            <w:vAlign w:val="center"/>
          </w:tcPr>
          <w:p>
            <w:pPr>
              <w:pStyle w:val="11"/>
            </w:pPr>
            <w:r>
              <w:t>其中：财政    资金</w:t>
            </w:r>
          </w:p>
        </w:tc>
        <w:tc>
          <w:tcPr>
            <w:tcW w:w="2551" w:type="dxa"/>
            <w:vAlign w:val="center"/>
          </w:tcPr>
          <w:p>
            <w:pPr>
              <w:pStyle w:val="13"/>
            </w:pPr>
            <w:r>
              <w:t>18.82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科技企业研发后补助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18.82</w:t>
            </w:r>
          </w:p>
        </w:tc>
        <w:tc>
          <w:tcPr>
            <w:tcW w:w="2835" w:type="dxa"/>
            <w:vAlign w:val="center"/>
          </w:tcPr>
          <w:p>
            <w:pPr>
              <w:pStyle w:val="14"/>
            </w:pPr>
            <w:r>
              <w:t>18.82</w:t>
            </w:r>
          </w:p>
        </w:tc>
        <w:tc>
          <w:tcPr>
            <w:tcW w:w="2551" w:type="dxa"/>
            <w:vAlign w:val="center"/>
          </w:tcPr>
          <w:p>
            <w:pPr>
              <w:pStyle w:val="14"/>
            </w:pPr>
            <w:r>
              <w:t>18.82</w:t>
            </w:r>
          </w:p>
        </w:tc>
        <w:tc>
          <w:tcPr>
            <w:tcW w:w="3544" w:type="dxa"/>
            <w:gridSpan w:val="2"/>
            <w:vAlign w:val="center"/>
          </w:tcPr>
          <w:p>
            <w:pPr>
              <w:pStyle w:val="14"/>
            </w:pPr>
            <w:r>
              <w:t>18.82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1.激励和引导市县以科技高质量发展为目标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企业数量</w:t>
            </w:r>
          </w:p>
        </w:tc>
        <w:tc>
          <w:tcPr>
            <w:tcW w:w="5386" w:type="dxa"/>
            <w:vAlign w:val="center"/>
          </w:tcPr>
          <w:p>
            <w:pPr>
              <w:pStyle w:val="13"/>
            </w:pPr>
            <w:r>
              <w:t>符合条件企业数量</w:t>
            </w:r>
          </w:p>
        </w:tc>
        <w:tc>
          <w:tcPr>
            <w:tcW w:w="2268" w:type="dxa"/>
            <w:vAlign w:val="center"/>
          </w:tcPr>
          <w:p>
            <w:pPr>
              <w:pStyle w:val="13"/>
            </w:pPr>
            <w:r>
              <w:t>5家</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符合奖补条件</w:t>
            </w:r>
          </w:p>
        </w:tc>
        <w:tc>
          <w:tcPr>
            <w:tcW w:w="5386" w:type="dxa"/>
            <w:vAlign w:val="center"/>
          </w:tcPr>
          <w:p>
            <w:pPr>
              <w:pStyle w:val="13"/>
            </w:pPr>
            <w:r>
              <w:t>符合奖补条件</w:t>
            </w:r>
          </w:p>
        </w:tc>
        <w:tc>
          <w:tcPr>
            <w:tcW w:w="2268" w:type="dxa"/>
            <w:vAlign w:val="center"/>
          </w:tcPr>
          <w:p>
            <w:pPr>
              <w:pStyle w:val="13"/>
            </w:pPr>
            <w:r>
              <w:t>符合奖补条件</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及时完成资金拨付</w:t>
            </w:r>
          </w:p>
        </w:tc>
        <w:tc>
          <w:tcPr>
            <w:tcW w:w="5386" w:type="dxa"/>
            <w:vAlign w:val="center"/>
          </w:tcPr>
          <w:p>
            <w:pPr>
              <w:pStyle w:val="13"/>
            </w:pPr>
            <w:r>
              <w:t>及时完成资金拨付</w:t>
            </w:r>
          </w:p>
        </w:tc>
        <w:tc>
          <w:tcPr>
            <w:tcW w:w="2268" w:type="dxa"/>
            <w:vAlign w:val="center"/>
          </w:tcPr>
          <w:p>
            <w:pPr>
              <w:pStyle w:val="13"/>
            </w:pPr>
            <w:r>
              <w:t>及时完成资金拨付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预算范围内</w:t>
            </w:r>
          </w:p>
        </w:tc>
        <w:tc>
          <w:tcPr>
            <w:tcW w:w="5386" w:type="dxa"/>
            <w:vAlign w:val="center"/>
          </w:tcPr>
          <w:p>
            <w:pPr>
              <w:pStyle w:val="13"/>
            </w:pPr>
            <w:r>
              <w:t>预算范围内</w:t>
            </w:r>
          </w:p>
        </w:tc>
        <w:tc>
          <w:tcPr>
            <w:tcW w:w="2268" w:type="dxa"/>
            <w:vAlign w:val="center"/>
          </w:tcPr>
          <w:p>
            <w:pPr>
              <w:pStyle w:val="13"/>
            </w:pPr>
            <w:r>
              <w:t>≤18.82万元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提高我市科技创新能力</w:t>
            </w:r>
          </w:p>
        </w:tc>
        <w:tc>
          <w:tcPr>
            <w:tcW w:w="5386" w:type="dxa"/>
            <w:vAlign w:val="center"/>
          </w:tcPr>
          <w:p>
            <w:pPr>
              <w:pStyle w:val="13"/>
            </w:pPr>
            <w:r>
              <w:t>提高我市科技创新能力</w:t>
            </w:r>
          </w:p>
        </w:tc>
        <w:tc>
          <w:tcPr>
            <w:tcW w:w="2268" w:type="dxa"/>
            <w:vAlign w:val="center"/>
          </w:tcPr>
          <w:p>
            <w:pPr>
              <w:pStyle w:val="13"/>
            </w:pPr>
            <w:r>
              <w:t>提高我市科技创新能力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9、石财建【2025】71号-提前下达2026年市级特色产业集群奖补资金绩效目标表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13018426P00008110012Y</w:t>
            </w:r>
          </w:p>
        </w:tc>
        <w:tc>
          <w:tcPr>
            <w:tcW w:w="2835" w:type="dxa"/>
            <w:vAlign w:val="center"/>
          </w:tcPr>
          <w:p>
            <w:pPr>
              <w:pStyle w:val="11"/>
            </w:pPr>
            <w:r>
              <w:t>项目名称</w:t>
            </w:r>
          </w:p>
        </w:tc>
        <w:tc>
          <w:tcPr>
            <w:tcW w:w="6095" w:type="dxa"/>
            <w:gridSpan w:val="3"/>
            <w:vAlign w:val="center"/>
          </w:tcPr>
          <w:p>
            <w:pPr>
              <w:pStyle w:val="13"/>
            </w:pPr>
            <w:r>
              <w:t>石财建【2025】71号-提前下达2026年市级特色产业集群奖补资金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推动特色产业集群发展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50.00</w:t>
            </w:r>
          </w:p>
        </w:tc>
        <w:tc>
          <w:tcPr>
            <w:tcW w:w="3544"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1.统筹推动特色产业集群发展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支持奖补项目数量</w:t>
            </w:r>
          </w:p>
        </w:tc>
        <w:tc>
          <w:tcPr>
            <w:tcW w:w="5386" w:type="dxa"/>
            <w:vAlign w:val="center"/>
          </w:tcPr>
          <w:p>
            <w:pPr>
              <w:pStyle w:val="13"/>
            </w:pPr>
            <w:r>
              <w:t>支持奖补项目数量</w:t>
            </w:r>
          </w:p>
        </w:tc>
        <w:tc>
          <w:tcPr>
            <w:tcW w:w="2268" w:type="dxa"/>
            <w:vAlign w:val="center"/>
          </w:tcPr>
          <w:p>
            <w:pPr>
              <w:pStyle w:val="13"/>
            </w:pPr>
            <w:r>
              <w:t>2个</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符合奖励条件</w:t>
            </w:r>
          </w:p>
        </w:tc>
        <w:tc>
          <w:tcPr>
            <w:tcW w:w="5386" w:type="dxa"/>
            <w:vAlign w:val="center"/>
          </w:tcPr>
          <w:p>
            <w:pPr>
              <w:pStyle w:val="13"/>
            </w:pPr>
            <w:r>
              <w:t>符合奖励条件</w:t>
            </w:r>
          </w:p>
        </w:tc>
        <w:tc>
          <w:tcPr>
            <w:tcW w:w="2268" w:type="dxa"/>
            <w:vAlign w:val="center"/>
          </w:tcPr>
          <w:p>
            <w:pPr>
              <w:pStyle w:val="13"/>
            </w:pPr>
            <w:r>
              <w:t>符合奖励条件</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5386" w:type="dxa"/>
            <w:vAlign w:val="center"/>
          </w:tcPr>
          <w:p>
            <w:pPr>
              <w:pStyle w:val="13"/>
            </w:pPr>
            <w:r>
              <w:t>资金拨付时间</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资金可控</w:t>
            </w:r>
          </w:p>
        </w:tc>
        <w:tc>
          <w:tcPr>
            <w:tcW w:w="5386" w:type="dxa"/>
            <w:vAlign w:val="center"/>
          </w:tcPr>
          <w:p>
            <w:pPr>
              <w:pStyle w:val="13"/>
            </w:pPr>
            <w:r>
              <w:t>在预算资金可控范围内</w:t>
            </w:r>
          </w:p>
        </w:tc>
        <w:tc>
          <w:tcPr>
            <w:tcW w:w="2268" w:type="dxa"/>
            <w:vAlign w:val="center"/>
          </w:tcPr>
          <w:p>
            <w:pPr>
              <w:pStyle w:val="13"/>
            </w:pPr>
            <w:r>
              <w:t>≤60万元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优化集群企业发展环境</w:t>
            </w:r>
          </w:p>
        </w:tc>
        <w:tc>
          <w:tcPr>
            <w:tcW w:w="5386" w:type="dxa"/>
            <w:vAlign w:val="center"/>
          </w:tcPr>
          <w:p>
            <w:pPr>
              <w:pStyle w:val="13"/>
            </w:pPr>
            <w:r>
              <w:t>进一步壮大集群规模，激发企业生产活力</w:t>
            </w:r>
          </w:p>
        </w:tc>
        <w:tc>
          <w:tcPr>
            <w:tcW w:w="2268" w:type="dxa"/>
            <w:vAlign w:val="center"/>
          </w:tcPr>
          <w:p>
            <w:pPr>
              <w:pStyle w:val="13"/>
            </w:pPr>
            <w:r>
              <w:t>进一步壮大集群规模，激发企业生产活力</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10、新乐市拖欠企业账款项目绩效目标表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13018419CGKIYCC3F6T2H</w:t>
            </w:r>
          </w:p>
        </w:tc>
        <w:tc>
          <w:tcPr>
            <w:tcW w:w="2835" w:type="dxa"/>
            <w:vAlign w:val="center"/>
          </w:tcPr>
          <w:p>
            <w:pPr>
              <w:pStyle w:val="11"/>
            </w:pPr>
            <w:r>
              <w:t>项目名称</w:t>
            </w:r>
          </w:p>
        </w:tc>
        <w:tc>
          <w:tcPr>
            <w:tcW w:w="6095" w:type="dxa"/>
            <w:gridSpan w:val="3"/>
            <w:vAlign w:val="center"/>
          </w:tcPr>
          <w:p>
            <w:pPr>
              <w:pStyle w:val="13"/>
            </w:pPr>
            <w:r>
              <w:t>新乐市拖欠企业账款项目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1303.83</w:t>
            </w:r>
          </w:p>
        </w:tc>
        <w:tc>
          <w:tcPr>
            <w:tcW w:w="2835" w:type="dxa"/>
            <w:vAlign w:val="center"/>
          </w:tcPr>
          <w:p>
            <w:pPr>
              <w:pStyle w:val="11"/>
            </w:pPr>
            <w:r>
              <w:t>其中：财政    资金</w:t>
            </w:r>
          </w:p>
        </w:tc>
        <w:tc>
          <w:tcPr>
            <w:tcW w:w="2551" w:type="dxa"/>
            <w:vAlign w:val="center"/>
          </w:tcPr>
          <w:p>
            <w:pPr>
              <w:pStyle w:val="13"/>
            </w:pPr>
            <w:r>
              <w:t>1303.83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保护中小企业合法权益，进一步优化营商环境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1303.83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1.保护中小企合法权益，优化营商环境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符合清欠条件的资金项目数量</w:t>
            </w:r>
          </w:p>
        </w:tc>
        <w:tc>
          <w:tcPr>
            <w:tcW w:w="5386" w:type="dxa"/>
            <w:vAlign w:val="center"/>
          </w:tcPr>
          <w:p>
            <w:pPr>
              <w:pStyle w:val="13"/>
            </w:pPr>
            <w:r>
              <w:t>通过审核的资金项目数量</w:t>
            </w:r>
          </w:p>
        </w:tc>
        <w:tc>
          <w:tcPr>
            <w:tcW w:w="2268" w:type="dxa"/>
            <w:vAlign w:val="center"/>
          </w:tcPr>
          <w:p>
            <w:pPr>
              <w:pStyle w:val="13"/>
            </w:pPr>
            <w:r>
              <w:t>≤1300个</w:t>
            </w:r>
          </w:p>
        </w:tc>
        <w:tc>
          <w:tcPr>
            <w:tcW w:w="1276" w:type="dxa"/>
            <w:vAlign w:val="center"/>
          </w:tcPr>
          <w:p>
            <w:pPr>
              <w:pStyle w:val="13"/>
            </w:pPr>
            <w:r>
              <w:t>实际审核完成个数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符合清欠条件</w:t>
            </w:r>
          </w:p>
        </w:tc>
        <w:tc>
          <w:tcPr>
            <w:tcW w:w="5386" w:type="dxa"/>
            <w:vAlign w:val="center"/>
          </w:tcPr>
          <w:p>
            <w:pPr>
              <w:pStyle w:val="13"/>
            </w:pPr>
            <w:r>
              <w:t>符合清欠条件</w:t>
            </w:r>
          </w:p>
        </w:tc>
        <w:tc>
          <w:tcPr>
            <w:tcW w:w="2268" w:type="dxa"/>
            <w:vAlign w:val="center"/>
          </w:tcPr>
          <w:p>
            <w:pPr>
              <w:pStyle w:val="13"/>
            </w:pPr>
            <w:r>
              <w:t>通过审核</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按时完成资金拨付</w:t>
            </w:r>
          </w:p>
        </w:tc>
        <w:tc>
          <w:tcPr>
            <w:tcW w:w="5386" w:type="dxa"/>
            <w:vAlign w:val="center"/>
          </w:tcPr>
          <w:p>
            <w:pPr>
              <w:pStyle w:val="13"/>
            </w:pPr>
            <w:r>
              <w:t>按时完成资金拨付</w:t>
            </w:r>
          </w:p>
        </w:tc>
        <w:tc>
          <w:tcPr>
            <w:tcW w:w="2268" w:type="dxa"/>
            <w:vAlign w:val="center"/>
          </w:tcPr>
          <w:p>
            <w:pPr>
              <w:pStyle w:val="13"/>
            </w:pPr>
            <w:r>
              <w:t>年底前拨付完成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资金范围内</w:t>
            </w:r>
          </w:p>
        </w:tc>
        <w:tc>
          <w:tcPr>
            <w:tcW w:w="5386" w:type="dxa"/>
            <w:vAlign w:val="center"/>
          </w:tcPr>
          <w:p>
            <w:pPr>
              <w:pStyle w:val="13"/>
            </w:pPr>
            <w:r>
              <w:t>资金范围内</w:t>
            </w:r>
          </w:p>
        </w:tc>
        <w:tc>
          <w:tcPr>
            <w:tcW w:w="2268" w:type="dxa"/>
            <w:vAlign w:val="center"/>
          </w:tcPr>
          <w:p>
            <w:pPr>
              <w:pStyle w:val="13"/>
            </w:pPr>
            <w:r>
              <w:t>≤11000万元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保护中小企合法权益，优化营商环境</w:t>
            </w:r>
          </w:p>
        </w:tc>
        <w:tc>
          <w:tcPr>
            <w:tcW w:w="5386" w:type="dxa"/>
            <w:vAlign w:val="center"/>
          </w:tcPr>
          <w:p>
            <w:pPr>
              <w:pStyle w:val="13"/>
            </w:pPr>
            <w:r>
              <w:t>保护中小企合法权益，优化营商环境</w:t>
            </w:r>
          </w:p>
        </w:tc>
        <w:tc>
          <w:tcPr>
            <w:tcW w:w="2268" w:type="dxa"/>
            <w:vAlign w:val="center"/>
          </w:tcPr>
          <w:p>
            <w:pPr>
              <w:pStyle w:val="13"/>
            </w:pPr>
            <w:r>
              <w:t>保护中小企合法权益，优化营商环境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r>
              <w:tab/>
            </w:r>
          </w:p>
          <w:p>
            <w:pPr>
              <w:pStyle w:val="13"/>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新乐市科学技术和工业信息化局（含所属单位）上年末固定资产金额为</w:t>
      </w:r>
      <w:r>
        <w:rPr>
          <w:rFonts w:hint="eastAsia" w:eastAsia="方正仿宋_GBK" w:cs="Times New Roman"/>
          <w:b w:val="0"/>
          <w:color w:val="000000"/>
          <w:sz w:val="28"/>
          <w:lang w:val="en-US" w:eastAsia="zh-CN"/>
        </w:rPr>
        <w:t>1016.87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350新乐市科学技术和工业信息化局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w:t>
            </w:r>
            <w:r>
              <w:rPr>
                <w:rFonts w:hint="eastAsia"/>
                <w:lang w:val="en-US" w:eastAsia="zh-CN"/>
              </w:rPr>
              <w:t>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资产总额</w:t>
            </w:r>
          </w:p>
        </w:tc>
        <w:tc>
          <w:tcPr>
            <w:tcW w:w="2835" w:type="dxa"/>
            <w:vAlign w:val="center"/>
          </w:tcPr>
          <w:p>
            <w:pPr>
              <w:pStyle w:val="14"/>
              <w:ind w:firstLine="0" w:firstLineChars="0"/>
            </w:pPr>
          </w:p>
        </w:tc>
        <w:tc>
          <w:tcPr>
            <w:tcW w:w="2835" w:type="dxa"/>
            <w:vAlign w:val="center"/>
          </w:tcPr>
          <w:p>
            <w:pPr>
              <w:pStyle w:val="12"/>
              <w:ind w:firstLine="0" w:firstLineChars="0"/>
              <w:rPr>
                <w:lang w:val="en-US"/>
              </w:rPr>
            </w:pPr>
            <w:r>
              <w:rPr>
                <w:rFonts w:hint="eastAsia"/>
                <w:color w:val="auto"/>
                <w:lang w:val="en-US" w:eastAsia="zh-CN"/>
              </w:rPr>
              <w:t>1016.87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1、房屋（平方米）</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　　其中：办公用房（平方米）</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2、车辆（台、辆）</w:t>
            </w:r>
          </w:p>
        </w:tc>
        <w:tc>
          <w:tcPr>
            <w:tcW w:w="2835" w:type="dxa"/>
            <w:vAlign w:val="center"/>
          </w:tcPr>
          <w:p>
            <w:pPr>
              <w:pStyle w:val="14"/>
              <w:ind w:firstLine="0" w:firstLineChars="0"/>
            </w:pPr>
            <w:r>
              <w:rPr>
                <w:color w:val="auto"/>
              </w:rPr>
              <w:t>1</w:t>
            </w:r>
          </w:p>
        </w:tc>
        <w:tc>
          <w:tcPr>
            <w:tcW w:w="2835" w:type="dxa"/>
            <w:vAlign w:val="center"/>
          </w:tcPr>
          <w:p>
            <w:pPr>
              <w:pStyle w:val="12"/>
              <w:ind w:firstLine="0" w:firstLineChars="0"/>
            </w:pPr>
            <w:r>
              <w:rPr>
                <w:color w:val="auto"/>
              </w:rPr>
              <w:t>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3、单价在20万元以上的设备</w:t>
            </w:r>
          </w:p>
        </w:tc>
        <w:tc>
          <w:tcPr>
            <w:tcW w:w="2835" w:type="dxa"/>
            <w:vAlign w:val="center"/>
          </w:tcPr>
          <w:p>
            <w:pPr>
              <w:pStyle w:val="14"/>
              <w:ind w:firstLine="0" w:firstLineChars="0"/>
            </w:pPr>
            <w:r>
              <w:rPr>
                <w:color w:val="auto"/>
              </w:rPr>
              <w:t>10</w:t>
            </w:r>
          </w:p>
        </w:tc>
        <w:tc>
          <w:tcPr>
            <w:tcW w:w="2835" w:type="dxa"/>
            <w:vAlign w:val="center"/>
          </w:tcPr>
          <w:p>
            <w:pPr>
              <w:pStyle w:val="12"/>
              <w:ind w:firstLine="0" w:firstLineChars="0"/>
            </w:pPr>
            <w:r>
              <w:rPr>
                <w:color w:val="auto"/>
              </w:rPr>
              <w:t>698.62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rPr>
                <w:color w:val="auto"/>
              </w:rPr>
              <w:t>4、其他固定资产</w:t>
            </w:r>
          </w:p>
        </w:tc>
        <w:tc>
          <w:tcPr>
            <w:tcW w:w="2835" w:type="dxa"/>
            <w:vAlign w:val="center"/>
          </w:tcPr>
          <w:p>
            <w:pPr>
              <w:pStyle w:val="14"/>
              <w:ind w:firstLine="0" w:firstLineChars="0"/>
              <w:rPr>
                <w:rFonts w:hint="eastAsia" w:eastAsia="方正书宋_GBK"/>
                <w:lang w:val="en-US" w:eastAsia="zh-CN"/>
              </w:rPr>
            </w:pPr>
            <w:r>
              <w:rPr>
                <w:rFonts w:hint="eastAsia"/>
                <w:color w:val="auto"/>
                <w:lang w:val="en-US" w:eastAsia="zh-CN"/>
              </w:rPr>
              <w:t>995</w:t>
            </w:r>
          </w:p>
        </w:tc>
        <w:tc>
          <w:tcPr>
            <w:tcW w:w="2835" w:type="dxa"/>
            <w:vAlign w:val="center"/>
          </w:tcPr>
          <w:p>
            <w:pPr>
              <w:pStyle w:val="12"/>
              <w:ind w:firstLine="0" w:firstLineChars="0"/>
              <w:rPr>
                <w:lang w:val="en-US"/>
              </w:rPr>
            </w:pPr>
            <w:r>
              <w:rPr>
                <w:rFonts w:hint="eastAsia"/>
                <w:color w:val="auto"/>
                <w:lang w:val="en-US" w:eastAsia="zh-CN"/>
              </w:rPr>
              <w:t>308.83</w:t>
            </w:r>
            <w:bookmarkStart w:id="20" w:name="_GoBack"/>
            <w:bookmarkEnd w:id="20"/>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C1734C5"/>
    <w:rsid w:val="5DD82E4C"/>
    <w:rsid w:val="7B0109E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Pages>
  <TotalTime>11</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2026-03-05T15:27:00Z</dcterms:created>
  <dc:creator>Administrator</dc:creator>
  <cp:lastModifiedBy>Administrator</cp:lastModifiedBy>
  <dcterms:modified xsi:type="dcterms:W3CDTF">2026-03-05T08:25:42Z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