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318001新乐市财政局本级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1584.50</w:t>
            </w:r>
          </w:p>
        </w:tc>
        <w:tc>
          <w:tcPr>
            <w:tcW w:w="4535" w:type="dxa"/>
            <w:vAlign w:val="center"/>
          </w:tcPr>
          <w:p>
            <w:pPr>
              <w:pStyle w:val="12"/>
            </w:pPr>
            <w:r>
              <w:t>一、一般公共服务支出</w:t>
            </w:r>
          </w:p>
        </w:tc>
        <w:tc>
          <w:tcPr>
            <w:tcW w:w="2126" w:type="dxa"/>
            <w:vAlign w:val="center"/>
          </w:tcPr>
          <w:p>
            <w:pPr>
              <w:pStyle w:val="11"/>
            </w:pPr>
            <w:r>
              <w:t>1353.78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1584.50</w:t>
            </w:r>
          </w:p>
        </w:tc>
        <w:tc>
          <w:tcPr>
            <w:tcW w:w="4535" w:type="dxa"/>
            <w:vAlign w:val="center"/>
          </w:tcPr>
          <w:p>
            <w:pPr>
              <w:pStyle w:val="14"/>
            </w:pPr>
            <w:r>
              <w:t>本年支出合计</w:t>
            </w:r>
          </w:p>
        </w:tc>
        <w:tc>
          <w:tcPr>
            <w:tcW w:w="2126" w:type="dxa"/>
            <w:vAlign w:val="center"/>
          </w:tcPr>
          <w:p>
            <w:pPr>
              <w:pStyle w:val="15"/>
            </w:pPr>
            <w:r>
              <w:t>1884.50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1884.50</w:t>
            </w:r>
          </w:p>
        </w:tc>
        <w:tc>
          <w:tcPr>
            <w:tcW w:w="4535" w:type="dxa"/>
            <w:vAlign w:val="center"/>
          </w:tcPr>
          <w:p>
            <w:pPr>
              <w:pStyle w:val="14"/>
            </w:pPr>
            <w:r>
              <w:t>支出总计</w:t>
            </w:r>
          </w:p>
        </w:tc>
        <w:tc>
          <w:tcPr>
            <w:tcW w:w="2126" w:type="dxa"/>
            <w:vAlign w:val="center"/>
          </w:tcPr>
          <w:p>
            <w:pPr>
              <w:pStyle w:val="15"/>
            </w:pPr>
            <w:r>
              <w:t>1884.50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318001新乐市财政局本级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1884.50</w:t>
            </w:r>
          </w:p>
        </w:tc>
        <w:tc>
          <w:tcPr>
            <w:tcW w:w="1134" w:type="dxa"/>
            <w:vAlign w:val="center"/>
          </w:tcPr>
          <w:p>
            <w:pPr>
              <w:pStyle w:val="15"/>
            </w:pPr>
            <w:r>
              <w:t>1584.50</w:t>
            </w:r>
          </w:p>
        </w:tc>
        <w:tc>
          <w:tcPr>
            <w:tcW w:w="1134" w:type="dxa"/>
            <w:vAlign w:val="center"/>
          </w:tcPr>
          <w:p>
            <w:pPr>
              <w:pStyle w:val="15"/>
            </w:pPr>
            <w:r>
              <w:t>1584.50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1353.78</w:t>
            </w:r>
          </w:p>
        </w:tc>
        <w:tc>
          <w:tcPr>
            <w:tcW w:w="1134" w:type="dxa"/>
            <w:vAlign w:val="center"/>
          </w:tcPr>
          <w:p>
            <w:pPr>
              <w:pStyle w:val="11"/>
            </w:pPr>
            <w:r>
              <w:t>1353.78</w:t>
            </w:r>
          </w:p>
        </w:tc>
        <w:tc>
          <w:tcPr>
            <w:tcW w:w="1134" w:type="dxa"/>
            <w:vAlign w:val="center"/>
          </w:tcPr>
          <w:p>
            <w:pPr>
              <w:pStyle w:val="11"/>
            </w:pPr>
            <w:r>
              <w:t>1353.78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1353.78</w:t>
            </w:r>
          </w:p>
        </w:tc>
        <w:tc>
          <w:tcPr>
            <w:tcW w:w="1134" w:type="dxa"/>
            <w:vAlign w:val="center"/>
          </w:tcPr>
          <w:p>
            <w:pPr>
              <w:pStyle w:val="11"/>
            </w:pPr>
            <w:r>
              <w:t>1353.78</w:t>
            </w:r>
          </w:p>
        </w:tc>
        <w:tc>
          <w:tcPr>
            <w:tcW w:w="1134" w:type="dxa"/>
            <w:vAlign w:val="center"/>
          </w:tcPr>
          <w:p>
            <w:pPr>
              <w:pStyle w:val="11"/>
            </w:pPr>
            <w:r>
              <w:t>1353.78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603.78</w:t>
            </w:r>
          </w:p>
        </w:tc>
        <w:tc>
          <w:tcPr>
            <w:tcW w:w="1134" w:type="dxa"/>
            <w:vAlign w:val="center"/>
          </w:tcPr>
          <w:p>
            <w:pPr>
              <w:pStyle w:val="11"/>
            </w:pPr>
            <w:r>
              <w:t>603.78</w:t>
            </w:r>
          </w:p>
        </w:tc>
        <w:tc>
          <w:tcPr>
            <w:tcW w:w="1134" w:type="dxa"/>
            <w:vAlign w:val="center"/>
          </w:tcPr>
          <w:p>
            <w:pPr>
              <w:pStyle w:val="11"/>
            </w:pPr>
            <w:r>
              <w:t>603.78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716.00</w:t>
            </w:r>
          </w:p>
        </w:tc>
        <w:tc>
          <w:tcPr>
            <w:tcW w:w="1134" w:type="dxa"/>
            <w:vAlign w:val="center"/>
          </w:tcPr>
          <w:p>
            <w:pPr>
              <w:pStyle w:val="11"/>
            </w:pPr>
            <w:r>
              <w:t>716.00</w:t>
            </w:r>
          </w:p>
        </w:tc>
        <w:tc>
          <w:tcPr>
            <w:tcW w:w="1134" w:type="dxa"/>
            <w:vAlign w:val="center"/>
          </w:tcPr>
          <w:p>
            <w:pPr>
              <w:pStyle w:val="11"/>
            </w:pPr>
            <w:r>
              <w:t>716.00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140.72</w:t>
            </w:r>
          </w:p>
        </w:tc>
        <w:tc>
          <w:tcPr>
            <w:tcW w:w="1134" w:type="dxa"/>
            <w:vAlign w:val="center"/>
          </w:tcPr>
          <w:p>
            <w:pPr>
              <w:pStyle w:val="11"/>
            </w:pPr>
            <w:r>
              <w:t>140.72</w:t>
            </w:r>
          </w:p>
        </w:tc>
        <w:tc>
          <w:tcPr>
            <w:tcW w:w="1134" w:type="dxa"/>
            <w:vAlign w:val="center"/>
          </w:tcPr>
          <w:p>
            <w:pPr>
              <w:pStyle w:val="11"/>
            </w:pPr>
            <w:r>
              <w:t>140.72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136.79</w:t>
            </w:r>
          </w:p>
        </w:tc>
        <w:tc>
          <w:tcPr>
            <w:tcW w:w="1134" w:type="dxa"/>
            <w:vAlign w:val="center"/>
          </w:tcPr>
          <w:p>
            <w:pPr>
              <w:pStyle w:val="11"/>
            </w:pPr>
            <w:r>
              <w:t>136.79</w:t>
            </w:r>
          </w:p>
        </w:tc>
        <w:tc>
          <w:tcPr>
            <w:tcW w:w="1134" w:type="dxa"/>
            <w:vAlign w:val="center"/>
          </w:tcPr>
          <w:p>
            <w:pPr>
              <w:pStyle w:val="11"/>
            </w:pPr>
            <w:r>
              <w:t>136.79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51.79</w:t>
            </w:r>
          </w:p>
        </w:tc>
        <w:tc>
          <w:tcPr>
            <w:tcW w:w="1134" w:type="dxa"/>
            <w:vAlign w:val="center"/>
          </w:tcPr>
          <w:p>
            <w:pPr>
              <w:pStyle w:val="11"/>
            </w:pPr>
            <w:r>
              <w:t>51.79</w:t>
            </w:r>
          </w:p>
        </w:tc>
        <w:tc>
          <w:tcPr>
            <w:tcW w:w="1134" w:type="dxa"/>
            <w:vAlign w:val="center"/>
          </w:tcPr>
          <w:p>
            <w:pPr>
              <w:pStyle w:val="11"/>
            </w:pPr>
            <w:r>
              <w:t>51.79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3.93</w:t>
            </w:r>
          </w:p>
        </w:tc>
        <w:tc>
          <w:tcPr>
            <w:tcW w:w="1134" w:type="dxa"/>
            <w:vAlign w:val="center"/>
          </w:tcPr>
          <w:p>
            <w:pPr>
              <w:pStyle w:val="11"/>
            </w:pPr>
            <w:r>
              <w:t>3.93</w:t>
            </w:r>
          </w:p>
        </w:tc>
        <w:tc>
          <w:tcPr>
            <w:tcW w:w="1134" w:type="dxa"/>
            <w:vAlign w:val="center"/>
          </w:tcPr>
          <w:p>
            <w:pPr>
              <w:pStyle w:val="11"/>
            </w:pPr>
            <w:r>
              <w:t>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3.93</w:t>
            </w:r>
          </w:p>
        </w:tc>
        <w:tc>
          <w:tcPr>
            <w:tcW w:w="1134" w:type="dxa"/>
            <w:vAlign w:val="center"/>
          </w:tcPr>
          <w:p>
            <w:pPr>
              <w:pStyle w:val="11"/>
            </w:pPr>
            <w:r>
              <w:t>3.93</w:t>
            </w:r>
          </w:p>
        </w:tc>
        <w:tc>
          <w:tcPr>
            <w:tcW w:w="1134" w:type="dxa"/>
            <w:vAlign w:val="center"/>
          </w:tcPr>
          <w:p>
            <w:pPr>
              <w:pStyle w:val="11"/>
            </w:pPr>
            <w:r>
              <w:t>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1884.50</w:t>
            </w:r>
          </w:p>
        </w:tc>
        <w:tc>
          <w:tcPr>
            <w:tcW w:w="1361" w:type="dxa"/>
            <w:vAlign w:val="center"/>
          </w:tcPr>
          <w:p>
            <w:pPr>
              <w:pStyle w:val="15"/>
            </w:pPr>
            <w:r>
              <w:t>834.50</w:t>
            </w:r>
          </w:p>
        </w:tc>
        <w:tc>
          <w:tcPr>
            <w:tcW w:w="1361" w:type="dxa"/>
            <w:vAlign w:val="center"/>
          </w:tcPr>
          <w:p>
            <w:pPr>
              <w:pStyle w:val="15"/>
            </w:pPr>
            <w:r>
              <w:t>1050.00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1353.78</w:t>
            </w:r>
          </w:p>
        </w:tc>
        <w:tc>
          <w:tcPr>
            <w:tcW w:w="1361" w:type="dxa"/>
            <w:vAlign w:val="center"/>
          </w:tcPr>
          <w:p>
            <w:pPr>
              <w:pStyle w:val="11"/>
            </w:pPr>
            <w:r>
              <w:t>603.78</w:t>
            </w:r>
          </w:p>
        </w:tc>
        <w:tc>
          <w:tcPr>
            <w:tcW w:w="1361" w:type="dxa"/>
            <w:vAlign w:val="center"/>
          </w:tcPr>
          <w:p>
            <w:pPr>
              <w:pStyle w:val="11"/>
            </w:pPr>
            <w:r>
              <w:t>750.00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1353.78</w:t>
            </w:r>
          </w:p>
        </w:tc>
        <w:tc>
          <w:tcPr>
            <w:tcW w:w="1361" w:type="dxa"/>
            <w:vAlign w:val="center"/>
          </w:tcPr>
          <w:p>
            <w:pPr>
              <w:pStyle w:val="11"/>
            </w:pPr>
            <w:r>
              <w:t>603.78</w:t>
            </w:r>
          </w:p>
        </w:tc>
        <w:tc>
          <w:tcPr>
            <w:tcW w:w="1361" w:type="dxa"/>
            <w:vAlign w:val="center"/>
          </w:tcPr>
          <w:p>
            <w:pPr>
              <w:pStyle w:val="11"/>
            </w:pPr>
            <w:r>
              <w:t>750.00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603.78</w:t>
            </w:r>
          </w:p>
        </w:tc>
        <w:tc>
          <w:tcPr>
            <w:tcW w:w="1361" w:type="dxa"/>
            <w:vAlign w:val="center"/>
          </w:tcPr>
          <w:p>
            <w:pPr>
              <w:pStyle w:val="11"/>
            </w:pPr>
            <w:r>
              <w:t>603.78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716.00</w:t>
            </w:r>
          </w:p>
        </w:tc>
        <w:tc>
          <w:tcPr>
            <w:tcW w:w="1361" w:type="dxa"/>
            <w:vAlign w:val="center"/>
          </w:tcPr>
          <w:p>
            <w:pPr>
              <w:pStyle w:val="11"/>
            </w:pPr>
          </w:p>
        </w:tc>
        <w:tc>
          <w:tcPr>
            <w:tcW w:w="1361" w:type="dxa"/>
            <w:vAlign w:val="center"/>
          </w:tcPr>
          <w:p>
            <w:pPr>
              <w:pStyle w:val="11"/>
            </w:pPr>
            <w:r>
              <w:t>716.00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140.72</w:t>
            </w:r>
          </w:p>
        </w:tc>
        <w:tc>
          <w:tcPr>
            <w:tcW w:w="1361" w:type="dxa"/>
            <w:vAlign w:val="center"/>
          </w:tcPr>
          <w:p>
            <w:pPr>
              <w:pStyle w:val="11"/>
            </w:pPr>
            <w:r>
              <w:t>140.72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136.79</w:t>
            </w:r>
          </w:p>
        </w:tc>
        <w:tc>
          <w:tcPr>
            <w:tcW w:w="1361" w:type="dxa"/>
            <w:vAlign w:val="center"/>
          </w:tcPr>
          <w:p>
            <w:pPr>
              <w:pStyle w:val="11"/>
            </w:pPr>
            <w:r>
              <w:t>136.79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51.79</w:t>
            </w:r>
          </w:p>
        </w:tc>
        <w:tc>
          <w:tcPr>
            <w:tcW w:w="1361" w:type="dxa"/>
            <w:vAlign w:val="center"/>
          </w:tcPr>
          <w:p>
            <w:pPr>
              <w:pStyle w:val="11"/>
            </w:pPr>
            <w:r>
              <w:t>51.79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3.93</w:t>
            </w:r>
          </w:p>
        </w:tc>
        <w:tc>
          <w:tcPr>
            <w:tcW w:w="1361" w:type="dxa"/>
            <w:vAlign w:val="center"/>
          </w:tcPr>
          <w:p>
            <w:pPr>
              <w:pStyle w:val="11"/>
            </w:pPr>
            <w:r>
              <w:t>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3.93</w:t>
            </w:r>
          </w:p>
        </w:tc>
        <w:tc>
          <w:tcPr>
            <w:tcW w:w="1361" w:type="dxa"/>
            <w:vAlign w:val="center"/>
          </w:tcPr>
          <w:p>
            <w:pPr>
              <w:pStyle w:val="11"/>
            </w:pPr>
            <w:r>
              <w:t>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1584.50</w:t>
            </w:r>
          </w:p>
        </w:tc>
        <w:tc>
          <w:tcPr>
            <w:tcW w:w="3402" w:type="dxa"/>
            <w:vAlign w:val="center"/>
          </w:tcPr>
          <w:p>
            <w:pPr>
              <w:pStyle w:val="12"/>
            </w:pPr>
            <w:r>
              <w:t>一、一般公共服务支出</w:t>
            </w:r>
          </w:p>
        </w:tc>
        <w:tc>
          <w:tcPr>
            <w:tcW w:w="1474" w:type="dxa"/>
            <w:vAlign w:val="center"/>
          </w:tcPr>
          <w:p>
            <w:pPr>
              <w:pStyle w:val="11"/>
            </w:pPr>
            <w:r>
              <w:t>1353.78</w:t>
            </w:r>
          </w:p>
        </w:tc>
        <w:tc>
          <w:tcPr>
            <w:tcW w:w="1474" w:type="dxa"/>
            <w:vAlign w:val="center"/>
          </w:tcPr>
          <w:p>
            <w:pPr>
              <w:pStyle w:val="11"/>
            </w:pPr>
            <w:r>
              <w:t>1353.78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140.72</w:t>
            </w:r>
          </w:p>
        </w:tc>
        <w:tc>
          <w:tcPr>
            <w:tcW w:w="1474" w:type="dxa"/>
            <w:vAlign w:val="center"/>
          </w:tcPr>
          <w:p>
            <w:pPr>
              <w:pStyle w:val="11"/>
            </w:pPr>
            <w:r>
              <w:t>140.72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60.00</w:t>
            </w:r>
          </w:p>
        </w:tc>
        <w:tc>
          <w:tcPr>
            <w:tcW w:w="1474" w:type="dxa"/>
            <w:vAlign w:val="center"/>
          </w:tcPr>
          <w:p>
            <w:pPr>
              <w:pStyle w:val="11"/>
            </w:pPr>
            <w:r>
              <w:t>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300.00</w:t>
            </w:r>
          </w:p>
        </w:tc>
        <w:tc>
          <w:tcPr>
            <w:tcW w:w="1474" w:type="dxa"/>
            <w:vAlign w:val="center"/>
          </w:tcPr>
          <w:p>
            <w:pPr>
              <w:pStyle w:val="11"/>
            </w:pPr>
          </w:p>
        </w:tc>
        <w:tc>
          <w:tcPr>
            <w:tcW w:w="1474" w:type="dxa"/>
            <w:vAlign w:val="center"/>
          </w:tcPr>
          <w:p>
            <w:pPr>
              <w:pStyle w:val="11"/>
            </w:pPr>
            <w:r>
              <w:t>300.00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1584.50</w:t>
            </w:r>
          </w:p>
        </w:tc>
        <w:tc>
          <w:tcPr>
            <w:tcW w:w="3402" w:type="dxa"/>
            <w:vAlign w:val="center"/>
          </w:tcPr>
          <w:p>
            <w:pPr>
              <w:pStyle w:val="14"/>
            </w:pPr>
            <w:r>
              <w:t>本年支出合计</w:t>
            </w:r>
          </w:p>
        </w:tc>
        <w:tc>
          <w:tcPr>
            <w:tcW w:w="1474" w:type="dxa"/>
            <w:vAlign w:val="center"/>
          </w:tcPr>
          <w:p>
            <w:pPr>
              <w:pStyle w:val="15"/>
            </w:pPr>
            <w:r>
              <w:t>1884.50</w:t>
            </w:r>
          </w:p>
        </w:tc>
        <w:tc>
          <w:tcPr>
            <w:tcW w:w="1474" w:type="dxa"/>
            <w:vAlign w:val="center"/>
          </w:tcPr>
          <w:p>
            <w:pPr>
              <w:pStyle w:val="15"/>
            </w:pPr>
            <w:r>
              <w:t>1584.50</w:t>
            </w:r>
          </w:p>
        </w:tc>
        <w:tc>
          <w:tcPr>
            <w:tcW w:w="1474" w:type="dxa"/>
            <w:vAlign w:val="center"/>
          </w:tcPr>
          <w:p>
            <w:pPr>
              <w:pStyle w:val="15"/>
            </w:pPr>
            <w:r>
              <w:t>300.00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1884.50</w:t>
            </w:r>
          </w:p>
        </w:tc>
        <w:tc>
          <w:tcPr>
            <w:tcW w:w="3402" w:type="dxa"/>
            <w:vAlign w:val="center"/>
          </w:tcPr>
          <w:p>
            <w:pPr>
              <w:pStyle w:val="14"/>
            </w:pPr>
            <w:r>
              <w:t>支出总计</w:t>
            </w:r>
          </w:p>
        </w:tc>
        <w:tc>
          <w:tcPr>
            <w:tcW w:w="1474" w:type="dxa"/>
            <w:vAlign w:val="center"/>
          </w:tcPr>
          <w:p>
            <w:pPr>
              <w:pStyle w:val="15"/>
            </w:pPr>
            <w:r>
              <w:t>1884.50</w:t>
            </w:r>
          </w:p>
        </w:tc>
        <w:tc>
          <w:tcPr>
            <w:tcW w:w="1474" w:type="dxa"/>
            <w:vAlign w:val="center"/>
          </w:tcPr>
          <w:p>
            <w:pPr>
              <w:pStyle w:val="15"/>
            </w:pPr>
            <w:r>
              <w:t>1584.50</w:t>
            </w:r>
          </w:p>
        </w:tc>
        <w:tc>
          <w:tcPr>
            <w:tcW w:w="1474" w:type="dxa"/>
            <w:vAlign w:val="center"/>
          </w:tcPr>
          <w:p>
            <w:pPr>
              <w:pStyle w:val="15"/>
            </w:pPr>
            <w:r>
              <w:t>300.00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1584.50</w:t>
            </w:r>
          </w:p>
        </w:tc>
        <w:tc>
          <w:tcPr>
            <w:tcW w:w="2551" w:type="dxa"/>
            <w:vAlign w:val="center"/>
          </w:tcPr>
          <w:p>
            <w:pPr>
              <w:pStyle w:val="15"/>
            </w:pPr>
            <w:r>
              <w:t>834.50</w:t>
            </w:r>
          </w:p>
        </w:tc>
        <w:tc>
          <w:tcPr>
            <w:tcW w:w="2551" w:type="dxa"/>
            <w:vAlign w:val="center"/>
          </w:tcPr>
          <w:p>
            <w:pPr>
              <w:pStyle w:val="15"/>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1353.78</w:t>
            </w:r>
          </w:p>
        </w:tc>
        <w:tc>
          <w:tcPr>
            <w:tcW w:w="2551" w:type="dxa"/>
            <w:vAlign w:val="center"/>
          </w:tcPr>
          <w:p>
            <w:pPr>
              <w:pStyle w:val="11"/>
            </w:pPr>
            <w:r>
              <w:t>603.78</w:t>
            </w:r>
          </w:p>
        </w:tc>
        <w:tc>
          <w:tcPr>
            <w:tcW w:w="2551" w:type="dxa"/>
            <w:vAlign w:val="center"/>
          </w:tcPr>
          <w:p>
            <w:pPr>
              <w:pStyle w:val="11"/>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1353.78</w:t>
            </w:r>
          </w:p>
        </w:tc>
        <w:tc>
          <w:tcPr>
            <w:tcW w:w="2551" w:type="dxa"/>
            <w:vAlign w:val="center"/>
          </w:tcPr>
          <w:p>
            <w:pPr>
              <w:pStyle w:val="11"/>
            </w:pPr>
            <w:r>
              <w:t>603.78</w:t>
            </w:r>
          </w:p>
        </w:tc>
        <w:tc>
          <w:tcPr>
            <w:tcW w:w="2551" w:type="dxa"/>
            <w:vAlign w:val="center"/>
          </w:tcPr>
          <w:p>
            <w:pPr>
              <w:pStyle w:val="11"/>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603.78</w:t>
            </w:r>
          </w:p>
        </w:tc>
        <w:tc>
          <w:tcPr>
            <w:tcW w:w="2551" w:type="dxa"/>
            <w:vAlign w:val="center"/>
          </w:tcPr>
          <w:p>
            <w:pPr>
              <w:pStyle w:val="11"/>
            </w:pPr>
            <w:r>
              <w:t>603.78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716.00</w:t>
            </w:r>
          </w:p>
        </w:tc>
        <w:tc>
          <w:tcPr>
            <w:tcW w:w="2551" w:type="dxa"/>
            <w:vAlign w:val="center"/>
          </w:tcPr>
          <w:p>
            <w:pPr>
              <w:pStyle w:val="11"/>
            </w:pPr>
          </w:p>
        </w:tc>
        <w:tc>
          <w:tcPr>
            <w:tcW w:w="2551" w:type="dxa"/>
            <w:vAlign w:val="center"/>
          </w:tcPr>
          <w:p>
            <w:pPr>
              <w:pStyle w:val="11"/>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140.72</w:t>
            </w:r>
          </w:p>
        </w:tc>
        <w:tc>
          <w:tcPr>
            <w:tcW w:w="2551" w:type="dxa"/>
            <w:vAlign w:val="center"/>
          </w:tcPr>
          <w:p>
            <w:pPr>
              <w:pStyle w:val="11"/>
            </w:pPr>
            <w:r>
              <w:t>140.72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136.79</w:t>
            </w:r>
          </w:p>
        </w:tc>
        <w:tc>
          <w:tcPr>
            <w:tcW w:w="2551" w:type="dxa"/>
            <w:vAlign w:val="center"/>
          </w:tcPr>
          <w:p>
            <w:pPr>
              <w:pStyle w:val="11"/>
            </w:pPr>
            <w:r>
              <w:t>136.79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51.79</w:t>
            </w:r>
          </w:p>
        </w:tc>
        <w:tc>
          <w:tcPr>
            <w:tcW w:w="2551" w:type="dxa"/>
            <w:vAlign w:val="center"/>
          </w:tcPr>
          <w:p>
            <w:pPr>
              <w:pStyle w:val="11"/>
            </w:pPr>
            <w:r>
              <w:t>51.79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3.93</w:t>
            </w:r>
          </w:p>
        </w:tc>
        <w:tc>
          <w:tcPr>
            <w:tcW w:w="2551" w:type="dxa"/>
            <w:vAlign w:val="center"/>
          </w:tcPr>
          <w:p>
            <w:pPr>
              <w:pStyle w:val="11"/>
            </w:pPr>
            <w:r>
              <w:t>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3.93</w:t>
            </w:r>
          </w:p>
        </w:tc>
        <w:tc>
          <w:tcPr>
            <w:tcW w:w="2551" w:type="dxa"/>
            <w:vAlign w:val="center"/>
          </w:tcPr>
          <w:p>
            <w:pPr>
              <w:pStyle w:val="11"/>
            </w:pPr>
            <w:r>
              <w:t>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834.50</w:t>
            </w:r>
          </w:p>
        </w:tc>
        <w:tc>
          <w:tcPr>
            <w:tcW w:w="2551" w:type="dxa"/>
            <w:vAlign w:val="center"/>
          </w:tcPr>
          <w:p>
            <w:pPr>
              <w:pStyle w:val="15"/>
            </w:pPr>
            <w:r>
              <w:t>743.28</w:t>
            </w:r>
          </w:p>
        </w:tc>
        <w:tc>
          <w:tcPr>
            <w:tcW w:w="2551" w:type="dxa"/>
            <w:vAlign w:val="center"/>
          </w:tcPr>
          <w:p>
            <w:pPr>
              <w:pStyle w:val="15"/>
            </w:pPr>
            <w:r>
              <w:t>91.22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691.49</w:t>
            </w:r>
          </w:p>
        </w:tc>
        <w:tc>
          <w:tcPr>
            <w:tcW w:w="2551" w:type="dxa"/>
            <w:vAlign w:val="center"/>
          </w:tcPr>
          <w:p>
            <w:pPr>
              <w:pStyle w:val="11"/>
            </w:pPr>
            <w:r>
              <w:t>691.49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234.74</w:t>
            </w:r>
          </w:p>
        </w:tc>
        <w:tc>
          <w:tcPr>
            <w:tcW w:w="2551" w:type="dxa"/>
            <w:vAlign w:val="center"/>
          </w:tcPr>
          <w:p>
            <w:pPr>
              <w:pStyle w:val="11"/>
            </w:pPr>
            <w:r>
              <w:t>234.74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68.39</w:t>
            </w:r>
          </w:p>
        </w:tc>
        <w:tc>
          <w:tcPr>
            <w:tcW w:w="2551" w:type="dxa"/>
            <w:vAlign w:val="center"/>
          </w:tcPr>
          <w:p>
            <w:pPr>
              <w:pStyle w:val="11"/>
            </w:pPr>
            <w:r>
              <w:t>68.39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48.46</w:t>
            </w:r>
          </w:p>
        </w:tc>
        <w:tc>
          <w:tcPr>
            <w:tcW w:w="2551" w:type="dxa"/>
            <w:vAlign w:val="center"/>
          </w:tcPr>
          <w:p>
            <w:pPr>
              <w:pStyle w:val="11"/>
            </w:pPr>
            <w:r>
              <w:t>48.46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102.67</w:t>
            </w:r>
          </w:p>
        </w:tc>
        <w:tc>
          <w:tcPr>
            <w:tcW w:w="2551" w:type="dxa"/>
            <w:vAlign w:val="center"/>
          </w:tcPr>
          <w:p>
            <w:pPr>
              <w:pStyle w:val="11"/>
            </w:pPr>
            <w:r>
              <w:t>102.67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3.93</w:t>
            </w:r>
          </w:p>
        </w:tc>
        <w:tc>
          <w:tcPr>
            <w:tcW w:w="2551" w:type="dxa"/>
            <w:vAlign w:val="center"/>
          </w:tcPr>
          <w:p>
            <w:pPr>
              <w:pStyle w:val="11"/>
            </w:pPr>
            <w:r>
              <w:t>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58.30</w:t>
            </w:r>
          </w:p>
        </w:tc>
        <w:tc>
          <w:tcPr>
            <w:tcW w:w="2551" w:type="dxa"/>
            <w:vAlign w:val="center"/>
          </w:tcPr>
          <w:p>
            <w:pPr>
              <w:pStyle w:val="11"/>
            </w:pPr>
            <w:r>
              <w:t>58.30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91.22</w:t>
            </w:r>
          </w:p>
        </w:tc>
        <w:tc>
          <w:tcPr>
            <w:tcW w:w="2551" w:type="dxa"/>
            <w:vAlign w:val="center"/>
          </w:tcPr>
          <w:p>
            <w:pPr>
              <w:pStyle w:val="11"/>
            </w:pPr>
          </w:p>
        </w:tc>
        <w:tc>
          <w:tcPr>
            <w:tcW w:w="2551" w:type="dxa"/>
            <w:vAlign w:val="center"/>
          </w:tcPr>
          <w:p>
            <w:pPr>
              <w:pStyle w:val="11"/>
            </w:pPr>
            <w:r>
              <w:t>91.22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3.83</w:t>
            </w:r>
          </w:p>
        </w:tc>
        <w:tc>
          <w:tcPr>
            <w:tcW w:w="2551" w:type="dxa"/>
            <w:vAlign w:val="center"/>
          </w:tcPr>
          <w:p>
            <w:pPr>
              <w:pStyle w:val="11"/>
            </w:pPr>
          </w:p>
        </w:tc>
        <w:tc>
          <w:tcPr>
            <w:tcW w:w="2551" w:type="dxa"/>
            <w:vAlign w:val="center"/>
          </w:tcPr>
          <w:p>
            <w:pPr>
              <w:pStyle w:val="11"/>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16.40</w:t>
            </w:r>
          </w:p>
        </w:tc>
        <w:tc>
          <w:tcPr>
            <w:tcW w:w="2551" w:type="dxa"/>
            <w:vAlign w:val="center"/>
          </w:tcPr>
          <w:p>
            <w:pPr>
              <w:pStyle w:val="11"/>
            </w:pPr>
          </w:p>
        </w:tc>
        <w:tc>
          <w:tcPr>
            <w:tcW w:w="2551" w:type="dxa"/>
            <w:vAlign w:val="center"/>
          </w:tcPr>
          <w:p>
            <w:pPr>
              <w:pStyle w:val="11"/>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3.23</w:t>
            </w:r>
          </w:p>
        </w:tc>
        <w:tc>
          <w:tcPr>
            <w:tcW w:w="2551" w:type="dxa"/>
            <w:vAlign w:val="center"/>
          </w:tcPr>
          <w:p>
            <w:pPr>
              <w:pStyle w:val="11"/>
            </w:pPr>
          </w:p>
        </w:tc>
        <w:tc>
          <w:tcPr>
            <w:tcW w:w="2551" w:type="dxa"/>
            <w:vAlign w:val="center"/>
          </w:tcPr>
          <w:p>
            <w:pPr>
              <w:pStyle w:val="11"/>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2.04</w:t>
            </w:r>
          </w:p>
        </w:tc>
        <w:tc>
          <w:tcPr>
            <w:tcW w:w="2551" w:type="dxa"/>
            <w:vAlign w:val="center"/>
          </w:tcPr>
          <w:p>
            <w:pPr>
              <w:pStyle w:val="11"/>
            </w:pPr>
          </w:p>
        </w:tc>
        <w:tc>
          <w:tcPr>
            <w:tcW w:w="2551" w:type="dxa"/>
            <w:vAlign w:val="center"/>
          </w:tcPr>
          <w:p>
            <w:pPr>
              <w:pStyle w:val="11"/>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13.20</w:t>
            </w:r>
          </w:p>
        </w:tc>
        <w:tc>
          <w:tcPr>
            <w:tcW w:w="2551" w:type="dxa"/>
            <w:vAlign w:val="center"/>
          </w:tcPr>
          <w:p>
            <w:pPr>
              <w:pStyle w:val="11"/>
            </w:pPr>
          </w:p>
        </w:tc>
        <w:tc>
          <w:tcPr>
            <w:tcW w:w="2551" w:type="dxa"/>
            <w:vAlign w:val="center"/>
          </w:tcPr>
          <w:p>
            <w:pPr>
              <w:pStyle w:val="11"/>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16.42</w:t>
            </w:r>
          </w:p>
        </w:tc>
        <w:tc>
          <w:tcPr>
            <w:tcW w:w="2551" w:type="dxa"/>
            <w:vAlign w:val="center"/>
          </w:tcPr>
          <w:p>
            <w:pPr>
              <w:pStyle w:val="11"/>
            </w:pPr>
          </w:p>
        </w:tc>
        <w:tc>
          <w:tcPr>
            <w:tcW w:w="2551" w:type="dxa"/>
            <w:vAlign w:val="center"/>
          </w:tcPr>
          <w:p>
            <w:pPr>
              <w:pStyle w:val="11"/>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51.79</w:t>
            </w:r>
          </w:p>
        </w:tc>
        <w:tc>
          <w:tcPr>
            <w:tcW w:w="2551" w:type="dxa"/>
            <w:vAlign w:val="center"/>
          </w:tcPr>
          <w:p>
            <w:pPr>
              <w:pStyle w:val="11"/>
            </w:pPr>
            <w:r>
              <w:t>51.79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51.79</w:t>
            </w:r>
          </w:p>
        </w:tc>
        <w:tc>
          <w:tcPr>
            <w:tcW w:w="2551" w:type="dxa"/>
            <w:vAlign w:val="center"/>
          </w:tcPr>
          <w:p>
            <w:pPr>
              <w:pStyle w:val="11"/>
            </w:pPr>
            <w:r>
              <w:t>51.79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318001新乐市财政局本级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2.04</w:t>
            </w:r>
          </w:p>
        </w:tc>
        <w:tc>
          <w:tcPr>
            <w:tcW w:w="2381" w:type="dxa"/>
            <w:vAlign w:val="center"/>
          </w:tcPr>
          <w:p>
            <w:pPr>
              <w:pStyle w:val="15"/>
            </w:pPr>
            <w:r>
              <w:t>2.04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2.04</w:t>
            </w:r>
          </w:p>
        </w:tc>
        <w:tc>
          <w:tcPr>
            <w:tcW w:w="2381" w:type="dxa"/>
            <w:vAlign w:val="center"/>
          </w:tcPr>
          <w:p>
            <w:pPr>
              <w:pStyle w:val="11"/>
            </w:pPr>
            <w:r>
              <w:t>2.04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2.04</w:t>
            </w:r>
          </w:p>
        </w:tc>
        <w:tc>
          <w:tcPr>
            <w:tcW w:w="2381" w:type="dxa"/>
            <w:vAlign w:val="center"/>
          </w:tcPr>
          <w:p>
            <w:pPr>
              <w:pStyle w:val="11"/>
            </w:pPr>
            <w:r>
              <w:t>2.04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定财税发展战略、规划和改革方案并组织实施；分析预测宏观形势，参与制定各项宏观经济政策，提出运用财税政策实施宏观调控和综合平衡社会财力的建议；拟定市与乡（镇、街道），国家与企业的分配政策，完善鼓励公益事业发展的财税政策。</w:t>
      </w:r>
    </w:p>
    <w:p>
      <w:pPr>
        <w:pStyle w:val="17"/>
      </w:pPr>
      <w:r>
        <w:t>（二）起草财政、预算、财务、会计管理的地方性法规草案，制定有关规章制度并监督实施。</w:t>
      </w:r>
    </w:p>
    <w:p>
      <w:pPr>
        <w:pStyle w:val="17"/>
      </w:pPr>
      <w:r>
        <w:t>（三）承担财政预算管理的责任。负责编制年度市本级预决算草案并组织执行，汇编全市年度预决算草案；受市政府委托，向市人民代表大会报告全市和市本级财政预算及其执行情况，向市人大常委会报告决算；组织制定经费开支标准、定额，负责审核批复部门（单位）的年度预决算。</w:t>
      </w:r>
    </w:p>
    <w:p>
      <w:pPr>
        <w:pStyle w:val="17"/>
      </w:pPr>
      <w:r>
        <w:t>（四）承担财政体制管理的责任。拟订县乡（镇、街道）财政管理体制，完善地方转移支付制度。</w:t>
      </w:r>
    </w:p>
    <w:p>
      <w:pPr>
        <w:pStyle w:val="17"/>
      </w:pPr>
      <w:r>
        <w:t>（五）承担财政国库管理的责任。组织制定国库管理制度、国库集中收付制度并组织实施，指导和监督市本级国库业务，按规定开展国库现金管理。</w:t>
      </w:r>
    </w:p>
    <w:p>
      <w:pPr>
        <w:pStyle w:val="17"/>
      </w:pPr>
      <w:r>
        <w:t>（六）负责政府非税收入和政府性基金管理，按规定管理行政事业性收费；管理财政票据；贯彻实施彩票管理政策，参与制定彩票管理有关办法，参与管理彩票市场，按规定管理彩票资金。</w:t>
      </w:r>
    </w:p>
    <w:p>
      <w:pPr>
        <w:pStyle w:val="17"/>
      </w:pPr>
      <w:r>
        <w:t>（七）负责组织起草地方性税收法规草案、实施细则和税收政策调整方案；提出上级授权税目税率调整、减免和地方税收政策等重大事项的建议，对地方承担出口退税事务实施监管，监督检查税收政策的执行情况。</w:t>
      </w:r>
    </w:p>
    <w:p>
      <w:pPr>
        <w:pStyle w:val="17"/>
      </w:pPr>
      <w:r>
        <w:t>（八）负责制定行政事业单位国有资产管理规章制度，对全市行政事业单位国有资产进行监督管理。</w:t>
      </w:r>
    </w:p>
    <w:p>
      <w:pPr>
        <w:pStyle w:val="17"/>
      </w:pPr>
      <w:r>
        <w:t>（九）负责办理和监督全市财政经济发展支出、市政府投资项目的财政拨款，参与拟定全市建设投资的有关方案，制定基本建设财务制度；负责有关政策性补贴和专项储备资金财政管理；承担财政投资评审管理工作。</w:t>
      </w:r>
    </w:p>
    <w:p>
      <w:pPr>
        <w:pStyle w:val="17"/>
      </w:pPr>
      <w:r>
        <w:t>（十）会同有关部门管理和监督全市财政社会保障、就业及医疗卫生支出，会同有关部门拟订社会保障资金（基金）的财务管理制度，编制社会保障预决算草案。</w:t>
      </w:r>
    </w:p>
    <w:p>
      <w:pPr>
        <w:pStyle w:val="17"/>
      </w:pPr>
      <w:r>
        <w:t>（十一）负责管理市政府的国内外债权、债务。执行国家外债管理政策，拟订具体实施办法；根据有关规定，做好外国政府贷款、国际金融组织贷款的对外谈判与磋商工作；负责财政预算内行政、事业单位和社会团体的非贸易外汇管理；受市政府委托会同有关部门处理涉及财政、债务等方面的涉外事务。</w:t>
      </w:r>
    </w:p>
    <w:p>
      <w:pPr>
        <w:pStyle w:val="17"/>
      </w:pPr>
      <w:r>
        <w:t>（十二）拟订政府采购相关制度和办法，负责政府采购工作的监督管理，承担全市行政、事业单位公务车辆编制管理工作。</w:t>
      </w:r>
    </w:p>
    <w:p>
      <w:pPr>
        <w:pStyle w:val="17"/>
      </w:pPr>
      <w:r>
        <w:t>（十三）负责管理全市会计工作，监督和规范会计行为，组织实施国家统一的会计制度。</w:t>
      </w:r>
    </w:p>
    <w:p>
      <w:pPr>
        <w:pStyle w:val="17"/>
      </w:pPr>
      <w:r>
        <w:t>（十四）监督检查财税法规、政策的执行情况，依法查处违法违规行为；反映财政收支管理中的重大问题，提出加强财政管理的建议。</w:t>
      </w:r>
    </w:p>
    <w:p>
      <w:pPr>
        <w:pStyle w:val="17"/>
      </w:pPr>
      <w:r>
        <w:t>（十五）负责组织、协调国税、地税等部门，加强税收综合治理。</w:t>
      </w:r>
    </w:p>
    <w:p>
      <w:pPr>
        <w:pStyle w:val="17"/>
      </w:pPr>
      <w:r>
        <w:t>（十六）承办市政府交办的其他事项。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1884.50万元，其中：一般公共预算收入1584.50万元，基金预算收入0.00万元，国有资本经营预算收入0.00万元，财政专户核拨收入0.00万元，单位资金收入0.00万元，上年结转结余300.00万元。</w:t>
      </w:r>
    </w:p>
    <w:p>
      <w:pPr>
        <w:pStyle w:val="18"/>
      </w:pPr>
      <w:r>
        <w:t>2、支出说明</w:t>
      </w:r>
    </w:p>
    <w:p>
      <w:pPr>
        <w:pStyle w:val="18"/>
      </w:pPr>
      <w:r>
        <w:t>收支预算总表支出栏、基本支出表、项目支出表按经济分类和支出功能分类科目编制，反映新乐市财政局本级年度单位预算中支出预算的总体情况。2026年支出预算1884.50万元，其中基本支出834.50万元，包括人员经费743.28万元和日常公用经费91.22万元；项目支出1050.00万元，主要为2026年本级支出-信息化建设7万元，2026年本级支出-集中印刷2万元，2026年本级支出-机关运行25万元，2026年本级支出-财政委托业务费716万元，新乐市存量政府投资项目300万元。；预计下年使用的单位资金结余0.00万元。委托业务费共计安排716.00万元，主要用于因技术原因确需对外委托的辅助性工作和确有必要对外委托开展咨询、评审、规划等工作。</w:t>
      </w:r>
    </w:p>
    <w:p>
      <w:pPr>
        <w:pStyle w:val="18"/>
      </w:pPr>
      <w:r>
        <w:t>3、比上年增减情况</w:t>
      </w:r>
    </w:p>
    <w:p>
      <w:pPr>
        <w:pStyle w:val="18"/>
      </w:pPr>
      <w:r>
        <w:t>2026年预算收支安排1884.50万元，较2025年预算增加52.38万元，其中：基本支出增加130.38万元，主要为人员调整导致每月工资发放增多。项目支出减少78.00万元，主要为强化预算约束，合理调减项目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2026年，我单位机关运行经费共计安排91.22万元，主要用于日常维修、办公用房水电费、办公用房取暖费、办公用房物业管理费等日常运行支出。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2.04万元，其中因公出国（境）费0.00万元；公务用车购置及运维费2.04万元（其中：公务用车购置费为0.00万元，公务用车运维费2.04万元)；公务接待费0.00万元。与2025年相比减少0.06万元，增减变化的主要原因是厉行节约，严格控制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1、2026年本级支出-财政委托业务费绩效目标表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13018426P005224100025</w:t>
            </w:r>
          </w:p>
        </w:tc>
        <w:tc>
          <w:tcPr>
            <w:tcW w:w="2835" w:type="dxa"/>
            <w:vAlign w:val="center"/>
          </w:tcPr>
          <w:p>
            <w:pPr>
              <w:pStyle w:val="10"/>
            </w:pPr>
            <w:r>
              <w:t>项目名称</w:t>
            </w:r>
          </w:p>
        </w:tc>
        <w:tc>
          <w:tcPr>
            <w:tcW w:w="6095" w:type="dxa"/>
            <w:gridSpan w:val="3"/>
            <w:vAlign w:val="center"/>
          </w:tcPr>
          <w:p>
            <w:pPr>
              <w:pStyle w:val="12"/>
            </w:pPr>
            <w:r>
              <w:t>2026年本级支出-财政委托业务费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716.00</w:t>
            </w:r>
          </w:p>
        </w:tc>
        <w:tc>
          <w:tcPr>
            <w:tcW w:w="2835" w:type="dxa"/>
            <w:vAlign w:val="center"/>
          </w:tcPr>
          <w:p>
            <w:pPr>
              <w:pStyle w:val="10"/>
            </w:pPr>
            <w:r>
              <w:t>其中：财政    资金</w:t>
            </w:r>
          </w:p>
        </w:tc>
        <w:tc>
          <w:tcPr>
            <w:tcW w:w="2551" w:type="dxa"/>
            <w:vAlign w:val="center"/>
          </w:tcPr>
          <w:p>
            <w:pPr>
              <w:pStyle w:val="12"/>
            </w:pPr>
            <w:r>
              <w:t>716.00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保证全市评审项目支出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≥95 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 百分比</w:t>
            </w:r>
          </w:p>
        </w:tc>
        <w:tc>
          <w:tcPr>
            <w:tcW w:w="1276" w:type="dxa"/>
            <w:vAlign w:val="center"/>
          </w:tcPr>
          <w:p>
            <w:pPr>
              <w:pStyle w:val="12"/>
            </w:pPr>
            <w:r>
              <w:t>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2、2026年本级支出-机关运行绩效目标表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13018426P00522310184Y</w:t>
            </w:r>
          </w:p>
        </w:tc>
        <w:tc>
          <w:tcPr>
            <w:tcW w:w="2835" w:type="dxa"/>
            <w:vAlign w:val="center"/>
          </w:tcPr>
          <w:p>
            <w:pPr>
              <w:pStyle w:val="10"/>
            </w:pPr>
            <w:r>
              <w:t>项目名称</w:t>
            </w:r>
          </w:p>
        </w:tc>
        <w:tc>
          <w:tcPr>
            <w:tcW w:w="6095" w:type="dxa"/>
            <w:gridSpan w:val="3"/>
            <w:vAlign w:val="center"/>
          </w:tcPr>
          <w:p>
            <w:pPr>
              <w:pStyle w:val="12"/>
            </w:pPr>
            <w:r>
              <w:t>2026年本级支出-机关运行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综合事务完成率</w:t>
            </w:r>
          </w:p>
        </w:tc>
        <w:tc>
          <w:tcPr>
            <w:tcW w:w="5386" w:type="dxa"/>
            <w:vAlign w:val="center"/>
          </w:tcPr>
          <w:p>
            <w:pPr>
              <w:pStyle w:val="12"/>
            </w:pPr>
            <w:r>
              <w:t>综合事务完成率</w:t>
            </w:r>
          </w:p>
        </w:tc>
        <w:tc>
          <w:tcPr>
            <w:tcW w:w="2268" w:type="dxa"/>
            <w:vAlign w:val="center"/>
          </w:tcPr>
          <w:p>
            <w:pPr>
              <w:pStyle w:val="12"/>
            </w:pPr>
            <w:r>
              <w:t>≥95百分比</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≥95百分比</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≥95百分比</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≤10万元</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≥95百分比</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提升服务能力</w:t>
            </w:r>
          </w:p>
        </w:tc>
        <w:tc>
          <w:tcPr>
            <w:tcW w:w="5386" w:type="dxa"/>
            <w:vAlign w:val="center"/>
          </w:tcPr>
          <w:p>
            <w:pPr>
              <w:pStyle w:val="12"/>
            </w:pPr>
            <w:r>
              <w:t>提升服务能力</w:t>
            </w:r>
          </w:p>
        </w:tc>
        <w:tc>
          <w:tcPr>
            <w:tcW w:w="2268" w:type="dxa"/>
            <w:vAlign w:val="center"/>
          </w:tcPr>
          <w:p>
            <w:pPr>
              <w:pStyle w:val="12"/>
            </w:pPr>
            <w:r>
              <w:t>≥95百分比</w:t>
            </w:r>
          </w:p>
        </w:tc>
        <w:tc>
          <w:tcPr>
            <w:tcW w:w="1276" w:type="dxa"/>
            <w:vAlign w:val="center"/>
          </w:tcPr>
          <w:p>
            <w:pPr>
              <w:pStyle w:val="12"/>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 xml:space="preserve"> 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3、2026年本级支出-集中印刷绩效目标表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13018426P00522310183B</w:t>
            </w:r>
          </w:p>
        </w:tc>
        <w:tc>
          <w:tcPr>
            <w:tcW w:w="2835" w:type="dxa"/>
            <w:vAlign w:val="center"/>
          </w:tcPr>
          <w:p>
            <w:pPr>
              <w:pStyle w:val="10"/>
            </w:pPr>
            <w:r>
              <w:t>项目名称</w:t>
            </w:r>
          </w:p>
        </w:tc>
        <w:tc>
          <w:tcPr>
            <w:tcW w:w="6095" w:type="dxa"/>
            <w:gridSpan w:val="3"/>
            <w:vAlign w:val="center"/>
          </w:tcPr>
          <w:p>
            <w:pPr>
              <w:pStyle w:val="12"/>
            </w:pPr>
            <w:r>
              <w:t>2026年本级支出-集中印刷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集中印刷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1.保证全市预决算报告及部分保密文件的印刷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资金使用合规率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项目资金总额</w:t>
            </w:r>
          </w:p>
        </w:tc>
        <w:tc>
          <w:tcPr>
            <w:tcW w:w="5386" w:type="dxa"/>
            <w:vAlign w:val="center"/>
          </w:tcPr>
          <w:p>
            <w:pPr>
              <w:pStyle w:val="12"/>
            </w:pPr>
            <w:r>
              <w:t>项目资金总额</w:t>
            </w:r>
          </w:p>
        </w:tc>
        <w:tc>
          <w:tcPr>
            <w:tcW w:w="2268" w:type="dxa"/>
            <w:vAlign w:val="center"/>
          </w:tcPr>
          <w:p>
            <w:pPr>
              <w:pStyle w:val="12"/>
            </w:pPr>
            <w:r>
              <w:t>2万元</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4、2026年本级支出-信息化建设绩效目标表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13018426P005223100104</w:t>
            </w:r>
          </w:p>
        </w:tc>
        <w:tc>
          <w:tcPr>
            <w:tcW w:w="2835" w:type="dxa"/>
            <w:vAlign w:val="center"/>
          </w:tcPr>
          <w:p>
            <w:pPr>
              <w:pStyle w:val="10"/>
            </w:pPr>
            <w:r>
              <w:t>项目名称</w:t>
            </w:r>
          </w:p>
        </w:tc>
        <w:tc>
          <w:tcPr>
            <w:tcW w:w="6095" w:type="dxa"/>
            <w:gridSpan w:val="3"/>
            <w:vAlign w:val="center"/>
          </w:tcPr>
          <w:p>
            <w:pPr>
              <w:pStyle w:val="12"/>
            </w:pPr>
            <w:r>
              <w:t>2026年本级支出-信息化建设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1.保证全市一体化正常运转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资金使用合规率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项目资金总额</w:t>
            </w:r>
          </w:p>
        </w:tc>
        <w:tc>
          <w:tcPr>
            <w:tcW w:w="5386" w:type="dxa"/>
            <w:vAlign w:val="center"/>
          </w:tcPr>
          <w:p>
            <w:pPr>
              <w:pStyle w:val="12"/>
            </w:pPr>
            <w:r>
              <w:t>项目资金总额</w:t>
            </w:r>
          </w:p>
        </w:tc>
        <w:tc>
          <w:tcPr>
            <w:tcW w:w="2268" w:type="dxa"/>
            <w:vAlign w:val="center"/>
          </w:tcPr>
          <w:p>
            <w:pPr>
              <w:pStyle w:val="12"/>
            </w:pPr>
            <w:r>
              <w:t>7万元</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≥95百分比</w:t>
            </w:r>
          </w:p>
        </w:tc>
        <w:tc>
          <w:tcPr>
            <w:tcW w:w="1276" w:type="dxa"/>
            <w:vAlign w:val="center"/>
          </w:tcPr>
          <w:p>
            <w:pPr>
              <w:pStyle w:val="12"/>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5、新乐市存量政府投资项目绩效目标表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130184257PIUXE0K94UBZ</w:t>
            </w:r>
          </w:p>
        </w:tc>
        <w:tc>
          <w:tcPr>
            <w:tcW w:w="2835" w:type="dxa"/>
            <w:vAlign w:val="center"/>
          </w:tcPr>
          <w:p>
            <w:pPr>
              <w:pStyle w:val="10"/>
            </w:pPr>
            <w:r>
              <w:t>项目名称</w:t>
            </w:r>
          </w:p>
        </w:tc>
        <w:tc>
          <w:tcPr>
            <w:tcW w:w="6095" w:type="dxa"/>
            <w:gridSpan w:val="3"/>
            <w:vAlign w:val="center"/>
          </w:tcPr>
          <w:p>
            <w:pPr>
              <w:pStyle w:val="12"/>
            </w:pPr>
            <w:r>
              <w:t>新乐市存量政府投资项目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完成6300万元债券资金拨付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1.完成6300万元债券资金拨付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新改建农村公路里程</w:t>
            </w:r>
          </w:p>
        </w:tc>
        <w:tc>
          <w:tcPr>
            <w:tcW w:w="5386" w:type="dxa"/>
            <w:vAlign w:val="center"/>
          </w:tcPr>
          <w:p>
            <w:pPr>
              <w:pStyle w:val="12"/>
            </w:pPr>
            <w:r>
              <w:t>新改建农村公路里程</w:t>
            </w:r>
          </w:p>
        </w:tc>
        <w:tc>
          <w:tcPr>
            <w:tcW w:w="2268" w:type="dxa"/>
            <w:vAlign w:val="center"/>
          </w:tcPr>
          <w:p>
            <w:pPr>
              <w:pStyle w:val="12"/>
            </w:pPr>
            <w:r>
              <w:t>≥1公里</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实现道路连接村个数</w:t>
            </w:r>
          </w:p>
        </w:tc>
        <w:tc>
          <w:tcPr>
            <w:tcW w:w="5386" w:type="dxa"/>
            <w:vAlign w:val="center"/>
          </w:tcPr>
          <w:p>
            <w:pPr>
              <w:pStyle w:val="12"/>
            </w:pPr>
            <w:r>
              <w:t>实现道路连接村个数</w:t>
            </w:r>
          </w:p>
        </w:tc>
        <w:tc>
          <w:tcPr>
            <w:tcW w:w="2268" w:type="dxa"/>
            <w:vAlign w:val="center"/>
          </w:tcPr>
          <w:p>
            <w:pPr>
              <w:pStyle w:val="12"/>
            </w:pPr>
            <w:r>
              <w:t>≥1个</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新建改建公路里程</w:t>
            </w:r>
          </w:p>
        </w:tc>
        <w:tc>
          <w:tcPr>
            <w:tcW w:w="5386" w:type="dxa"/>
            <w:vAlign w:val="center"/>
          </w:tcPr>
          <w:p>
            <w:pPr>
              <w:pStyle w:val="12"/>
            </w:pPr>
            <w:r>
              <w:t>新建改建公路里程</w:t>
            </w:r>
          </w:p>
        </w:tc>
        <w:tc>
          <w:tcPr>
            <w:tcW w:w="2268" w:type="dxa"/>
            <w:vAlign w:val="center"/>
          </w:tcPr>
          <w:p>
            <w:pPr>
              <w:pStyle w:val="12"/>
            </w:pPr>
            <w:r>
              <w:t>≥1公里</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新增硬化路里程</w:t>
            </w:r>
          </w:p>
        </w:tc>
        <w:tc>
          <w:tcPr>
            <w:tcW w:w="5386" w:type="dxa"/>
            <w:vAlign w:val="center"/>
          </w:tcPr>
          <w:p>
            <w:pPr>
              <w:pStyle w:val="12"/>
            </w:pPr>
            <w:r>
              <w:t>新增硬化路里程</w:t>
            </w:r>
          </w:p>
        </w:tc>
        <w:tc>
          <w:tcPr>
            <w:tcW w:w="2268" w:type="dxa"/>
            <w:vAlign w:val="center"/>
          </w:tcPr>
          <w:p>
            <w:pPr>
              <w:pStyle w:val="12"/>
            </w:pPr>
            <w:r>
              <w:t>≥1公里</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公路危桥处置数量</w:t>
            </w:r>
          </w:p>
        </w:tc>
        <w:tc>
          <w:tcPr>
            <w:tcW w:w="5386" w:type="dxa"/>
            <w:vAlign w:val="center"/>
          </w:tcPr>
          <w:p>
            <w:pPr>
              <w:pStyle w:val="12"/>
            </w:pPr>
            <w:r>
              <w:t>公路危桥处置数量</w:t>
            </w:r>
          </w:p>
        </w:tc>
        <w:tc>
          <w:tcPr>
            <w:tcW w:w="2268" w:type="dxa"/>
            <w:vAlign w:val="center"/>
          </w:tcPr>
          <w:p>
            <w:pPr>
              <w:pStyle w:val="12"/>
            </w:pPr>
            <w:r>
              <w:t>≥1座</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项目工程质量合格率</w:t>
            </w:r>
          </w:p>
        </w:tc>
        <w:tc>
          <w:tcPr>
            <w:tcW w:w="5386" w:type="dxa"/>
            <w:vAlign w:val="center"/>
          </w:tcPr>
          <w:p>
            <w:pPr>
              <w:pStyle w:val="12"/>
            </w:pPr>
            <w:r>
              <w:t>项目工程质量合格率</w:t>
            </w:r>
          </w:p>
        </w:tc>
        <w:tc>
          <w:tcPr>
            <w:tcW w:w="2268" w:type="dxa"/>
            <w:vAlign w:val="center"/>
          </w:tcPr>
          <w:p>
            <w:pPr>
              <w:pStyle w:val="12"/>
            </w:pPr>
            <w:r>
              <w:t>≥1%</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对地区经济增长的贡献程度</w:t>
            </w:r>
          </w:p>
        </w:tc>
        <w:tc>
          <w:tcPr>
            <w:tcW w:w="5386" w:type="dxa"/>
            <w:vAlign w:val="center"/>
          </w:tcPr>
          <w:p>
            <w:pPr>
              <w:pStyle w:val="12"/>
            </w:pPr>
            <w:r>
              <w:t>对地区经济增长的贡献程度</w:t>
            </w:r>
          </w:p>
        </w:tc>
        <w:tc>
          <w:tcPr>
            <w:tcW w:w="2268" w:type="dxa"/>
            <w:vAlign w:val="center"/>
          </w:tcPr>
          <w:p>
            <w:pPr>
              <w:pStyle w:val="12"/>
            </w:pPr>
            <w:r>
              <w:t>≥1明显</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建制村通客车率</w:t>
            </w:r>
          </w:p>
        </w:tc>
        <w:tc>
          <w:tcPr>
            <w:tcW w:w="5386" w:type="dxa"/>
            <w:vAlign w:val="center"/>
          </w:tcPr>
          <w:p>
            <w:pPr>
              <w:pStyle w:val="12"/>
            </w:pPr>
            <w:r>
              <w:t>建制村通客车率</w:t>
            </w:r>
          </w:p>
        </w:tc>
        <w:tc>
          <w:tcPr>
            <w:tcW w:w="2268" w:type="dxa"/>
            <w:vAlign w:val="center"/>
          </w:tcPr>
          <w:p>
            <w:pPr>
              <w:pStyle w:val="12"/>
            </w:pPr>
            <w:r>
              <w:t>≥1%</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具备条件的村通硬化路率</w:t>
            </w:r>
          </w:p>
        </w:tc>
        <w:tc>
          <w:tcPr>
            <w:tcW w:w="5386" w:type="dxa"/>
            <w:vAlign w:val="center"/>
          </w:tcPr>
          <w:p>
            <w:pPr>
              <w:pStyle w:val="12"/>
            </w:pPr>
            <w:r>
              <w:t>具备条件的村通硬化路率</w:t>
            </w:r>
          </w:p>
        </w:tc>
        <w:tc>
          <w:tcPr>
            <w:tcW w:w="2268" w:type="dxa"/>
            <w:vAlign w:val="center"/>
          </w:tcPr>
          <w:p>
            <w:pPr>
              <w:pStyle w:val="12"/>
            </w:pPr>
            <w:r>
              <w:t>≥1%</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≥1小时</w:t>
            </w:r>
          </w:p>
        </w:tc>
        <w:tc>
          <w:tcPr>
            <w:tcW w:w="1276" w:type="dxa"/>
            <w:vAlign w:val="center"/>
          </w:tcPr>
          <w:p>
            <w:pPr>
              <w:pStyle w:val="12"/>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≥100%</w:t>
            </w:r>
          </w:p>
        </w:tc>
        <w:tc>
          <w:tcPr>
            <w:tcW w:w="1276" w:type="dxa"/>
            <w:vAlign w:val="center"/>
          </w:tcPr>
          <w:p>
            <w:pPr>
              <w:pStyle w:val="12"/>
            </w:pPr>
            <w:r>
              <w:t>依据项目建设实际</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318001新乐市财政局本级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716.00</w:t>
            </w:r>
          </w:p>
        </w:tc>
        <w:tc>
          <w:tcPr>
            <w:tcW w:w="964" w:type="dxa"/>
            <w:vAlign w:val="center"/>
          </w:tcPr>
          <w:p>
            <w:pPr>
              <w:pStyle w:val="15"/>
            </w:pPr>
            <w:r>
              <w:t>716.00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新乐市财政局本级小计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716.00</w:t>
            </w:r>
          </w:p>
        </w:tc>
        <w:tc>
          <w:tcPr>
            <w:tcW w:w="964" w:type="dxa"/>
            <w:vAlign w:val="center"/>
          </w:tcPr>
          <w:p>
            <w:pPr>
              <w:pStyle w:val="15"/>
            </w:pPr>
            <w:r>
              <w:t>716.00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2026年本级支出-财政委托业务费</w:t>
            </w:r>
          </w:p>
        </w:tc>
        <w:tc>
          <w:tcPr>
            <w:tcW w:w="964" w:type="dxa"/>
            <w:vAlign w:val="center"/>
          </w:tcPr>
          <w:p>
            <w:pPr>
              <w:pStyle w:val="11"/>
            </w:pPr>
            <w:r>
              <w:t>716.00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716.00</w:t>
            </w:r>
          </w:p>
        </w:tc>
        <w:tc>
          <w:tcPr>
            <w:tcW w:w="964" w:type="dxa"/>
            <w:vAlign w:val="center"/>
          </w:tcPr>
          <w:p>
            <w:pPr>
              <w:pStyle w:val="11"/>
            </w:pPr>
            <w:r>
              <w:t>716.00</w:t>
            </w:r>
          </w:p>
        </w:tc>
        <w:tc>
          <w:tcPr>
            <w:tcW w:w="964" w:type="dxa"/>
            <w:vAlign w:val="center"/>
          </w:tcPr>
          <w:p>
            <w:pPr>
              <w:pStyle w:val="11"/>
            </w:pPr>
            <w:r>
              <w:t>716.00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新乐市财政局本级上年末固定资产金额为0.00万元（详见下表）。本年度拟购置固定资产总额为0.00万元，已按要求列入政府采购预算，详见政府采购预算表。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318001新乐市财政局本级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6F008F"/>
    <w:rsid w:val="2F1758FA"/>
    <w:rsid w:val="69411132"/>
    <w:rsid w:val="7DD37A9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1</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2026-03-04T16:33:00Z</dcterms:created>
  <dc:creator>Administrator</dc:creator>
  <cp:lastModifiedBy>Administrator</cp:lastModifiedBy>
  <dcterms:modified xsi:type="dcterms:W3CDTF">2026-03-04T08:38:30Z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