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318新乐市财政局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5084.50</w:t>
            </w:r>
          </w:p>
        </w:tc>
        <w:tc>
          <w:tcPr>
            <w:tcW w:w="4535" w:type="dxa"/>
            <w:vAlign w:val="center"/>
          </w:tcPr>
          <w:p>
            <w:pPr>
              <w:pStyle w:val="13"/>
            </w:pPr>
            <w:r>
              <w:t>一、一般公共服务支出</w:t>
            </w:r>
          </w:p>
        </w:tc>
        <w:tc>
          <w:tcPr>
            <w:tcW w:w="2126" w:type="dxa"/>
            <w:vAlign w:val="center"/>
          </w:tcPr>
          <w:p>
            <w:pPr>
              <w:pStyle w:val="12"/>
            </w:pPr>
            <w:r>
              <w:t>1353.78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r>
              <w:t>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5084.50</w:t>
            </w:r>
          </w:p>
        </w:tc>
        <w:tc>
          <w:tcPr>
            <w:tcW w:w="4535" w:type="dxa"/>
            <w:vAlign w:val="center"/>
          </w:tcPr>
          <w:p>
            <w:pPr>
              <w:pStyle w:val="15"/>
            </w:pPr>
            <w:r>
              <w:t>本年支出合计</w:t>
            </w:r>
          </w:p>
        </w:tc>
        <w:tc>
          <w:tcPr>
            <w:tcW w:w="2126" w:type="dxa"/>
            <w:vAlign w:val="center"/>
          </w:tcPr>
          <w:p>
            <w:pPr>
              <w:pStyle w:val="16"/>
            </w:pPr>
            <w:r>
              <w:t>5384.50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300.00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5384.50</w:t>
            </w:r>
          </w:p>
        </w:tc>
        <w:tc>
          <w:tcPr>
            <w:tcW w:w="4535" w:type="dxa"/>
            <w:vAlign w:val="center"/>
          </w:tcPr>
          <w:p>
            <w:pPr>
              <w:pStyle w:val="15"/>
            </w:pPr>
            <w:r>
              <w:t>支出总计</w:t>
            </w:r>
          </w:p>
        </w:tc>
        <w:tc>
          <w:tcPr>
            <w:tcW w:w="2126" w:type="dxa"/>
            <w:vAlign w:val="center"/>
          </w:tcPr>
          <w:p>
            <w:pPr>
              <w:pStyle w:val="16"/>
            </w:pPr>
            <w:r>
              <w:t>5384.50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318新乐市财政局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5384.50</w:t>
            </w:r>
          </w:p>
        </w:tc>
        <w:tc>
          <w:tcPr>
            <w:tcW w:w="1134" w:type="dxa"/>
            <w:vAlign w:val="center"/>
          </w:tcPr>
          <w:p>
            <w:pPr>
              <w:pStyle w:val="16"/>
            </w:pPr>
            <w:r>
              <w:t>5084.50</w:t>
            </w:r>
          </w:p>
        </w:tc>
        <w:tc>
          <w:tcPr>
            <w:tcW w:w="1134" w:type="dxa"/>
            <w:vAlign w:val="center"/>
          </w:tcPr>
          <w:p>
            <w:pPr>
              <w:pStyle w:val="16"/>
            </w:pPr>
            <w:r>
              <w:t>5084.50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1353.78</w:t>
            </w:r>
          </w:p>
        </w:tc>
        <w:tc>
          <w:tcPr>
            <w:tcW w:w="1134" w:type="dxa"/>
            <w:vAlign w:val="center"/>
          </w:tcPr>
          <w:p>
            <w:pPr>
              <w:pStyle w:val="12"/>
            </w:pPr>
            <w:r>
              <w:t>1353.78</w:t>
            </w:r>
          </w:p>
        </w:tc>
        <w:tc>
          <w:tcPr>
            <w:tcW w:w="1134" w:type="dxa"/>
            <w:vAlign w:val="center"/>
          </w:tcPr>
          <w:p>
            <w:pPr>
              <w:pStyle w:val="12"/>
            </w:pPr>
            <w:r>
              <w:t>1353.78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1353.78</w:t>
            </w:r>
          </w:p>
        </w:tc>
        <w:tc>
          <w:tcPr>
            <w:tcW w:w="1134" w:type="dxa"/>
            <w:vAlign w:val="center"/>
          </w:tcPr>
          <w:p>
            <w:pPr>
              <w:pStyle w:val="12"/>
            </w:pPr>
            <w:r>
              <w:t>1353.78</w:t>
            </w:r>
          </w:p>
        </w:tc>
        <w:tc>
          <w:tcPr>
            <w:tcW w:w="1134" w:type="dxa"/>
            <w:vAlign w:val="center"/>
          </w:tcPr>
          <w:p>
            <w:pPr>
              <w:pStyle w:val="12"/>
            </w:pPr>
            <w:r>
              <w:t>1353.78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603.78</w:t>
            </w:r>
          </w:p>
        </w:tc>
        <w:tc>
          <w:tcPr>
            <w:tcW w:w="1134" w:type="dxa"/>
            <w:vAlign w:val="center"/>
          </w:tcPr>
          <w:p>
            <w:pPr>
              <w:pStyle w:val="12"/>
            </w:pPr>
            <w:r>
              <w:t>603.78</w:t>
            </w:r>
          </w:p>
        </w:tc>
        <w:tc>
          <w:tcPr>
            <w:tcW w:w="1134" w:type="dxa"/>
            <w:vAlign w:val="center"/>
          </w:tcPr>
          <w:p>
            <w:pPr>
              <w:pStyle w:val="12"/>
            </w:pPr>
            <w:r>
              <w:t>603.78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716.00</w:t>
            </w:r>
          </w:p>
        </w:tc>
        <w:tc>
          <w:tcPr>
            <w:tcW w:w="1134" w:type="dxa"/>
            <w:vAlign w:val="center"/>
          </w:tcPr>
          <w:p>
            <w:pPr>
              <w:pStyle w:val="12"/>
            </w:pPr>
            <w:r>
              <w:t>716.00</w:t>
            </w:r>
          </w:p>
        </w:tc>
        <w:tc>
          <w:tcPr>
            <w:tcW w:w="1134" w:type="dxa"/>
            <w:vAlign w:val="center"/>
          </w:tcPr>
          <w:p>
            <w:pPr>
              <w:pStyle w:val="12"/>
            </w:pPr>
            <w:r>
              <w:t>716.00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2010699</w:t>
            </w:r>
          </w:p>
        </w:tc>
        <w:tc>
          <w:tcPr>
            <w:tcW w:w="1559" w:type="dxa"/>
            <w:vAlign w:val="center"/>
          </w:tcPr>
          <w:p>
            <w:pPr>
              <w:pStyle w:val="13"/>
            </w:pPr>
            <w:r>
              <w:t>其他财政事务支出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140.72</w:t>
            </w:r>
          </w:p>
        </w:tc>
        <w:tc>
          <w:tcPr>
            <w:tcW w:w="1134" w:type="dxa"/>
            <w:vAlign w:val="center"/>
          </w:tcPr>
          <w:p>
            <w:pPr>
              <w:pStyle w:val="12"/>
            </w:pPr>
            <w:r>
              <w:t>140.72</w:t>
            </w:r>
          </w:p>
        </w:tc>
        <w:tc>
          <w:tcPr>
            <w:tcW w:w="1134" w:type="dxa"/>
            <w:vAlign w:val="center"/>
          </w:tcPr>
          <w:p>
            <w:pPr>
              <w:pStyle w:val="12"/>
            </w:pPr>
            <w:r>
              <w:t>140.72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136.79</w:t>
            </w:r>
          </w:p>
        </w:tc>
        <w:tc>
          <w:tcPr>
            <w:tcW w:w="1134" w:type="dxa"/>
            <w:vAlign w:val="center"/>
          </w:tcPr>
          <w:p>
            <w:pPr>
              <w:pStyle w:val="12"/>
            </w:pPr>
            <w:r>
              <w:t>136.79</w:t>
            </w:r>
          </w:p>
        </w:tc>
        <w:tc>
          <w:tcPr>
            <w:tcW w:w="1134" w:type="dxa"/>
            <w:vAlign w:val="center"/>
          </w:tcPr>
          <w:p>
            <w:pPr>
              <w:pStyle w:val="12"/>
            </w:pPr>
            <w:r>
              <w:t>136.79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51.79</w:t>
            </w:r>
          </w:p>
        </w:tc>
        <w:tc>
          <w:tcPr>
            <w:tcW w:w="1134" w:type="dxa"/>
            <w:vAlign w:val="center"/>
          </w:tcPr>
          <w:p>
            <w:pPr>
              <w:pStyle w:val="12"/>
            </w:pPr>
            <w:r>
              <w:t>51.79</w:t>
            </w:r>
          </w:p>
        </w:tc>
        <w:tc>
          <w:tcPr>
            <w:tcW w:w="1134" w:type="dxa"/>
            <w:vAlign w:val="center"/>
          </w:tcPr>
          <w:p>
            <w:pPr>
              <w:pStyle w:val="12"/>
            </w:pPr>
            <w:r>
              <w:t>51.79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r>
              <w:t>3.93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227</w:t>
            </w:r>
          </w:p>
        </w:tc>
        <w:tc>
          <w:tcPr>
            <w:tcW w:w="1559" w:type="dxa"/>
            <w:vAlign w:val="center"/>
          </w:tcPr>
          <w:p>
            <w:pPr>
              <w:pStyle w:val="13"/>
            </w:pPr>
            <w:r>
              <w:t>预备费</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5384.50</w:t>
            </w:r>
          </w:p>
        </w:tc>
        <w:tc>
          <w:tcPr>
            <w:tcW w:w="1361" w:type="dxa"/>
            <w:vAlign w:val="center"/>
          </w:tcPr>
          <w:p>
            <w:pPr>
              <w:pStyle w:val="16"/>
            </w:pPr>
            <w:r>
              <w:t>834.50</w:t>
            </w:r>
          </w:p>
        </w:tc>
        <w:tc>
          <w:tcPr>
            <w:tcW w:w="1361" w:type="dxa"/>
            <w:vAlign w:val="center"/>
          </w:tcPr>
          <w:p>
            <w:pPr>
              <w:pStyle w:val="16"/>
            </w:pPr>
            <w:r>
              <w:t>4550.00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1353.78</w:t>
            </w:r>
          </w:p>
        </w:tc>
        <w:tc>
          <w:tcPr>
            <w:tcW w:w="1361" w:type="dxa"/>
            <w:vAlign w:val="center"/>
          </w:tcPr>
          <w:p>
            <w:pPr>
              <w:pStyle w:val="12"/>
            </w:pPr>
            <w:r>
              <w:t>603.78</w:t>
            </w:r>
          </w:p>
        </w:tc>
        <w:tc>
          <w:tcPr>
            <w:tcW w:w="1361" w:type="dxa"/>
            <w:vAlign w:val="center"/>
          </w:tcPr>
          <w:p>
            <w:pPr>
              <w:pStyle w:val="12"/>
            </w:pPr>
            <w:r>
              <w:t>750.00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1353.78</w:t>
            </w:r>
          </w:p>
        </w:tc>
        <w:tc>
          <w:tcPr>
            <w:tcW w:w="1361" w:type="dxa"/>
            <w:vAlign w:val="center"/>
          </w:tcPr>
          <w:p>
            <w:pPr>
              <w:pStyle w:val="12"/>
            </w:pPr>
            <w:r>
              <w:t>603.78</w:t>
            </w:r>
          </w:p>
        </w:tc>
        <w:tc>
          <w:tcPr>
            <w:tcW w:w="1361" w:type="dxa"/>
            <w:vAlign w:val="center"/>
          </w:tcPr>
          <w:p>
            <w:pPr>
              <w:pStyle w:val="12"/>
            </w:pPr>
            <w:r>
              <w:t>750.00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603.78</w:t>
            </w:r>
          </w:p>
        </w:tc>
        <w:tc>
          <w:tcPr>
            <w:tcW w:w="1361" w:type="dxa"/>
            <w:vAlign w:val="center"/>
          </w:tcPr>
          <w:p>
            <w:pPr>
              <w:pStyle w:val="12"/>
            </w:pPr>
            <w:r>
              <w:t>603.78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716.00</w:t>
            </w:r>
          </w:p>
        </w:tc>
        <w:tc>
          <w:tcPr>
            <w:tcW w:w="1361" w:type="dxa"/>
            <w:vAlign w:val="center"/>
          </w:tcPr>
          <w:p>
            <w:pPr>
              <w:pStyle w:val="12"/>
            </w:pPr>
          </w:p>
        </w:tc>
        <w:tc>
          <w:tcPr>
            <w:tcW w:w="1361" w:type="dxa"/>
            <w:vAlign w:val="center"/>
          </w:tcPr>
          <w:p>
            <w:pPr>
              <w:pStyle w:val="12"/>
            </w:pPr>
            <w:r>
              <w:t>716.00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2010699</w:t>
            </w:r>
          </w:p>
        </w:tc>
        <w:tc>
          <w:tcPr>
            <w:tcW w:w="4535" w:type="dxa"/>
            <w:vAlign w:val="center"/>
          </w:tcPr>
          <w:p>
            <w:pPr>
              <w:pStyle w:val="13"/>
            </w:pPr>
            <w:r>
              <w:t>其他财政事务支出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140.72</w:t>
            </w:r>
          </w:p>
        </w:tc>
        <w:tc>
          <w:tcPr>
            <w:tcW w:w="1361" w:type="dxa"/>
            <w:vAlign w:val="center"/>
          </w:tcPr>
          <w:p>
            <w:pPr>
              <w:pStyle w:val="12"/>
            </w:pPr>
            <w:r>
              <w:t>140.72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136.79</w:t>
            </w:r>
          </w:p>
        </w:tc>
        <w:tc>
          <w:tcPr>
            <w:tcW w:w="1361" w:type="dxa"/>
            <w:vAlign w:val="center"/>
          </w:tcPr>
          <w:p>
            <w:pPr>
              <w:pStyle w:val="12"/>
            </w:pPr>
            <w:r>
              <w:t>136.79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51.79</w:t>
            </w:r>
          </w:p>
        </w:tc>
        <w:tc>
          <w:tcPr>
            <w:tcW w:w="1361" w:type="dxa"/>
            <w:vAlign w:val="center"/>
          </w:tcPr>
          <w:p>
            <w:pPr>
              <w:pStyle w:val="12"/>
            </w:pPr>
            <w:r>
              <w:t>51.79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65.00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3.93</w:t>
            </w:r>
          </w:p>
        </w:tc>
        <w:tc>
          <w:tcPr>
            <w:tcW w:w="1361" w:type="dxa"/>
            <w:vAlign w:val="center"/>
          </w:tcPr>
          <w:p>
            <w:pPr>
              <w:pStyle w:val="12"/>
            </w:pPr>
            <w:r>
              <w:t>3.93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3.93</w:t>
            </w:r>
          </w:p>
        </w:tc>
        <w:tc>
          <w:tcPr>
            <w:tcW w:w="1361" w:type="dxa"/>
            <w:vAlign w:val="center"/>
          </w:tcPr>
          <w:p>
            <w:pPr>
              <w:pStyle w:val="12"/>
            </w:pPr>
            <w:r>
              <w:t>3.93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60.00</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227</w:t>
            </w:r>
          </w:p>
        </w:tc>
        <w:tc>
          <w:tcPr>
            <w:tcW w:w="4535" w:type="dxa"/>
            <w:vAlign w:val="center"/>
          </w:tcPr>
          <w:p>
            <w:pPr>
              <w:pStyle w:val="13"/>
            </w:pPr>
            <w:r>
              <w:t>预备费</w:t>
            </w: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5084.50</w:t>
            </w:r>
          </w:p>
        </w:tc>
        <w:tc>
          <w:tcPr>
            <w:tcW w:w="3402" w:type="dxa"/>
            <w:vAlign w:val="center"/>
          </w:tcPr>
          <w:p>
            <w:pPr>
              <w:pStyle w:val="13"/>
            </w:pPr>
            <w:r>
              <w:t>一、一般公共服务支出</w:t>
            </w:r>
          </w:p>
        </w:tc>
        <w:tc>
          <w:tcPr>
            <w:tcW w:w="1474" w:type="dxa"/>
            <w:vAlign w:val="center"/>
          </w:tcPr>
          <w:p>
            <w:pPr>
              <w:pStyle w:val="12"/>
            </w:pPr>
            <w:r>
              <w:t>1353.78</w:t>
            </w:r>
          </w:p>
        </w:tc>
        <w:tc>
          <w:tcPr>
            <w:tcW w:w="1474" w:type="dxa"/>
            <w:vAlign w:val="center"/>
          </w:tcPr>
          <w:p>
            <w:pPr>
              <w:pStyle w:val="12"/>
            </w:pPr>
            <w:r>
              <w:t>1353.78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140.72</w:t>
            </w:r>
          </w:p>
        </w:tc>
        <w:tc>
          <w:tcPr>
            <w:tcW w:w="1474" w:type="dxa"/>
            <w:vAlign w:val="center"/>
          </w:tcPr>
          <w:p>
            <w:pPr>
              <w:pStyle w:val="12"/>
            </w:pPr>
            <w:r>
              <w:t>140.72</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60.00</w:t>
            </w:r>
          </w:p>
        </w:tc>
        <w:tc>
          <w:tcPr>
            <w:tcW w:w="1474" w:type="dxa"/>
            <w:vAlign w:val="center"/>
          </w:tcPr>
          <w:p>
            <w:pPr>
              <w:pStyle w:val="12"/>
            </w:pPr>
            <w:r>
              <w:t>60.00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r>
              <w:t>3500.00</w:t>
            </w:r>
          </w:p>
        </w:tc>
        <w:tc>
          <w:tcPr>
            <w:tcW w:w="1474" w:type="dxa"/>
            <w:vAlign w:val="center"/>
          </w:tcPr>
          <w:p>
            <w:pPr>
              <w:pStyle w:val="12"/>
            </w:pPr>
            <w:r>
              <w:t>3500.00</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300.00</w:t>
            </w:r>
          </w:p>
        </w:tc>
        <w:tc>
          <w:tcPr>
            <w:tcW w:w="1474" w:type="dxa"/>
            <w:vAlign w:val="center"/>
          </w:tcPr>
          <w:p>
            <w:pPr>
              <w:pStyle w:val="12"/>
            </w:pPr>
          </w:p>
        </w:tc>
        <w:tc>
          <w:tcPr>
            <w:tcW w:w="1474" w:type="dxa"/>
            <w:vAlign w:val="center"/>
          </w:tcPr>
          <w:p>
            <w:pPr>
              <w:pStyle w:val="12"/>
            </w:pPr>
            <w:r>
              <w:t>300.00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5084.50</w:t>
            </w:r>
          </w:p>
        </w:tc>
        <w:tc>
          <w:tcPr>
            <w:tcW w:w="3402" w:type="dxa"/>
            <w:vAlign w:val="center"/>
          </w:tcPr>
          <w:p>
            <w:pPr>
              <w:pStyle w:val="15"/>
            </w:pPr>
            <w:r>
              <w:t>本年支出合计</w:t>
            </w:r>
          </w:p>
        </w:tc>
        <w:tc>
          <w:tcPr>
            <w:tcW w:w="1474" w:type="dxa"/>
            <w:vAlign w:val="center"/>
          </w:tcPr>
          <w:p>
            <w:pPr>
              <w:pStyle w:val="16"/>
            </w:pPr>
            <w:r>
              <w:t>5384.50</w:t>
            </w:r>
          </w:p>
        </w:tc>
        <w:tc>
          <w:tcPr>
            <w:tcW w:w="1474" w:type="dxa"/>
            <w:vAlign w:val="center"/>
          </w:tcPr>
          <w:p>
            <w:pPr>
              <w:pStyle w:val="16"/>
            </w:pPr>
            <w:r>
              <w:t>5084.50</w:t>
            </w:r>
          </w:p>
        </w:tc>
        <w:tc>
          <w:tcPr>
            <w:tcW w:w="1474" w:type="dxa"/>
            <w:vAlign w:val="center"/>
          </w:tcPr>
          <w:p>
            <w:pPr>
              <w:pStyle w:val="16"/>
            </w:pPr>
            <w:r>
              <w:t>300.00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300.00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5384.50</w:t>
            </w:r>
          </w:p>
        </w:tc>
        <w:tc>
          <w:tcPr>
            <w:tcW w:w="3402" w:type="dxa"/>
            <w:vAlign w:val="center"/>
          </w:tcPr>
          <w:p>
            <w:pPr>
              <w:pStyle w:val="15"/>
            </w:pPr>
            <w:r>
              <w:t>支出总计</w:t>
            </w:r>
          </w:p>
        </w:tc>
        <w:tc>
          <w:tcPr>
            <w:tcW w:w="1474" w:type="dxa"/>
            <w:vAlign w:val="center"/>
          </w:tcPr>
          <w:p>
            <w:pPr>
              <w:pStyle w:val="16"/>
            </w:pPr>
            <w:r>
              <w:t>5384.50</w:t>
            </w:r>
          </w:p>
        </w:tc>
        <w:tc>
          <w:tcPr>
            <w:tcW w:w="1474" w:type="dxa"/>
            <w:vAlign w:val="center"/>
          </w:tcPr>
          <w:p>
            <w:pPr>
              <w:pStyle w:val="16"/>
            </w:pPr>
            <w:r>
              <w:t>5084.50</w:t>
            </w:r>
          </w:p>
        </w:tc>
        <w:tc>
          <w:tcPr>
            <w:tcW w:w="1474" w:type="dxa"/>
            <w:vAlign w:val="center"/>
          </w:tcPr>
          <w:p>
            <w:pPr>
              <w:pStyle w:val="16"/>
            </w:pPr>
            <w:r>
              <w:t>300.00</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5084.50</w:t>
            </w:r>
          </w:p>
        </w:tc>
        <w:tc>
          <w:tcPr>
            <w:tcW w:w="2551" w:type="dxa"/>
            <w:vAlign w:val="center"/>
          </w:tcPr>
          <w:p>
            <w:pPr>
              <w:pStyle w:val="16"/>
            </w:pPr>
            <w:r>
              <w:t>834.50</w:t>
            </w:r>
          </w:p>
        </w:tc>
        <w:tc>
          <w:tcPr>
            <w:tcW w:w="2551" w:type="dxa"/>
            <w:vAlign w:val="center"/>
          </w:tcPr>
          <w:p>
            <w:pPr>
              <w:pStyle w:val="16"/>
            </w:pPr>
            <w:r>
              <w:t>4250.00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1353.78</w:t>
            </w:r>
          </w:p>
        </w:tc>
        <w:tc>
          <w:tcPr>
            <w:tcW w:w="2551" w:type="dxa"/>
            <w:vAlign w:val="center"/>
          </w:tcPr>
          <w:p>
            <w:pPr>
              <w:pStyle w:val="12"/>
            </w:pPr>
            <w:r>
              <w:t>603.78</w:t>
            </w:r>
          </w:p>
        </w:tc>
        <w:tc>
          <w:tcPr>
            <w:tcW w:w="2551" w:type="dxa"/>
            <w:vAlign w:val="center"/>
          </w:tcPr>
          <w:p>
            <w:pPr>
              <w:pStyle w:val="12"/>
            </w:pPr>
            <w:r>
              <w:t>750.00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1353.78</w:t>
            </w:r>
          </w:p>
        </w:tc>
        <w:tc>
          <w:tcPr>
            <w:tcW w:w="2551" w:type="dxa"/>
            <w:vAlign w:val="center"/>
          </w:tcPr>
          <w:p>
            <w:pPr>
              <w:pStyle w:val="12"/>
            </w:pPr>
            <w:r>
              <w:t>603.78</w:t>
            </w:r>
          </w:p>
        </w:tc>
        <w:tc>
          <w:tcPr>
            <w:tcW w:w="2551" w:type="dxa"/>
            <w:vAlign w:val="center"/>
          </w:tcPr>
          <w:p>
            <w:pPr>
              <w:pStyle w:val="12"/>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603.78</w:t>
            </w:r>
          </w:p>
        </w:tc>
        <w:tc>
          <w:tcPr>
            <w:tcW w:w="2551" w:type="dxa"/>
            <w:vAlign w:val="center"/>
          </w:tcPr>
          <w:p>
            <w:pPr>
              <w:pStyle w:val="12"/>
            </w:pPr>
            <w:r>
              <w:t>603.78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716.00</w:t>
            </w:r>
          </w:p>
        </w:tc>
        <w:tc>
          <w:tcPr>
            <w:tcW w:w="2551" w:type="dxa"/>
            <w:vAlign w:val="center"/>
          </w:tcPr>
          <w:p>
            <w:pPr>
              <w:pStyle w:val="12"/>
            </w:pPr>
          </w:p>
        </w:tc>
        <w:tc>
          <w:tcPr>
            <w:tcW w:w="2551" w:type="dxa"/>
            <w:vAlign w:val="center"/>
          </w:tcPr>
          <w:p>
            <w:pPr>
              <w:pStyle w:val="12"/>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2010699</w:t>
            </w:r>
          </w:p>
        </w:tc>
        <w:tc>
          <w:tcPr>
            <w:tcW w:w="4535" w:type="dxa"/>
            <w:vAlign w:val="center"/>
          </w:tcPr>
          <w:p>
            <w:pPr>
              <w:pStyle w:val="13"/>
            </w:pPr>
            <w:r>
              <w:t>其他财政事务支出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140.72</w:t>
            </w:r>
          </w:p>
        </w:tc>
        <w:tc>
          <w:tcPr>
            <w:tcW w:w="2551" w:type="dxa"/>
            <w:vAlign w:val="center"/>
          </w:tcPr>
          <w:p>
            <w:pPr>
              <w:pStyle w:val="12"/>
            </w:pPr>
            <w:r>
              <w:t>140.72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136.79</w:t>
            </w:r>
          </w:p>
        </w:tc>
        <w:tc>
          <w:tcPr>
            <w:tcW w:w="2551" w:type="dxa"/>
            <w:vAlign w:val="center"/>
          </w:tcPr>
          <w:p>
            <w:pPr>
              <w:pStyle w:val="12"/>
            </w:pPr>
            <w:r>
              <w:t>136.79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51.79</w:t>
            </w:r>
          </w:p>
        </w:tc>
        <w:tc>
          <w:tcPr>
            <w:tcW w:w="2551" w:type="dxa"/>
            <w:vAlign w:val="center"/>
          </w:tcPr>
          <w:p>
            <w:pPr>
              <w:pStyle w:val="12"/>
            </w:pPr>
            <w:r>
              <w:t>51.79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3.93</w:t>
            </w:r>
          </w:p>
        </w:tc>
        <w:tc>
          <w:tcPr>
            <w:tcW w:w="2551" w:type="dxa"/>
            <w:vAlign w:val="center"/>
          </w:tcPr>
          <w:p>
            <w:pPr>
              <w:pStyle w:val="12"/>
            </w:pPr>
            <w:r>
              <w:t>3.93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3.93</w:t>
            </w:r>
          </w:p>
        </w:tc>
        <w:tc>
          <w:tcPr>
            <w:tcW w:w="2551" w:type="dxa"/>
            <w:vAlign w:val="center"/>
          </w:tcPr>
          <w:p>
            <w:pPr>
              <w:pStyle w:val="12"/>
            </w:pPr>
            <w:r>
              <w:t>3.93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227</w:t>
            </w:r>
          </w:p>
        </w:tc>
        <w:tc>
          <w:tcPr>
            <w:tcW w:w="4535" w:type="dxa"/>
            <w:vAlign w:val="center"/>
          </w:tcPr>
          <w:p>
            <w:pPr>
              <w:pStyle w:val="13"/>
            </w:pPr>
            <w:r>
              <w:t>预备费</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834.50</w:t>
            </w:r>
          </w:p>
        </w:tc>
        <w:tc>
          <w:tcPr>
            <w:tcW w:w="2551" w:type="dxa"/>
            <w:vAlign w:val="center"/>
          </w:tcPr>
          <w:p>
            <w:pPr>
              <w:pStyle w:val="16"/>
            </w:pPr>
            <w:r>
              <w:t>743.28</w:t>
            </w:r>
          </w:p>
        </w:tc>
        <w:tc>
          <w:tcPr>
            <w:tcW w:w="2551" w:type="dxa"/>
            <w:vAlign w:val="center"/>
          </w:tcPr>
          <w:p>
            <w:pPr>
              <w:pStyle w:val="16"/>
            </w:pPr>
            <w:r>
              <w:t>91.22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691.49</w:t>
            </w:r>
          </w:p>
        </w:tc>
        <w:tc>
          <w:tcPr>
            <w:tcW w:w="2551" w:type="dxa"/>
            <w:vAlign w:val="center"/>
          </w:tcPr>
          <w:p>
            <w:pPr>
              <w:pStyle w:val="12"/>
            </w:pPr>
            <w:r>
              <w:t>691.49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234.74</w:t>
            </w:r>
          </w:p>
        </w:tc>
        <w:tc>
          <w:tcPr>
            <w:tcW w:w="2551" w:type="dxa"/>
            <w:vAlign w:val="center"/>
          </w:tcPr>
          <w:p>
            <w:pPr>
              <w:pStyle w:val="12"/>
            </w:pPr>
            <w:r>
              <w:t>234.74</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68.39</w:t>
            </w:r>
          </w:p>
        </w:tc>
        <w:tc>
          <w:tcPr>
            <w:tcW w:w="2551" w:type="dxa"/>
            <w:vAlign w:val="center"/>
          </w:tcPr>
          <w:p>
            <w:pPr>
              <w:pStyle w:val="12"/>
            </w:pPr>
            <w:r>
              <w:t>68.39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48.46</w:t>
            </w:r>
          </w:p>
        </w:tc>
        <w:tc>
          <w:tcPr>
            <w:tcW w:w="2551" w:type="dxa"/>
            <w:vAlign w:val="center"/>
          </w:tcPr>
          <w:p>
            <w:pPr>
              <w:pStyle w:val="12"/>
            </w:pPr>
            <w:r>
              <w:t>48.46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102.67</w:t>
            </w:r>
          </w:p>
        </w:tc>
        <w:tc>
          <w:tcPr>
            <w:tcW w:w="2551" w:type="dxa"/>
            <w:vAlign w:val="center"/>
          </w:tcPr>
          <w:p>
            <w:pPr>
              <w:pStyle w:val="12"/>
            </w:pPr>
            <w:r>
              <w:t>102.67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65.00</w:t>
            </w:r>
          </w:p>
        </w:tc>
        <w:tc>
          <w:tcPr>
            <w:tcW w:w="2551" w:type="dxa"/>
            <w:vAlign w:val="center"/>
          </w:tcPr>
          <w:p>
            <w:pPr>
              <w:pStyle w:val="12"/>
            </w:pPr>
            <w:r>
              <w:t>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3.93</w:t>
            </w:r>
          </w:p>
        </w:tc>
        <w:tc>
          <w:tcPr>
            <w:tcW w:w="2551" w:type="dxa"/>
            <w:vAlign w:val="center"/>
          </w:tcPr>
          <w:p>
            <w:pPr>
              <w:pStyle w:val="12"/>
            </w:pPr>
            <w:r>
              <w:t>3.93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58.30</w:t>
            </w:r>
          </w:p>
        </w:tc>
        <w:tc>
          <w:tcPr>
            <w:tcW w:w="2551" w:type="dxa"/>
            <w:vAlign w:val="center"/>
          </w:tcPr>
          <w:p>
            <w:pPr>
              <w:pStyle w:val="12"/>
            </w:pPr>
            <w:r>
              <w:t>58.30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91.22</w:t>
            </w:r>
          </w:p>
        </w:tc>
        <w:tc>
          <w:tcPr>
            <w:tcW w:w="2551" w:type="dxa"/>
            <w:vAlign w:val="center"/>
          </w:tcPr>
          <w:p>
            <w:pPr>
              <w:pStyle w:val="12"/>
            </w:pPr>
          </w:p>
        </w:tc>
        <w:tc>
          <w:tcPr>
            <w:tcW w:w="2551" w:type="dxa"/>
            <w:vAlign w:val="center"/>
          </w:tcPr>
          <w:p>
            <w:pPr>
              <w:pStyle w:val="12"/>
            </w:pPr>
            <w:r>
              <w:t>91.22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3.83</w:t>
            </w:r>
          </w:p>
        </w:tc>
        <w:tc>
          <w:tcPr>
            <w:tcW w:w="2551" w:type="dxa"/>
            <w:vAlign w:val="center"/>
          </w:tcPr>
          <w:p>
            <w:pPr>
              <w:pStyle w:val="12"/>
            </w:pPr>
          </w:p>
        </w:tc>
        <w:tc>
          <w:tcPr>
            <w:tcW w:w="2551" w:type="dxa"/>
            <w:vAlign w:val="center"/>
          </w:tcPr>
          <w:p>
            <w:pPr>
              <w:pStyle w:val="12"/>
            </w:pPr>
            <w:r>
              <w:t>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16.40</w:t>
            </w:r>
          </w:p>
        </w:tc>
        <w:tc>
          <w:tcPr>
            <w:tcW w:w="2551" w:type="dxa"/>
            <w:vAlign w:val="center"/>
          </w:tcPr>
          <w:p>
            <w:pPr>
              <w:pStyle w:val="12"/>
            </w:pPr>
          </w:p>
        </w:tc>
        <w:tc>
          <w:tcPr>
            <w:tcW w:w="2551" w:type="dxa"/>
            <w:vAlign w:val="center"/>
          </w:tcPr>
          <w:p>
            <w:pPr>
              <w:pStyle w:val="12"/>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3.23</w:t>
            </w:r>
          </w:p>
        </w:tc>
        <w:tc>
          <w:tcPr>
            <w:tcW w:w="2551" w:type="dxa"/>
            <w:vAlign w:val="center"/>
          </w:tcPr>
          <w:p>
            <w:pPr>
              <w:pStyle w:val="12"/>
            </w:pPr>
          </w:p>
        </w:tc>
        <w:tc>
          <w:tcPr>
            <w:tcW w:w="2551" w:type="dxa"/>
            <w:vAlign w:val="center"/>
          </w:tcPr>
          <w:p>
            <w:pPr>
              <w:pStyle w:val="12"/>
            </w:pPr>
            <w:r>
              <w:t>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2.04</w:t>
            </w:r>
          </w:p>
        </w:tc>
        <w:tc>
          <w:tcPr>
            <w:tcW w:w="2551" w:type="dxa"/>
            <w:vAlign w:val="center"/>
          </w:tcPr>
          <w:p>
            <w:pPr>
              <w:pStyle w:val="12"/>
            </w:pPr>
          </w:p>
        </w:tc>
        <w:tc>
          <w:tcPr>
            <w:tcW w:w="2551" w:type="dxa"/>
            <w:vAlign w:val="center"/>
          </w:tcPr>
          <w:p>
            <w:pPr>
              <w:pStyle w:val="12"/>
            </w:pPr>
            <w:r>
              <w:t>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13.20</w:t>
            </w:r>
          </w:p>
        </w:tc>
        <w:tc>
          <w:tcPr>
            <w:tcW w:w="2551" w:type="dxa"/>
            <w:vAlign w:val="center"/>
          </w:tcPr>
          <w:p>
            <w:pPr>
              <w:pStyle w:val="12"/>
            </w:pPr>
          </w:p>
        </w:tc>
        <w:tc>
          <w:tcPr>
            <w:tcW w:w="2551" w:type="dxa"/>
            <w:vAlign w:val="center"/>
          </w:tcPr>
          <w:p>
            <w:pPr>
              <w:pStyle w:val="12"/>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16.42</w:t>
            </w:r>
          </w:p>
        </w:tc>
        <w:tc>
          <w:tcPr>
            <w:tcW w:w="2551" w:type="dxa"/>
            <w:vAlign w:val="center"/>
          </w:tcPr>
          <w:p>
            <w:pPr>
              <w:pStyle w:val="12"/>
            </w:pPr>
          </w:p>
        </w:tc>
        <w:tc>
          <w:tcPr>
            <w:tcW w:w="2551" w:type="dxa"/>
            <w:vAlign w:val="center"/>
          </w:tcPr>
          <w:p>
            <w:pPr>
              <w:pStyle w:val="12"/>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51.79</w:t>
            </w:r>
          </w:p>
        </w:tc>
        <w:tc>
          <w:tcPr>
            <w:tcW w:w="2551" w:type="dxa"/>
            <w:vAlign w:val="center"/>
          </w:tcPr>
          <w:p>
            <w:pPr>
              <w:pStyle w:val="12"/>
            </w:pPr>
            <w:r>
              <w:t>51.79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51.79</w:t>
            </w:r>
          </w:p>
        </w:tc>
        <w:tc>
          <w:tcPr>
            <w:tcW w:w="2551" w:type="dxa"/>
            <w:vAlign w:val="center"/>
          </w:tcPr>
          <w:p>
            <w:pPr>
              <w:pStyle w:val="12"/>
            </w:pPr>
            <w:r>
              <w:t>51.79</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w:t>
            </w:r>
          </w:p>
        </w:tc>
        <w:tc>
          <w:tcPr>
            <w:tcW w:w="2551" w:type="dxa"/>
            <w:vAlign w:val="center"/>
          </w:tcPr>
          <w:p>
            <w:pPr>
              <w:pStyle w:val="16"/>
            </w:pPr>
          </w:p>
        </w:tc>
        <w:tc>
          <w:tcPr>
            <w:tcW w:w="2551" w:type="dxa"/>
            <w:vAlign w:val="center"/>
          </w:tcPr>
          <w:p>
            <w:pPr>
              <w:pStyle w:val="16"/>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318新乐市财政局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2.04</w:t>
            </w:r>
          </w:p>
        </w:tc>
        <w:tc>
          <w:tcPr>
            <w:tcW w:w="2381" w:type="dxa"/>
            <w:vAlign w:val="center"/>
          </w:tcPr>
          <w:p>
            <w:pPr>
              <w:pStyle w:val="16"/>
            </w:pPr>
            <w:r>
              <w:t>2.04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2.04</w:t>
            </w:r>
          </w:p>
        </w:tc>
        <w:tc>
          <w:tcPr>
            <w:tcW w:w="2381" w:type="dxa"/>
            <w:vAlign w:val="center"/>
          </w:tcPr>
          <w:p>
            <w:pPr>
              <w:pStyle w:val="12"/>
            </w:pPr>
            <w:r>
              <w:t>2.04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2.04</w:t>
            </w:r>
          </w:p>
        </w:tc>
        <w:tc>
          <w:tcPr>
            <w:tcW w:w="2381" w:type="dxa"/>
            <w:vAlign w:val="center"/>
          </w:tcPr>
          <w:p>
            <w:pPr>
              <w:pStyle w:val="12"/>
            </w:pPr>
            <w:r>
              <w:t>2.04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定财税发展战略、规划和改革方案并组织实施；分析预测宏观形势，参与制定各项宏观经济政策，提出运用财税政策实施宏观调控和综合平衡社会财力的建议；拟定市与乡（镇、街道），国家与企业的分配政策，完善鼓励公益事业发展的财税政策。</w:t>
      </w:r>
    </w:p>
    <w:p>
      <w:pPr>
        <w:pStyle w:val="18"/>
      </w:pPr>
      <w:r>
        <w:t>（二）起草财政、预算、财务、会计管理的地方性法规草案，制定有关规章制度并监督实施。</w:t>
      </w:r>
    </w:p>
    <w:p>
      <w:pPr>
        <w:pStyle w:val="18"/>
      </w:pPr>
      <w:r>
        <w:t>（三）承担财政预算管理的责任。负责编制年度市本级预决算草案并组织执行，汇编全市年度预决算草案；受市政府委托，向市人民代表大会报告全市和市本级财政预算及其执行情况，向市人大常委会报告决算；组织制定经费开支标准、定额，负责审核批复部门（单位）的年度预决算。</w:t>
      </w:r>
    </w:p>
    <w:p>
      <w:pPr>
        <w:pStyle w:val="18"/>
      </w:pPr>
      <w:r>
        <w:t>（四）承担财政体制管理的责任。拟订县乡（镇、街道）财政管理体制，完善地方转移支付制度。</w:t>
      </w:r>
    </w:p>
    <w:p>
      <w:pPr>
        <w:pStyle w:val="18"/>
      </w:pPr>
      <w:r>
        <w:t>（五）承担财政国库管理的责任。组织制定国库管理制度、国库集中收付制度并组织实施，指导和监督市本级国库业务，按规定开展国库现金管理。</w:t>
      </w:r>
    </w:p>
    <w:p>
      <w:pPr>
        <w:pStyle w:val="18"/>
      </w:pPr>
      <w:r>
        <w:t>（六）负责政府非税收入和政府性基金管理，按规定管理行政事业性收费；管理财政票据；贯彻实施彩票管理政策，参与制定彩票管理有关办法，参与管理彩票市场，按规定管理彩票资金。</w:t>
      </w:r>
    </w:p>
    <w:p>
      <w:pPr>
        <w:pStyle w:val="18"/>
      </w:pPr>
      <w:r>
        <w:t>（七）负责组织起草地方性税收法规草案、实施细则和税收政策调整方案；提出上级授权税目税率调整、减免和地方税收政策等重大事项的建议，对地方承担出口退税事务实施监管，监督检查税收政策的执行情况。</w:t>
      </w:r>
    </w:p>
    <w:p>
      <w:pPr>
        <w:pStyle w:val="18"/>
      </w:pPr>
      <w:r>
        <w:t>（八）负责制定行政事业单位国有资产管理规章制度，对全市行政事业单位国有资产进行监督管理。</w:t>
      </w:r>
    </w:p>
    <w:p>
      <w:pPr>
        <w:pStyle w:val="18"/>
      </w:pPr>
      <w:r>
        <w:t>（九）负责办理和监督全市财政经济发展支出、市政府投资项目的财政拨款，参与拟定全市建设投资的有关方案，制定基本建设财务制度；负责有关政策性补贴和专项储备资金财政管理；承担财政投资评审管理工作。</w:t>
      </w:r>
    </w:p>
    <w:p>
      <w:pPr>
        <w:pStyle w:val="18"/>
      </w:pPr>
      <w:r>
        <w:t>（十）会同有关部门管理和监督全市财政社会保障、就业及医疗卫生支出，会同有关部门拟订社会保障资金（基金）的财务管理制度，编制社会保障预决算草案。</w:t>
      </w:r>
    </w:p>
    <w:p>
      <w:pPr>
        <w:pStyle w:val="18"/>
      </w:pPr>
      <w:r>
        <w:t>（十一）负责管理市政府的国内外债权、债务。执行国家外债管理政策，拟订具体实施办法；根据有关规定，做好外国政府贷款、国际金融组织贷款的对外谈判与磋商工作；负责财政预算内行政、事业单位和社会团体的非贸易外汇管理；受市政府委托会同有关部门处理涉及财政、债务等方面的涉外事务。</w:t>
      </w:r>
    </w:p>
    <w:p>
      <w:pPr>
        <w:pStyle w:val="18"/>
      </w:pPr>
      <w:r>
        <w:t>（十二）拟订政府采购相关制度和办法，负责政府采购工作的监督管理，承担全市行政、事业单位公务车辆编制管理工作。</w:t>
      </w:r>
    </w:p>
    <w:p>
      <w:pPr>
        <w:pStyle w:val="18"/>
      </w:pPr>
      <w:r>
        <w:t>（十三）负责管理全市会计工作，监督和规范会计行为，组织实施国家统一的会计制度。</w:t>
      </w:r>
    </w:p>
    <w:p>
      <w:pPr>
        <w:pStyle w:val="18"/>
      </w:pPr>
      <w:r>
        <w:t>（十四）监督检查财税法规、政策的执行情况，依法查处违法违规行为；反映财政收支管理中的重大问题，提出加强财政管理的建议。</w:t>
      </w:r>
    </w:p>
    <w:p>
      <w:pPr>
        <w:pStyle w:val="18"/>
      </w:pPr>
      <w:r>
        <w:t>（十五）负责组织、协调国税、地税等部门，加强税收综合治理。</w:t>
      </w:r>
    </w:p>
    <w:p>
      <w:pPr>
        <w:pStyle w:val="18"/>
      </w:pPr>
      <w:r>
        <w:t>（十六）承办市政府交办的其他事项。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新乐市财政局本级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按照预算管理有关规定，目前部门预算的编制实行综合预算管理，即全部收入和支出都反映在预算中。新乐市财政局机关及所属事业单位的收支包含在部门预算中。</w:t>
      </w:r>
    </w:p>
    <w:p>
      <w:pPr>
        <w:pStyle w:val="19"/>
      </w:pPr>
      <w:r>
        <w:t>1、收入说明</w:t>
      </w:r>
    </w:p>
    <w:p>
      <w:pPr>
        <w:pStyle w:val="19"/>
      </w:pPr>
      <w:r>
        <w:t>反映本部门当年全部收入。2026年预算收入5384.50万元，其中：一般公共预算收入5084.50万元，基金预算收入0.00万元，国有资本经营预算收入0.00万元，财政专户核拨收入0.00万元，单位资金收入0.00万元，上年结转结余300.00万元。</w:t>
      </w:r>
    </w:p>
    <w:p>
      <w:pPr>
        <w:pStyle w:val="19"/>
      </w:pPr>
      <w:r>
        <w:t>2、支出说明</w:t>
      </w:r>
    </w:p>
    <w:p>
      <w:pPr>
        <w:pStyle w:val="19"/>
      </w:pPr>
      <w:r>
        <w:t>收支预算总表支出栏、基本支出表、项目支出表按经济分类和支出功能分类科目编制，反映新乐市财政局年度部门预算中支出预算的总体情况。2026年支出预算5384.50万元，其中基本支出834.50万元，包括人员经费743.28万元和日常公用经费91.22万元；项目支出4550.00万元，主要为2026年本级支出-信息化建设7万元，2026年本级支出-集中印刷2万元，2026年本级支出-机关运行25万元，2026年本级支出-财政委托业务费716万元，2026年本级支出-预备费3500万，新乐市存量政府投资项目300万元。；预计下年使用的单位资金结余0.00万元。委托业务费共计安排716.00万元，主要用于因技术原因确需对外委托的辅助性工作和确有必要对外委托开展咨询、评审、规划等工作。</w:t>
      </w:r>
    </w:p>
    <w:p>
      <w:pPr>
        <w:pStyle w:val="19"/>
      </w:pPr>
      <w:r>
        <w:t>3、比上年增减情况</w:t>
      </w:r>
    </w:p>
    <w:p>
      <w:pPr>
        <w:pStyle w:val="19"/>
      </w:pPr>
      <w:r>
        <w:t>2026年预算收支安排5384.50万元，较2025年预算增加3552.38万元，其中：基本支出增加130.38万元，主要为人员调整导致每月工资发放增多。项目支出增加3422.00万元，主要为增加2026年本级支出-预备费3500万。。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2026年，我部门机关运行经费共计安排91.22万元，主要用于日常维修、办公用房水电费、办公用房取暖费、办公用房物业管理费等日常运行支出。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2.04万元，其中因公出国（境）费0.00万元；公务用车购置及运维费2.04万元（其中：公务用车购置费为0.00万元，公务用车运维费2.04万元)；公务接待费0.00万元。与2025年相比减少0.06万元，增减变化的主要原因是厉行节约，严格控制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总体目标：</w:t>
      </w:r>
    </w:p>
    <w:p>
      <w:pPr>
        <w:pStyle w:val="22"/>
      </w:pPr>
      <w:r>
        <w:t>牢固树立新发展理念，坚持稳中求进工作总基调，以推进供给侧结构性改革为主，依法加强财政收支管理，统筹当前和长远，继续做好“六稳”“六保”工作，加强资源统筹，优化支出结构，深化财政改革，防范化解风险，更好发挥财政保障作用、引导作用和撬动作用，推动全市财政运行总体平稳、稳中有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财政收入</w:t>
      </w:r>
    </w:p>
    <w:p>
      <w:pPr>
        <w:pStyle w:val="23"/>
      </w:pPr>
      <w:r>
        <w:t>绩效目标：拟订财税发展规划、政策和改革方案并组织实施。分析预测宏观经济形势，参与制定各项宏观经济政策，提出运用财税政策实施宏观调控和综合平衡社会财力的建议；完善鼓励公益事业发展的财税政策。</w:t>
      </w:r>
    </w:p>
    <w:p>
      <w:pPr>
        <w:pStyle w:val="23"/>
      </w:pPr>
      <w:r>
        <w:t>绩效指标：财政政策制定完成率达到100%；财政政策部署落实及时性达到95%以上。</w:t>
      </w:r>
    </w:p>
    <w:p>
      <w:pPr>
        <w:pStyle w:val="23"/>
      </w:pPr>
      <w:r>
        <w:t>预算管理</w:t>
      </w:r>
    </w:p>
    <w:p>
      <w:pPr>
        <w:pStyle w:val="23"/>
      </w:pPr>
      <w:r>
        <w:t>绩效目标：负责管理市级各项财政收支。按规定编制年度市级预决算草案并组织执行，汇编全市预决算草案。及时公开市级财政预决算。</w:t>
      </w:r>
    </w:p>
    <w:p>
      <w:pPr>
        <w:pStyle w:val="23"/>
      </w:pPr>
      <w:r>
        <w:t>绩效指标：编制预决算草案完成情况达到100%；预决算公开及时性和完成性达到100%。</w:t>
      </w:r>
    </w:p>
    <w:p>
      <w:pPr>
        <w:pStyle w:val="23"/>
      </w:pPr>
      <w:r>
        <w:t>国库管理</w:t>
      </w:r>
    </w:p>
    <w:p>
      <w:pPr>
        <w:pStyle w:val="23"/>
      </w:pPr>
      <w:r>
        <w:t>绩效目标：研究制定国库管理制度、国库集中收付制度。确保国库现金增值运作收益逐年提高；确保国库支出进度；确保总预算会计核算信息真实准确。</w:t>
      </w:r>
    </w:p>
    <w:p>
      <w:pPr>
        <w:pStyle w:val="23"/>
      </w:pPr>
      <w:r>
        <w:t>绩效指标：国库支出进度达到考核序时要求；总预算会计核算信息准确率达到95%以上。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实现本年度规划目标的保障措施：</w:t>
      </w:r>
    </w:p>
    <w:p>
      <w:pPr>
        <w:pStyle w:val="24"/>
      </w:pPr>
      <w:r>
        <w:t>202</w:t>
      </w:r>
      <w:r>
        <w:rPr>
          <w:rFonts w:hint="eastAsia"/>
          <w:lang w:val="en-US" w:eastAsia="zh-CN"/>
        </w:rPr>
        <w:t>6</w:t>
      </w:r>
      <w:bookmarkStart w:id="20" w:name="_GoBack"/>
      <w:bookmarkEnd w:id="20"/>
      <w:r>
        <w:t>年，我们将认真贯彻中央、省和市的各项部署，严格落实《预算法》和市人大有关决议，自觉强化“以政领财、以财辅政”意识，积极推进治理体系和治理能力现代化，加快建设现代地方财政管理制度，切实把制度优势转化为治理效能，确保圆满完成年度预算任务。</w:t>
      </w:r>
    </w:p>
    <w:p>
      <w:pPr>
        <w:pStyle w:val="24"/>
      </w:pPr>
      <w:r>
        <w:t>（一）牢固树立新发展理念，服务全市经济社会发展。坚持以习近平新时代中国特色社会主义思想为指导，精准把握新时代财政改革发展新要求，全面落实中央和省、石家庄市决策部署以及市委市政府工作要求，紧紧围绕事关全市发展的“2+2”现代产业战略格局、改善和保障民生、风险防控、脱贫攻坚、污染防治、城市建设等重点难点问题，深入开展“双问计”活动，发挥财政资金政策导向作用，全面推进高质量财政建设。</w:t>
      </w:r>
    </w:p>
    <w:p>
      <w:pPr>
        <w:pStyle w:val="24"/>
      </w:pPr>
      <w:r>
        <w:t>（二）推进财税改革，加快建立现代财政制度。完善财政管理体制和机制，扎实提升财政改革质量和效果，有序推进财政事权和支出责任划分改革。深化预算管理改革，建立健全内容完整、结构优化、定额科学、程序规范的支出标准体系，提高预算编制的前瞻性和可持续性。全面实施绩效管理，进一步优化全过程绩效预算管理机制，把绩效融入预算管理各个环节，强化评价结果应用，提高资金使用效益。加大预决算公开力度，细化预算公开内容，建立多层次、全过程动态监督体系，拓宽监督渠道，进一步提高财政工作透明度，让财政资金在阳光下运行。</w:t>
      </w:r>
    </w:p>
    <w:p>
      <w:pPr>
        <w:pStyle w:val="24"/>
      </w:pPr>
      <w:r>
        <w:t>（三）深化预算管理改革，确保财政预算提质增效。进一步完善项目库管理制度，加强项目事前评审论证，提高入库项目质量，推进支出标准体系建设。加强各类财政资金的统筹整合，集中财力支持“四种类型经济”、“2+2”现代产业、三大攻坚战、改善民生和基础设施建设等。牢固树立过紧日子思想，坚持勤俭办一切事业，坚决压减一般性支出，挤出更多资金用于重点和急需支出。完善预算公开制度体系，加大预算公开力度，自觉接受人大法律监督、政协民主监督和社会舆论监督。</w:t>
      </w:r>
    </w:p>
    <w:p>
      <w:pPr>
        <w:pStyle w:val="24"/>
      </w:pPr>
      <w:r>
        <w:t>（四）全面推进绩效管理，提高财政管理水平。全面落实中央、省和市关于加强绩效管理的要求，把政府收支、部门和单位预算全面纳入绩效管理，将绩效理念、绩效管理、绩效方法覆盖预算编制、执行、监督全过程，构建全方位预算绩效管理格局。对预算执行情况和绩效目标实现程度实施“双监控”，及时纠正执行偏差。加大重点绩效评价力度，强化评价结果应用，对一些绩效评价差或者无绩效的项目坚决予以削减，切实提高财政资金使用效益。</w:t>
      </w:r>
    </w:p>
    <w:p>
      <w:pPr>
        <w:pStyle w:val="24"/>
      </w:pPr>
      <w:r>
        <w:t>（五）全面落实财政政策，规范预算执行管理。全面落实积极的财政政策，确保财政收入合理增长和收入质量不断提高。严格执行税收和收费政策，既要该减的减到位，又要确保应收尽收，坚决防止虚增收入行为。坚持“先有预算、后有支出”，严格执行人大批准的预算，严控预算调整和调剂事项，切实强化预算约束。强化预算单位主体责任，健全预算执行督导机制，提高财政资金支出时效。严格执行国库集中收付、政府采购等制度，确保财政资金规范安全运行。</w:t>
      </w:r>
    </w:p>
    <w:p>
      <w:pPr>
        <w:pStyle w:val="24"/>
        <w:sectPr>
          <w:pgSz w:w="16840" w:h="11900" w:orient="landscape"/>
          <w:pgMar w:top="1361" w:right="1020" w:bottom="1361" w:left="1020" w:header="720" w:footer="720" w:gutter="0"/>
        </w:sectPr>
      </w:pPr>
      <w:r>
        <w:t>（六）防控政府债务风险，促进经济健康发展。坚决贯彻中央防范化解风险重大决策部署，树牢底线思维，强化举债主体责任，加强督导，传导压力，以责任落实推动风险防控的落实。严格遵循债务化解规划要求，积极化解存量债务，确保降低债务风险水平。进一步完善隐性债务监督机制，严肃执纪问责，坚决遏制新增隐性债务。加强风险监测和预判，动态监测债务变化，密切关注到期债务风险隐患，做好应对预案，守住不发生系统性风险的底线。</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1、2026年本级支出-财政委托业务费绩效目标表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13018426P005224100025</w:t>
            </w:r>
          </w:p>
        </w:tc>
        <w:tc>
          <w:tcPr>
            <w:tcW w:w="2835" w:type="dxa"/>
            <w:vAlign w:val="center"/>
          </w:tcPr>
          <w:p>
            <w:pPr>
              <w:pStyle w:val="11"/>
            </w:pPr>
            <w:r>
              <w:t>项目名称</w:t>
            </w:r>
          </w:p>
        </w:tc>
        <w:tc>
          <w:tcPr>
            <w:tcW w:w="6095" w:type="dxa"/>
            <w:gridSpan w:val="3"/>
            <w:vAlign w:val="center"/>
          </w:tcPr>
          <w:p>
            <w:pPr>
              <w:pStyle w:val="13"/>
            </w:pPr>
            <w:r>
              <w:t>2026年本级支出-财政委托业务费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716.00</w:t>
            </w:r>
          </w:p>
        </w:tc>
        <w:tc>
          <w:tcPr>
            <w:tcW w:w="2835" w:type="dxa"/>
            <w:vAlign w:val="center"/>
          </w:tcPr>
          <w:p>
            <w:pPr>
              <w:pStyle w:val="11"/>
            </w:pPr>
            <w:r>
              <w:t>其中：财政    资金</w:t>
            </w:r>
          </w:p>
        </w:tc>
        <w:tc>
          <w:tcPr>
            <w:tcW w:w="2551" w:type="dxa"/>
            <w:vAlign w:val="center"/>
          </w:tcPr>
          <w:p>
            <w:pPr>
              <w:pStyle w:val="13"/>
            </w:pPr>
            <w:r>
              <w:t>716.00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保证全市评审项目支出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全年预算资金完成率</w:t>
            </w:r>
          </w:p>
        </w:tc>
        <w:tc>
          <w:tcPr>
            <w:tcW w:w="5386" w:type="dxa"/>
            <w:vAlign w:val="center"/>
          </w:tcPr>
          <w:p>
            <w:pPr>
              <w:pStyle w:val="13"/>
            </w:pPr>
            <w:r>
              <w:t>全年预算资金完成率</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保障相关业务、工作等开展情况</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提供优质服务</w:t>
            </w:r>
          </w:p>
        </w:tc>
        <w:tc>
          <w:tcPr>
            <w:tcW w:w="5386" w:type="dxa"/>
            <w:vAlign w:val="center"/>
          </w:tcPr>
          <w:p>
            <w:pPr>
              <w:pStyle w:val="13"/>
            </w:pPr>
            <w:r>
              <w:t>提供优质服务</w:t>
            </w:r>
          </w:p>
        </w:tc>
        <w:tc>
          <w:tcPr>
            <w:tcW w:w="2268" w:type="dxa"/>
            <w:vAlign w:val="center"/>
          </w:tcPr>
          <w:p>
            <w:pPr>
              <w:pStyle w:val="13"/>
            </w:pPr>
            <w:r>
              <w:t>≥95 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 百分比</w:t>
            </w:r>
          </w:p>
        </w:tc>
        <w:tc>
          <w:tcPr>
            <w:tcW w:w="1276" w:type="dxa"/>
            <w:vAlign w:val="center"/>
          </w:tcPr>
          <w:p>
            <w:pPr>
              <w:pStyle w:val="13"/>
            </w:pPr>
            <w:r>
              <w:t>项目测算</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2、2026年本级支出-机关运行绩效目标表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13018426P00522310184Y</w:t>
            </w:r>
          </w:p>
        </w:tc>
        <w:tc>
          <w:tcPr>
            <w:tcW w:w="2835" w:type="dxa"/>
            <w:vAlign w:val="center"/>
          </w:tcPr>
          <w:p>
            <w:pPr>
              <w:pStyle w:val="11"/>
            </w:pPr>
            <w:r>
              <w:t>项目名称</w:t>
            </w:r>
          </w:p>
        </w:tc>
        <w:tc>
          <w:tcPr>
            <w:tcW w:w="6095" w:type="dxa"/>
            <w:gridSpan w:val="3"/>
            <w:vAlign w:val="center"/>
          </w:tcPr>
          <w:p>
            <w:pPr>
              <w:pStyle w:val="13"/>
            </w:pPr>
            <w:r>
              <w:t>2026年本级支出-机关运行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机关运行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综合事务完成率</w:t>
            </w:r>
          </w:p>
        </w:tc>
        <w:tc>
          <w:tcPr>
            <w:tcW w:w="5386" w:type="dxa"/>
            <w:vAlign w:val="center"/>
          </w:tcPr>
          <w:p>
            <w:pPr>
              <w:pStyle w:val="13"/>
            </w:pPr>
            <w:r>
              <w:t>综合事务完成率</w:t>
            </w:r>
          </w:p>
        </w:tc>
        <w:tc>
          <w:tcPr>
            <w:tcW w:w="2268" w:type="dxa"/>
            <w:vAlign w:val="center"/>
          </w:tcPr>
          <w:p>
            <w:pPr>
              <w:pStyle w:val="13"/>
            </w:pPr>
            <w:r>
              <w:t>≥95百分比</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财政拨款保障率</w:t>
            </w:r>
          </w:p>
        </w:tc>
        <w:tc>
          <w:tcPr>
            <w:tcW w:w="5386" w:type="dxa"/>
            <w:vAlign w:val="center"/>
          </w:tcPr>
          <w:p>
            <w:pPr>
              <w:pStyle w:val="13"/>
            </w:pPr>
            <w:r>
              <w:t>财政拨款保障率</w:t>
            </w:r>
          </w:p>
        </w:tc>
        <w:tc>
          <w:tcPr>
            <w:tcW w:w="2268" w:type="dxa"/>
            <w:vAlign w:val="center"/>
          </w:tcPr>
          <w:p>
            <w:pPr>
              <w:pStyle w:val="13"/>
            </w:pPr>
            <w:r>
              <w:t>≥95百分比</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≥95百分比</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≤10万元</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≥95百分比</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提升服务能力</w:t>
            </w:r>
          </w:p>
        </w:tc>
        <w:tc>
          <w:tcPr>
            <w:tcW w:w="5386" w:type="dxa"/>
            <w:vAlign w:val="center"/>
          </w:tcPr>
          <w:p>
            <w:pPr>
              <w:pStyle w:val="13"/>
            </w:pPr>
            <w:r>
              <w:t>提升服务能力</w:t>
            </w:r>
          </w:p>
        </w:tc>
        <w:tc>
          <w:tcPr>
            <w:tcW w:w="2268" w:type="dxa"/>
            <w:vAlign w:val="center"/>
          </w:tcPr>
          <w:p>
            <w:pPr>
              <w:pStyle w:val="13"/>
            </w:pPr>
            <w:r>
              <w:t>≥95百分比</w:t>
            </w:r>
          </w:p>
        </w:tc>
        <w:tc>
          <w:tcPr>
            <w:tcW w:w="1276" w:type="dxa"/>
            <w:vAlign w:val="center"/>
          </w:tcPr>
          <w:p>
            <w:pPr>
              <w:pStyle w:val="13"/>
            </w:pPr>
            <w:r>
              <w:t xml:space="preserve"> 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 xml:space="preserve"> 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3、2026年本级支出-集中印刷绩效目标表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13018426P00522310183B</w:t>
            </w:r>
          </w:p>
        </w:tc>
        <w:tc>
          <w:tcPr>
            <w:tcW w:w="2835" w:type="dxa"/>
            <w:vAlign w:val="center"/>
          </w:tcPr>
          <w:p>
            <w:pPr>
              <w:pStyle w:val="11"/>
            </w:pPr>
            <w:r>
              <w:t>项目名称</w:t>
            </w:r>
          </w:p>
        </w:tc>
        <w:tc>
          <w:tcPr>
            <w:tcW w:w="6095" w:type="dxa"/>
            <w:gridSpan w:val="3"/>
            <w:vAlign w:val="center"/>
          </w:tcPr>
          <w:p>
            <w:pPr>
              <w:pStyle w:val="13"/>
            </w:pPr>
            <w:r>
              <w:t>2026年本级支出-集中印刷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集中印刷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1.保证全市预决算报告及部分保密文件的印刷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资金使用合规率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资金支出率（%）</w:t>
            </w:r>
          </w:p>
        </w:tc>
        <w:tc>
          <w:tcPr>
            <w:tcW w:w="5386" w:type="dxa"/>
            <w:vAlign w:val="center"/>
          </w:tcPr>
          <w:p>
            <w:pPr>
              <w:pStyle w:val="13"/>
            </w:pPr>
            <w:r>
              <w:t>资金支出率（%）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项目资金总额</w:t>
            </w:r>
          </w:p>
        </w:tc>
        <w:tc>
          <w:tcPr>
            <w:tcW w:w="5386" w:type="dxa"/>
            <w:vAlign w:val="center"/>
          </w:tcPr>
          <w:p>
            <w:pPr>
              <w:pStyle w:val="13"/>
            </w:pPr>
            <w:r>
              <w:t>项目资金总额</w:t>
            </w:r>
          </w:p>
        </w:tc>
        <w:tc>
          <w:tcPr>
            <w:tcW w:w="2268" w:type="dxa"/>
            <w:vAlign w:val="center"/>
          </w:tcPr>
          <w:p>
            <w:pPr>
              <w:pStyle w:val="13"/>
            </w:pPr>
            <w:r>
              <w:t>2万元</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4、2026年本级支出-信息化建设绩效目标表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13018426P005223100104</w:t>
            </w:r>
          </w:p>
        </w:tc>
        <w:tc>
          <w:tcPr>
            <w:tcW w:w="2835" w:type="dxa"/>
            <w:vAlign w:val="center"/>
          </w:tcPr>
          <w:p>
            <w:pPr>
              <w:pStyle w:val="11"/>
            </w:pPr>
            <w:r>
              <w:t>项目名称</w:t>
            </w:r>
          </w:p>
        </w:tc>
        <w:tc>
          <w:tcPr>
            <w:tcW w:w="6095" w:type="dxa"/>
            <w:gridSpan w:val="3"/>
            <w:vAlign w:val="center"/>
          </w:tcPr>
          <w:p>
            <w:pPr>
              <w:pStyle w:val="13"/>
            </w:pPr>
            <w:r>
              <w:t>2026年本级支出-信息化建设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信息化建设</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1.保证全市一体化正常运转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资金使用合规率</w:t>
            </w:r>
          </w:p>
        </w:tc>
        <w:tc>
          <w:tcPr>
            <w:tcW w:w="5386" w:type="dxa"/>
            <w:vAlign w:val="center"/>
          </w:tcPr>
          <w:p>
            <w:pPr>
              <w:pStyle w:val="13"/>
            </w:pPr>
            <w:r>
              <w:t>资金使用合规率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项目资金总额</w:t>
            </w:r>
          </w:p>
        </w:tc>
        <w:tc>
          <w:tcPr>
            <w:tcW w:w="5386" w:type="dxa"/>
            <w:vAlign w:val="center"/>
          </w:tcPr>
          <w:p>
            <w:pPr>
              <w:pStyle w:val="13"/>
            </w:pPr>
            <w:r>
              <w:t>项目资金总额</w:t>
            </w:r>
          </w:p>
        </w:tc>
        <w:tc>
          <w:tcPr>
            <w:tcW w:w="2268" w:type="dxa"/>
            <w:vAlign w:val="center"/>
          </w:tcPr>
          <w:p>
            <w:pPr>
              <w:pStyle w:val="13"/>
            </w:pPr>
            <w:r>
              <w:t>7万元</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≥95百分比</w:t>
            </w:r>
          </w:p>
        </w:tc>
        <w:tc>
          <w:tcPr>
            <w:tcW w:w="1276" w:type="dxa"/>
            <w:vAlign w:val="center"/>
          </w:tcPr>
          <w:p>
            <w:pPr>
              <w:pStyle w:val="13"/>
            </w:pPr>
            <w:r>
              <w:t>项目测算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项目测算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5、新乐市存量政府投资项目绩效目标表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130184257PIUXE0K94UBZ</w:t>
            </w:r>
          </w:p>
        </w:tc>
        <w:tc>
          <w:tcPr>
            <w:tcW w:w="2835" w:type="dxa"/>
            <w:vAlign w:val="center"/>
          </w:tcPr>
          <w:p>
            <w:pPr>
              <w:pStyle w:val="11"/>
            </w:pPr>
            <w:r>
              <w:t>项目名称</w:t>
            </w:r>
          </w:p>
        </w:tc>
        <w:tc>
          <w:tcPr>
            <w:tcW w:w="6095" w:type="dxa"/>
            <w:gridSpan w:val="3"/>
            <w:vAlign w:val="center"/>
          </w:tcPr>
          <w:p>
            <w:pPr>
              <w:pStyle w:val="13"/>
            </w:pPr>
            <w:r>
              <w:t>新乐市存量政府投资项目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完成6300万元债券资金拨付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1.完成6300万元债券资金拨付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新改建农村公路里程</w:t>
            </w:r>
          </w:p>
        </w:tc>
        <w:tc>
          <w:tcPr>
            <w:tcW w:w="5386" w:type="dxa"/>
            <w:vAlign w:val="center"/>
          </w:tcPr>
          <w:p>
            <w:pPr>
              <w:pStyle w:val="13"/>
            </w:pPr>
            <w:r>
              <w:t>新改建农村公路里程</w:t>
            </w:r>
          </w:p>
        </w:tc>
        <w:tc>
          <w:tcPr>
            <w:tcW w:w="2268" w:type="dxa"/>
            <w:vAlign w:val="center"/>
          </w:tcPr>
          <w:p>
            <w:pPr>
              <w:pStyle w:val="13"/>
            </w:pPr>
            <w:r>
              <w:t>≥1公里</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实现道路连接村个数</w:t>
            </w:r>
          </w:p>
        </w:tc>
        <w:tc>
          <w:tcPr>
            <w:tcW w:w="5386" w:type="dxa"/>
            <w:vAlign w:val="center"/>
          </w:tcPr>
          <w:p>
            <w:pPr>
              <w:pStyle w:val="13"/>
            </w:pPr>
            <w:r>
              <w:t>实现道路连接村个数</w:t>
            </w:r>
          </w:p>
        </w:tc>
        <w:tc>
          <w:tcPr>
            <w:tcW w:w="2268" w:type="dxa"/>
            <w:vAlign w:val="center"/>
          </w:tcPr>
          <w:p>
            <w:pPr>
              <w:pStyle w:val="13"/>
            </w:pPr>
            <w:r>
              <w:t>≥1个</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新建改建公路里程</w:t>
            </w:r>
          </w:p>
        </w:tc>
        <w:tc>
          <w:tcPr>
            <w:tcW w:w="5386" w:type="dxa"/>
            <w:vAlign w:val="center"/>
          </w:tcPr>
          <w:p>
            <w:pPr>
              <w:pStyle w:val="13"/>
            </w:pPr>
            <w:r>
              <w:t>新建改建公路里程</w:t>
            </w:r>
          </w:p>
        </w:tc>
        <w:tc>
          <w:tcPr>
            <w:tcW w:w="2268" w:type="dxa"/>
            <w:vAlign w:val="center"/>
          </w:tcPr>
          <w:p>
            <w:pPr>
              <w:pStyle w:val="13"/>
            </w:pPr>
            <w:r>
              <w:t>≥1公里</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新增硬化路里程</w:t>
            </w:r>
          </w:p>
        </w:tc>
        <w:tc>
          <w:tcPr>
            <w:tcW w:w="5386" w:type="dxa"/>
            <w:vAlign w:val="center"/>
          </w:tcPr>
          <w:p>
            <w:pPr>
              <w:pStyle w:val="13"/>
            </w:pPr>
            <w:r>
              <w:t>新增硬化路里程</w:t>
            </w:r>
          </w:p>
        </w:tc>
        <w:tc>
          <w:tcPr>
            <w:tcW w:w="2268" w:type="dxa"/>
            <w:vAlign w:val="center"/>
          </w:tcPr>
          <w:p>
            <w:pPr>
              <w:pStyle w:val="13"/>
            </w:pPr>
            <w:r>
              <w:t>≥1公里</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公路危桥处置数量</w:t>
            </w:r>
          </w:p>
        </w:tc>
        <w:tc>
          <w:tcPr>
            <w:tcW w:w="5386" w:type="dxa"/>
            <w:vAlign w:val="center"/>
          </w:tcPr>
          <w:p>
            <w:pPr>
              <w:pStyle w:val="13"/>
            </w:pPr>
            <w:r>
              <w:t>公路危桥处置数量</w:t>
            </w:r>
          </w:p>
        </w:tc>
        <w:tc>
          <w:tcPr>
            <w:tcW w:w="2268" w:type="dxa"/>
            <w:vAlign w:val="center"/>
          </w:tcPr>
          <w:p>
            <w:pPr>
              <w:pStyle w:val="13"/>
            </w:pPr>
            <w:r>
              <w:t>≥1座</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项目工程质量合格率</w:t>
            </w:r>
          </w:p>
        </w:tc>
        <w:tc>
          <w:tcPr>
            <w:tcW w:w="5386" w:type="dxa"/>
            <w:vAlign w:val="center"/>
          </w:tcPr>
          <w:p>
            <w:pPr>
              <w:pStyle w:val="13"/>
            </w:pPr>
            <w:r>
              <w:t>项目工程质量合格率</w:t>
            </w:r>
          </w:p>
        </w:tc>
        <w:tc>
          <w:tcPr>
            <w:tcW w:w="2268" w:type="dxa"/>
            <w:vAlign w:val="center"/>
          </w:tcPr>
          <w:p>
            <w:pPr>
              <w:pStyle w:val="13"/>
            </w:pPr>
            <w:r>
              <w:t>≥1%</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对地区经济增长的贡献程度</w:t>
            </w:r>
          </w:p>
        </w:tc>
        <w:tc>
          <w:tcPr>
            <w:tcW w:w="5386" w:type="dxa"/>
            <w:vAlign w:val="center"/>
          </w:tcPr>
          <w:p>
            <w:pPr>
              <w:pStyle w:val="13"/>
            </w:pPr>
            <w:r>
              <w:t>对地区经济增长的贡献程度</w:t>
            </w:r>
          </w:p>
        </w:tc>
        <w:tc>
          <w:tcPr>
            <w:tcW w:w="2268" w:type="dxa"/>
            <w:vAlign w:val="center"/>
          </w:tcPr>
          <w:p>
            <w:pPr>
              <w:pStyle w:val="13"/>
            </w:pPr>
            <w:r>
              <w:t>≥1明显</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建制村通客车率</w:t>
            </w:r>
          </w:p>
        </w:tc>
        <w:tc>
          <w:tcPr>
            <w:tcW w:w="5386" w:type="dxa"/>
            <w:vAlign w:val="center"/>
          </w:tcPr>
          <w:p>
            <w:pPr>
              <w:pStyle w:val="13"/>
            </w:pPr>
            <w:r>
              <w:t>建制村通客车率</w:t>
            </w:r>
          </w:p>
        </w:tc>
        <w:tc>
          <w:tcPr>
            <w:tcW w:w="2268" w:type="dxa"/>
            <w:vAlign w:val="center"/>
          </w:tcPr>
          <w:p>
            <w:pPr>
              <w:pStyle w:val="13"/>
            </w:pPr>
            <w:r>
              <w:t>≥1%</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具备条件的村通硬化路率</w:t>
            </w:r>
          </w:p>
        </w:tc>
        <w:tc>
          <w:tcPr>
            <w:tcW w:w="5386" w:type="dxa"/>
            <w:vAlign w:val="center"/>
          </w:tcPr>
          <w:p>
            <w:pPr>
              <w:pStyle w:val="13"/>
            </w:pPr>
            <w:r>
              <w:t>具备条件的村通硬化路率</w:t>
            </w:r>
          </w:p>
        </w:tc>
        <w:tc>
          <w:tcPr>
            <w:tcW w:w="2268" w:type="dxa"/>
            <w:vAlign w:val="center"/>
          </w:tcPr>
          <w:p>
            <w:pPr>
              <w:pStyle w:val="13"/>
            </w:pPr>
            <w:r>
              <w:t>≥1%</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居民出行平均缩短时间</w:t>
            </w:r>
          </w:p>
        </w:tc>
        <w:tc>
          <w:tcPr>
            <w:tcW w:w="5386" w:type="dxa"/>
            <w:vAlign w:val="center"/>
          </w:tcPr>
          <w:p>
            <w:pPr>
              <w:pStyle w:val="13"/>
            </w:pPr>
            <w:r>
              <w:t>居民出行平均缩短时间</w:t>
            </w:r>
          </w:p>
        </w:tc>
        <w:tc>
          <w:tcPr>
            <w:tcW w:w="2268" w:type="dxa"/>
            <w:vAlign w:val="center"/>
          </w:tcPr>
          <w:p>
            <w:pPr>
              <w:pStyle w:val="13"/>
            </w:pPr>
            <w:r>
              <w:t>≥1小时</w:t>
            </w:r>
          </w:p>
        </w:tc>
        <w:tc>
          <w:tcPr>
            <w:tcW w:w="1276" w:type="dxa"/>
            <w:vAlign w:val="center"/>
          </w:tcPr>
          <w:p>
            <w:pPr>
              <w:pStyle w:val="13"/>
            </w:pPr>
            <w:r>
              <w:t>依据项目建设实际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≥100%</w:t>
            </w:r>
          </w:p>
        </w:tc>
        <w:tc>
          <w:tcPr>
            <w:tcW w:w="1276" w:type="dxa"/>
            <w:vAlign w:val="center"/>
          </w:tcPr>
          <w:p>
            <w:pPr>
              <w:pStyle w:val="13"/>
            </w:pPr>
            <w:r>
              <w:t>依据项目建设实际</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318新乐市财政局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716.00</w:t>
            </w:r>
          </w:p>
        </w:tc>
        <w:tc>
          <w:tcPr>
            <w:tcW w:w="964" w:type="dxa"/>
            <w:vAlign w:val="center"/>
          </w:tcPr>
          <w:p>
            <w:pPr>
              <w:pStyle w:val="16"/>
            </w:pPr>
            <w:r>
              <w:t>716.00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新乐市财政局本级小计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716.00</w:t>
            </w:r>
          </w:p>
        </w:tc>
        <w:tc>
          <w:tcPr>
            <w:tcW w:w="964" w:type="dxa"/>
            <w:vAlign w:val="center"/>
          </w:tcPr>
          <w:p>
            <w:pPr>
              <w:pStyle w:val="16"/>
            </w:pPr>
            <w:r>
              <w:t>716.00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2026年本级支出-财政委托业务费</w:t>
            </w:r>
          </w:p>
        </w:tc>
        <w:tc>
          <w:tcPr>
            <w:tcW w:w="964" w:type="dxa"/>
            <w:vAlign w:val="center"/>
          </w:tcPr>
          <w:p>
            <w:pPr>
              <w:pStyle w:val="12"/>
            </w:pPr>
            <w:r>
              <w:t>716.00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716.00</w:t>
            </w:r>
          </w:p>
        </w:tc>
        <w:tc>
          <w:tcPr>
            <w:tcW w:w="964" w:type="dxa"/>
            <w:vAlign w:val="center"/>
          </w:tcPr>
          <w:p>
            <w:pPr>
              <w:pStyle w:val="12"/>
            </w:pPr>
            <w:r>
              <w:t>716.00</w:t>
            </w:r>
          </w:p>
        </w:tc>
        <w:tc>
          <w:tcPr>
            <w:tcW w:w="964" w:type="dxa"/>
            <w:vAlign w:val="center"/>
          </w:tcPr>
          <w:p>
            <w:pPr>
              <w:pStyle w:val="12"/>
            </w:pPr>
            <w:r>
              <w:t>716.00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新乐市财政局（含所属单位）上年末固定资产金额为0.00万元（详见下表）。本年度拟购置固定资产总额为0.00万元，已按要求列入政府采购预算，详见政府采购预算表。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318新乐市财政局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A217FC"/>
    <w:rsid w:val="4E4258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1</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2026-03-04T16:12:00Z</dcterms:created>
  <dc:creator>Administrator</dc:creator>
  <cp:lastModifiedBy>Administrator</cp:lastModifiedBy>
  <dcterms:modified xsi:type="dcterms:W3CDTF">2026-03-04T08:31:16Z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