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32</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56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4789.37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3626.87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2120.00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8.60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486.57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65.46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113.82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6909.37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6909.37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6909.37</w:t>
            </w:r>
          </w:p>
        </w:tc>
        <w:tc>
          <w:tcPr>
            <w:tcW w:w="4535" w:type="dxa"/>
            <w:vAlign w:val="center"/>
          </w:tcPr>
          <w:p>
            <w:pPr>
              <w:pStyle w:val="单元格样式6"/>
            </w:pPr>
            <w:r>
              <w:t xml:space="preserve">支出总计</w:t>
            </w:r>
          </w:p>
        </w:tc>
        <w:tc>
          <w:tcPr>
            <w:tcW w:w="2126" w:type="dxa"/>
            <w:vAlign w:val="center"/>
          </w:tcPr>
          <w:p>
            <w:pPr>
              <w:pStyle w:val="单元格样式7"/>
            </w:pPr>
            <w:r>
              <w:t xml:space="preserve">6909.37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6909.37</w:t>
            </w:r>
          </w:p>
        </w:tc>
        <w:tc>
          <w:tcPr>
            <w:tcW w:w="1134" w:type="dxa"/>
            <w:vAlign w:val="center"/>
          </w:tcPr>
          <w:p>
            <w:pPr>
              <w:pStyle w:val="单元格样式7"/>
            </w:pPr>
            <w:r>
              <w:t xml:space="preserve">6909.37</w:t>
            </w:r>
          </w:p>
        </w:tc>
        <w:tc>
          <w:tcPr>
            <w:tcW w:w="1134" w:type="dxa"/>
            <w:vAlign w:val="center"/>
          </w:tcPr>
          <w:p>
            <w:pPr>
              <w:pStyle w:val="单元格样式7"/>
            </w:pPr>
            <w:r>
              <w:t xml:space="preserve">6909.37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2873.18</w:t>
            </w:r>
          </w:p>
        </w:tc>
        <w:tc>
          <w:tcPr>
            <w:tcW w:w="1134" w:type="dxa"/>
            <w:vAlign w:val="center"/>
          </w:tcPr>
          <w:p>
            <w:pPr>
              <w:pStyle w:val="单元格样式4"/>
            </w:pPr>
            <w:r>
              <w:t xml:space="preserve">2873.18</w:t>
            </w:r>
          </w:p>
        </w:tc>
        <w:tc>
          <w:tcPr>
            <w:tcW w:w="1134" w:type="dxa"/>
            <w:vAlign w:val="center"/>
          </w:tcPr>
          <w:p>
            <w:pPr>
              <w:pStyle w:val="单元格样式4"/>
            </w:pPr>
            <w:r>
              <w:t xml:space="preserve">2873.18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753.69</w:t>
            </w:r>
          </w:p>
        </w:tc>
        <w:tc>
          <w:tcPr>
            <w:tcW w:w="1134" w:type="dxa"/>
            <w:vAlign w:val="center"/>
          </w:tcPr>
          <w:p>
            <w:pPr>
              <w:pStyle w:val="单元格样式4"/>
            </w:pPr>
            <w:r>
              <w:t xml:space="preserve">753.69</w:t>
            </w:r>
          </w:p>
        </w:tc>
        <w:tc>
          <w:tcPr>
            <w:tcW w:w="1134" w:type="dxa"/>
            <w:vAlign w:val="center"/>
          </w:tcPr>
          <w:p>
            <w:pPr>
              <w:pStyle w:val="单元格样式4"/>
            </w:pPr>
            <w:r>
              <w:t xml:space="preserve">753.69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8.60</w:t>
            </w:r>
          </w:p>
        </w:tc>
        <w:tc>
          <w:tcPr>
            <w:tcW w:w="1134" w:type="dxa"/>
            <w:vAlign w:val="center"/>
          </w:tcPr>
          <w:p>
            <w:pPr>
              <w:pStyle w:val="单元格样式4"/>
            </w:pPr>
            <w:r>
              <w:t xml:space="preserve">8.60</w:t>
            </w:r>
          </w:p>
        </w:tc>
        <w:tc>
          <w:tcPr>
            <w:tcW w:w="1134" w:type="dxa"/>
            <w:vAlign w:val="center"/>
          </w:tcPr>
          <w:p>
            <w:pPr>
              <w:pStyle w:val="单元格样式4"/>
            </w:pPr>
            <w:r>
              <w:t xml:space="preserve">8.60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486.57</w:t>
            </w:r>
          </w:p>
        </w:tc>
        <w:tc>
          <w:tcPr>
            <w:tcW w:w="1134" w:type="dxa"/>
            <w:vAlign w:val="center"/>
          </w:tcPr>
          <w:p>
            <w:pPr>
              <w:pStyle w:val="单元格样式4"/>
            </w:pPr>
            <w:r>
              <w:t xml:space="preserve">486.57</w:t>
            </w:r>
          </w:p>
        </w:tc>
        <w:tc>
          <w:tcPr>
            <w:tcW w:w="1134" w:type="dxa"/>
            <w:vAlign w:val="center"/>
          </w:tcPr>
          <w:p>
            <w:pPr>
              <w:pStyle w:val="单元格样式4"/>
            </w:pPr>
            <w:r>
              <w:t xml:space="preserve">486.57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472.97</w:t>
            </w:r>
          </w:p>
        </w:tc>
        <w:tc>
          <w:tcPr>
            <w:tcW w:w="1134" w:type="dxa"/>
            <w:vAlign w:val="center"/>
          </w:tcPr>
          <w:p>
            <w:pPr>
              <w:pStyle w:val="单元格样式4"/>
            </w:pPr>
            <w:r>
              <w:t xml:space="preserve">472.97</w:t>
            </w:r>
          </w:p>
        </w:tc>
        <w:tc>
          <w:tcPr>
            <w:tcW w:w="1134" w:type="dxa"/>
            <w:vAlign w:val="center"/>
          </w:tcPr>
          <w:p>
            <w:pPr>
              <w:pStyle w:val="单元格样式4"/>
            </w:pPr>
            <w:r>
              <w:t xml:space="preserve">472.97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251.89</w:t>
            </w:r>
          </w:p>
        </w:tc>
        <w:tc>
          <w:tcPr>
            <w:tcW w:w="1134" w:type="dxa"/>
            <w:vAlign w:val="center"/>
          </w:tcPr>
          <w:p>
            <w:pPr>
              <w:pStyle w:val="单元格样式4"/>
            </w:pPr>
            <w:r>
              <w:t xml:space="preserve">251.89</w:t>
            </w:r>
          </w:p>
        </w:tc>
        <w:tc>
          <w:tcPr>
            <w:tcW w:w="1134" w:type="dxa"/>
            <w:vAlign w:val="center"/>
          </w:tcPr>
          <w:p>
            <w:pPr>
              <w:pStyle w:val="单元格样式4"/>
            </w:pPr>
            <w:r>
              <w:t xml:space="preserve">251.89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141.08</w:t>
            </w:r>
          </w:p>
        </w:tc>
        <w:tc>
          <w:tcPr>
            <w:tcW w:w="1134" w:type="dxa"/>
            <w:vAlign w:val="center"/>
          </w:tcPr>
          <w:p>
            <w:pPr>
              <w:pStyle w:val="单元格样式4"/>
            </w:pPr>
            <w:r>
              <w:t xml:space="preserve">141.08</w:t>
            </w:r>
          </w:p>
        </w:tc>
        <w:tc>
          <w:tcPr>
            <w:tcW w:w="1134" w:type="dxa"/>
            <w:vAlign w:val="center"/>
          </w:tcPr>
          <w:p>
            <w:pPr>
              <w:pStyle w:val="单元格样式4"/>
            </w:pPr>
            <w:r>
              <w:t xml:space="preserve">141.08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1920.00</w:t>
            </w:r>
          </w:p>
        </w:tc>
        <w:tc>
          <w:tcPr>
            <w:tcW w:w="1134" w:type="dxa"/>
            <w:vAlign w:val="center"/>
          </w:tcPr>
          <w:p>
            <w:pPr>
              <w:pStyle w:val="单元格样式4"/>
            </w:pPr>
            <w:r>
              <w:t xml:space="preserve">1920.00</w:t>
            </w:r>
          </w:p>
        </w:tc>
        <w:tc>
          <w:tcPr>
            <w:tcW w:w="1134" w:type="dxa"/>
            <w:vAlign w:val="center"/>
          </w:tcPr>
          <w:p>
            <w:pPr>
              <w:pStyle w:val="单元格样式4"/>
            </w:pPr>
            <w:r>
              <w:t xml:space="preserve">1920.00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2120810</w:t>
            </w:r>
          </w:p>
        </w:tc>
        <w:tc>
          <w:tcPr>
            <w:tcW w:w="1559" w:type="dxa"/>
            <w:vAlign w:val="center"/>
          </w:tcPr>
          <w:p>
            <w:pPr>
              <w:pStyle w:val="单元格样式2"/>
            </w:pPr>
            <w:r>
              <w:t xml:space="preserve">棚户区改造支出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6909.37</w:t>
            </w:r>
          </w:p>
        </w:tc>
        <w:tc>
          <w:tcPr>
            <w:tcW w:w="1361" w:type="dxa"/>
            <w:vAlign w:val="center"/>
          </w:tcPr>
          <w:p>
            <w:pPr>
              <w:pStyle w:val="单元格样式7"/>
            </w:pPr>
            <w:r>
              <w:t xml:space="preserve">3539.03</w:t>
            </w:r>
          </w:p>
        </w:tc>
        <w:tc>
          <w:tcPr>
            <w:tcW w:w="1361" w:type="dxa"/>
            <w:vAlign w:val="center"/>
          </w:tcPr>
          <w:p>
            <w:pPr>
              <w:pStyle w:val="单元格样式7"/>
            </w:pPr>
            <w:r>
              <w:t xml:space="preserve">3370.34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3626.87</w:t>
            </w:r>
          </w:p>
        </w:tc>
        <w:tc>
          <w:tcPr>
            <w:tcW w:w="1361" w:type="dxa"/>
            <w:vAlign w:val="center"/>
          </w:tcPr>
          <w:p>
            <w:pPr>
              <w:pStyle w:val="单元格样式4"/>
            </w:pPr>
            <w:r>
              <w:t xml:space="preserve">2873.18</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3626.87</w:t>
            </w:r>
          </w:p>
        </w:tc>
        <w:tc>
          <w:tcPr>
            <w:tcW w:w="1361" w:type="dxa"/>
            <w:vAlign w:val="center"/>
          </w:tcPr>
          <w:p>
            <w:pPr>
              <w:pStyle w:val="单元格样式4"/>
            </w:pPr>
            <w:r>
              <w:t xml:space="preserve">2873.18</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2873.18</w:t>
            </w:r>
          </w:p>
        </w:tc>
        <w:tc>
          <w:tcPr>
            <w:tcW w:w="1361" w:type="dxa"/>
            <w:vAlign w:val="center"/>
          </w:tcPr>
          <w:p>
            <w:pPr>
              <w:pStyle w:val="单元格样式4"/>
            </w:pPr>
            <w:r>
              <w:t xml:space="preserve">2873.18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8.60</w:t>
            </w:r>
          </w:p>
        </w:tc>
        <w:tc>
          <w:tcPr>
            <w:tcW w:w="1361" w:type="dxa"/>
            <w:vAlign w:val="center"/>
          </w:tcPr>
          <w:p>
            <w:pPr>
              <w:pStyle w:val="单元格样式4"/>
            </w:pPr>
          </w:p>
        </w:tc>
        <w:tc>
          <w:tcPr>
            <w:tcW w:w="1361" w:type="dxa"/>
            <w:vAlign w:val="center"/>
          </w:tcPr>
          <w:p>
            <w:pPr>
              <w:pStyle w:val="单元格样式4"/>
            </w:pPr>
            <w:r>
              <w:t xml:space="preserve">8.60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486.57</w:t>
            </w:r>
          </w:p>
        </w:tc>
        <w:tc>
          <w:tcPr>
            <w:tcW w:w="1361" w:type="dxa"/>
            <w:vAlign w:val="center"/>
          </w:tcPr>
          <w:p>
            <w:pPr>
              <w:pStyle w:val="单元格样式4"/>
            </w:pPr>
            <w:r>
              <w:t xml:space="preserve">486.57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472.97</w:t>
            </w:r>
          </w:p>
        </w:tc>
        <w:tc>
          <w:tcPr>
            <w:tcW w:w="1361" w:type="dxa"/>
            <w:vAlign w:val="center"/>
          </w:tcPr>
          <w:p>
            <w:pPr>
              <w:pStyle w:val="单元格样式4"/>
            </w:pPr>
            <w:r>
              <w:t xml:space="preserve">472.97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251.89</w:t>
            </w:r>
          </w:p>
        </w:tc>
        <w:tc>
          <w:tcPr>
            <w:tcW w:w="1361" w:type="dxa"/>
            <w:vAlign w:val="center"/>
          </w:tcPr>
          <w:p>
            <w:pPr>
              <w:pStyle w:val="单元格样式4"/>
            </w:pPr>
            <w:r>
              <w:t xml:space="preserve">251.89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141.08</w:t>
            </w:r>
          </w:p>
        </w:tc>
        <w:tc>
          <w:tcPr>
            <w:tcW w:w="1361" w:type="dxa"/>
            <w:vAlign w:val="center"/>
          </w:tcPr>
          <w:p>
            <w:pPr>
              <w:pStyle w:val="单元格样式4"/>
            </w:pPr>
            <w:r>
              <w:t xml:space="preserve">141.08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80.00</w:t>
            </w: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6.66</w:t>
            </w:r>
          </w:p>
        </w:tc>
        <w:tc>
          <w:tcPr>
            <w:tcW w:w="1361" w:type="dxa"/>
            <w:vAlign w:val="center"/>
          </w:tcPr>
          <w:p>
            <w:pPr>
              <w:pStyle w:val="单元格样式4"/>
            </w:pPr>
            <w:r>
              <w:t xml:space="preserve">6.66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6.66</w:t>
            </w:r>
          </w:p>
        </w:tc>
        <w:tc>
          <w:tcPr>
            <w:tcW w:w="1361" w:type="dxa"/>
            <w:vAlign w:val="center"/>
          </w:tcPr>
          <w:p>
            <w:pPr>
              <w:pStyle w:val="单元格样式4"/>
            </w:pPr>
            <w:r>
              <w:t xml:space="preserve">6.66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6.94</w:t>
            </w:r>
          </w:p>
        </w:tc>
        <w:tc>
          <w:tcPr>
            <w:tcW w:w="1361" w:type="dxa"/>
            <w:vAlign w:val="center"/>
          </w:tcPr>
          <w:p>
            <w:pPr>
              <w:pStyle w:val="单元格样式4"/>
            </w:pPr>
            <w:r>
              <w:t xml:space="preserve">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6.94</w:t>
            </w:r>
          </w:p>
        </w:tc>
        <w:tc>
          <w:tcPr>
            <w:tcW w:w="1361" w:type="dxa"/>
            <w:vAlign w:val="center"/>
          </w:tcPr>
          <w:p>
            <w:pPr>
              <w:pStyle w:val="单元格样式4"/>
            </w:pPr>
            <w:r>
              <w:t xml:space="preserve">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1920.00</w:t>
            </w:r>
          </w:p>
        </w:tc>
        <w:tc>
          <w:tcPr>
            <w:tcW w:w="1361" w:type="dxa"/>
            <w:vAlign w:val="center"/>
          </w:tcPr>
          <w:p>
            <w:pPr>
              <w:pStyle w:val="单元格样式4"/>
            </w:pPr>
          </w:p>
        </w:tc>
        <w:tc>
          <w:tcPr>
            <w:tcW w:w="1361" w:type="dxa"/>
            <w:vAlign w:val="center"/>
          </w:tcPr>
          <w:p>
            <w:pPr>
              <w:pStyle w:val="单元格样式4"/>
            </w:pPr>
            <w:r>
              <w:t xml:space="preserve">1920.00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4789.37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3626.87</w:t>
            </w:r>
          </w:p>
        </w:tc>
        <w:tc>
          <w:tcPr>
            <w:tcW w:w="1474" w:type="dxa"/>
            <w:vAlign w:val="center"/>
          </w:tcPr>
          <w:p>
            <w:pPr>
              <w:pStyle w:val="单元格样式4"/>
            </w:pPr>
            <w:r>
              <w:t xml:space="preserve">3626.87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2120.00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8.60</w:t>
            </w:r>
          </w:p>
        </w:tc>
        <w:tc>
          <w:tcPr>
            <w:tcW w:w="1474" w:type="dxa"/>
            <w:vAlign w:val="center"/>
          </w:tcPr>
          <w:p>
            <w:pPr>
              <w:pStyle w:val="单元格样式4"/>
            </w:pPr>
            <w:r>
              <w:t xml:space="preserve">8.60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486.57</w:t>
            </w:r>
          </w:p>
        </w:tc>
        <w:tc>
          <w:tcPr>
            <w:tcW w:w="1474" w:type="dxa"/>
            <w:vAlign w:val="center"/>
          </w:tcPr>
          <w:p>
            <w:pPr>
              <w:pStyle w:val="单元格样式4"/>
            </w:pPr>
            <w:r>
              <w:t xml:space="preserve">486.57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65.46</w:t>
            </w:r>
          </w:p>
        </w:tc>
        <w:tc>
          <w:tcPr>
            <w:tcW w:w="1474" w:type="dxa"/>
            <w:vAlign w:val="center"/>
          </w:tcPr>
          <w:p>
            <w:pPr>
              <w:pStyle w:val="单元格样式4"/>
            </w:pPr>
            <w:r>
              <w:t xml:space="preserve">65.46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172.41</w:t>
            </w:r>
          </w:p>
        </w:tc>
        <w:tc>
          <w:tcPr>
            <w:tcW w:w="1474" w:type="dxa"/>
            <w:vAlign w:val="center"/>
          </w:tcPr>
          <w:p>
            <w:pPr>
              <w:pStyle w:val="单元格样式4"/>
            </w:pPr>
            <w:r>
              <w:t xml:space="preserve">172.41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2120.00</w:t>
            </w:r>
          </w:p>
        </w:tc>
        <w:tc>
          <w:tcPr>
            <w:tcW w:w="1474" w:type="dxa"/>
            <w:vAlign w:val="center"/>
          </w:tcPr>
          <w:p>
            <w:pPr>
              <w:pStyle w:val="单元格样式4"/>
            </w:pPr>
          </w:p>
        </w:tc>
        <w:tc>
          <w:tcPr>
            <w:tcW w:w="1474" w:type="dxa"/>
            <w:vAlign w:val="center"/>
          </w:tcPr>
          <w:p>
            <w:pPr>
              <w:pStyle w:val="单元格样式4"/>
            </w:pPr>
            <w:r>
              <w:t xml:space="preserve">2120.00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315.64</w:t>
            </w:r>
          </w:p>
        </w:tc>
        <w:tc>
          <w:tcPr>
            <w:tcW w:w="1474" w:type="dxa"/>
            <w:vAlign w:val="center"/>
          </w:tcPr>
          <w:p>
            <w:pPr>
              <w:pStyle w:val="单元格样式4"/>
            </w:pPr>
            <w:r>
              <w:t xml:space="preserve">315.64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113.82</w:t>
            </w:r>
          </w:p>
        </w:tc>
        <w:tc>
          <w:tcPr>
            <w:tcW w:w="1474" w:type="dxa"/>
            <w:vAlign w:val="center"/>
          </w:tcPr>
          <w:p>
            <w:pPr>
              <w:pStyle w:val="单元格样式4"/>
            </w:pPr>
            <w:r>
              <w:t xml:space="preserve">113.82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6909.37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6909.37</w:t>
            </w:r>
          </w:p>
        </w:tc>
        <w:tc>
          <w:tcPr>
            <w:tcW w:w="1474" w:type="dxa"/>
            <w:vAlign w:val="center"/>
          </w:tcPr>
          <w:p>
            <w:pPr>
              <w:pStyle w:val="单元格样式7"/>
            </w:pPr>
            <w:r>
              <w:t xml:space="preserve">4789.37</w:t>
            </w:r>
          </w:p>
        </w:tc>
        <w:tc>
          <w:tcPr>
            <w:tcW w:w="1474" w:type="dxa"/>
            <w:vAlign w:val="center"/>
          </w:tcPr>
          <w:p>
            <w:pPr>
              <w:pStyle w:val="单元格样式7"/>
            </w:pPr>
            <w:r>
              <w:t xml:space="preserve">2120.00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6909.37</w:t>
            </w:r>
          </w:p>
        </w:tc>
        <w:tc>
          <w:tcPr>
            <w:tcW w:w="3402" w:type="dxa"/>
            <w:vAlign w:val="center"/>
          </w:tcPr>
          <w:p>
            <w:pPr>
              <w:pStyle w:val="单元格样式6"/>
            </w:pPr>
            <w:r>
              <w:t xml:space="preserve">支出总计</w:t>
            </w:r>
          </w:p>
        </w:tc>
        <w:tc>
          <w:tcPr>
            <w:tcW w:w="1474" w:type="dxa"/>
            <w:vAlign w:val="center"/>
          </w:tcPr>
          <w:p>
            <w:pPr>
              <w:pStyle w:val="单元格样式7"/>
            </w:pPr>
            <w:r>
              <w:t xml:space="preserve">6909.37</w:t>
            </w:r>
          </w:p>
        </w:tc>
        <w:tc>
          <w:tcPr>
            <w:tcW w:w="1474" w:type="dxa"/>
            <w:vAlign w:val="center"/>
          </w:tcPr>
          <w:p>
            <w:pPr>
              <w:pStyle w:val="单元格样式7"/>
            </w:pPr>
            <w:r>
              <w:t xml:space="preserve">4789.37</w:t>
            </w:r>
          </w:p>
        </w:tc>
        <w:tc>
          <w:tcPr>
            <w:tcW w:w="1474" w:type="dxa"/>
            <w:vAlign w:val="center"/>
          </w:tcPr>
          <w:p>
            <w:pPr>
              <w:pStyle w:val="单元格样式7"/>
            </w:pPr>
            <w:r>
              <w:t xml:space="preserve">2120.00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4789.37</w:t>
            </w:r>
          </w:p>
        </w:tc>
        <w:tc>
          <w:tcPr>
            <w:tcW w:w="2551" w:type="dxa"/>
            <w:vAlign w:val="center"/>
          </w:tcPr>
          <w:p>
            <w:pPr>
              <w:pStyle w:val="单元格样式7"/>
            </w:pPr>
            <w:r>
              <w:t xml:space="preserve">3539.03</w:t>
            </w:r>
          </w:p>
        </w:tc>
        <w:tc>
          <w:tcPr>
            <w:tcW w:w="2551" w:type="dxa"/>
            <w:vAlign w:val="center"/>
          </w:tcPr>
          <w:p>
            <w:pPr>
              <w:pStyle w:val="单元格样式7"/>
            </w:pPr>
            <w:r>
              <w:t xml:space="preserve">1250.34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3626.87</w:t>
            </w:r>
          </w:p>
        </w:tc>
        <w:tc>
          <w:tcPr>
            <w:tcW w:w="2551" w:type="dxa"/>
            <w:vAlign w:val="center"/>
          </w:tcPr>
          <w:p>
            <w:pPr>
              <w:pStyle w:val="单元格样式4"/>
            </w:pPr>
            <w:r>
              <w:t xml:space="preserve">2873.18</w:t>
            </w: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3626.87</w:t>
            </w:r>
          </w:p>
        </w:tc>
        <w:tc>
          <w:tcPr>
            <w:tcW w:w="2551" w:type="dxa"/>
            <w:vAlign w:val="center"/>
          </w:tcPr>
          <w:p>
            <w:pPr>
              <w:pStyle w:val="单元格样式4"/>
            </w:pPr>
            <w:r>
              <w:t xml:space="preserve">2873.18</w:t>
            </w: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2873.18</w:t>
            </w:r>
          </w:p>
        </w:tc>
        <w:tc>
          <w:tcPr>
            <w:tcW w:w="2551" w:type="dxa"/>
            <w:vAlign w:val="center"/>
          </w:tcPr>
          <w:p>
            <w:pPr>
              <w:pStyle w:val="单元格样式4"/>
            </w:pPr>
            <w:r>
              <w:t xml:space="preserve">2873.18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753.69</w:t>
            </w:r>
          </w:p>
        </w:tc>
        <w:tc>
          <w:tcPr>
            <w:tcW w:w="2551" w:type="dxa"/>
            <w:vAlign w:val="center"/>
          </w:tcPr>
          <w:p>
            <w:pPr>
              <w:pStyle w:val="单元格样式4"/>
            </w:pP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8.60</w:t>
            </w:r>
          </w:p>
        </w:tc>
        <w:tc>
          <w:tcPr>
            <w:tcW w:w="2551" w:type="dxa"/>
            <w:vAlign w:val="center"/>
          </w:tcPr>
          <w:p>
            <w:pPr>
              <w:pStyle w:val="单元格样式4"/>
            </w:pPr>
          </w:p>
        </w:tc>
        <w:tc>
          <w:tcPr>
            <w:tcW w:w="2551" w:type="dxa"/>
            <w:vAlign w:val="center"/>
          </w:tcPr>
          <w:p>
            <w:pPr>
              <w:pStyle w:val="单元格样式4"/>
            </w:pPr>
            <w:r>
              <w:t xml:space="preserve">8.60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486.57</w:t>
            </w:r>
          </w:p>
        </w:tc>
        <w:tc>
          <w:tcPr>
            <w:tcW w:w="2551" w:type="dxa"/>
            <w:vAlign w:val="center"/>
          </w:tcPr>
          <w:p>
            <w:pPr>
              <w:pStyle w:val="单元格样式4"/>
            </w:pPr>
            <w:r>
              <w:t xml:space="preserve">486.57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472.97</w:t>
            </w:r>
          </w:p>
        </w:tc>
        <w:tc>
          <w:tcPr>
            <w:tcW w:w="2551" w:type="dxa"/>
            <w:vAlign w:val="center"/>
          </w:tcPr>
          <w:p>
            <w:pPr>
              <w:pStyle w:val="单元格样式4"/>
            </w:pPr>
            <w:r>
              <w:t xml:space="preserve">472.97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251.89</w:t>
            </w:r>
          </w:p>
        </w:tc>
        <w:tc>
          <w:tcPr>
            <w:tcW w:w="2551" w:type="dxa"/>
            <w:vAlign w:val="center"/>
          </w:tcPr>
          <w:p>
            <w:pPr>
              <w:pStyle w:val="单元格样式4"/>
            </w:pPr>
            <w:r>
              <w:t xml:space="preserve">251.89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141.08</w:t>
            </w:r>
          </w:p>
        </w:tc>
        <w:tc>
          <w:tcPr>
            <w:tcW w:w="2551" w:type="dxa"/>
            <w:vAlign w:val="center"/>
          </w:tcPr>
          <w:p>
            <w:pPr>
              <w:pStyle w:val="单元格样式4"/>
            </w:pPr>
            <w:r>
              <w:t xml:space="preserve">141.08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80.00</w:t>
            </w:r>
          </w:p>
        </w:tc>
        <w:tc>
          <w:tcPr>
            <w:tcW w:w="2551" w:type="dxa"/>
            <w:vAlign w:val="center"/>
          </w:tcPr>
          <w:p>
            <w:pPr>
              <w:pStyle w:val="单元格样式4"/>
            </w:pPr>
            <w:r>
              <w:t xml:space="preserve">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3539.03</w:t>
            </w:r>
          </w:p>
        </w:tc>
        <w:tc>
          <w:tcPr>
            <w:tcW w:w="2551" w:type="dxa"/>
            <w:vAlign w:val="center"/>
          </w:tcPr>
          <w:p>
            <w:pPr>
              <w:pStyle w:val="单元格样式7"/>
            </w:pPr>
            <w:r>
              <w:t xml:space="preserve">3089.43</w:t>
            </w:r>
          </w:p>
        </w:tc>
        <w:tc>
          <w:tcPr>
            <w:tcW w:w="2551" w:type="dxa"/>
            <w:vAlign w:val="center"/>
          </w:tcPr>
          <w:p>
            <w:pPr>
              <w:pStyle w:val="单元格样式7"/>
            </w:pPr>
            <w:r>
              <w:t xml:space="preserve">449.60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2830.88</w:t>
            </w:r>
          </w:p>
        </w:tc>
        <w:tc>
          <w:tcPr>
            <w:tcW w:w="2551" w:type="dxa"/>
            <w:vAlign w:val="center"/>
          </w:tcPr>
          <w:p>
            <w:pPr>
              <w:pStyle w:val="单元格样式4"/>
            </w:pPr>
            <w:r>
              <w:t xml:space="preserve">2830.88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586.80</w:t>
            </w:r>
          </w:p>
        </w:tc>
        <w:tc>
          <w:tcPr>
            <w:tcW w:w="2551" w:type="dxa"/>
            <w:vAlign w:val="center"/>
          </w:tcPr>
          <w:p>
            <w:pPr>
              <w:pStyle w:val="单元格样式4"/>
            </w:pPr>
            <w:r>
              <w:t xml:space="preserve">586.80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132.21</w:t>
            </w:r>
          </w:p>
        </w:tc>
        <w:tc>
          <w:tcPr>
            <w:tcW w:w="2551" w:type="dxa"/>
            <w:vAlign w:val="center"/>
          </w:tcPr>
          <w:p>
            <w:pPr>
              <w:pStyle w:val="单元格样式4"/>
            </w:pPr>
            <w:r>
              <w:t xml:space="preserve">132.21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76.47</w:t>
            </w:r>
          </w:p>
        </w:tc>
        <w:tc>
          <w:tcPr>
            <w:tcW w:w="2551" w:type="dxa"/>
            <w:vAlign w:val="center"/>
          </w:tcPr>
          <w:p>
            <w:pPr>
              <w:pStyle w:val="单元格样式4"/>
            </w:pPr>
            <w:r>
              <w:t xml:space="preserve">76.47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283.96</w:t>
            </w:r>
          </w:p>
        </w:tc>
        <w:tc>
          <w:tcPr>
            <w:tcW w:w="2551" w:type="dxa"/>
            <w:vAlign w:val="center"/>
          </w:tcPr>
          <w:p>
            <w:pPr>
              <w:pStyle w:val="单元格样式4"/>
            </w:pPr>
            <w:r>
              <w:t xml:space="preserve">283.96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141.08</w:t>
            </w:r>
          </w:p>
        </w:tc>
        <w:tc>
          <w:tcPr>
            <w:tcW w:w="2551" w:type="dxa"/>
            <w:vAlign w:val="center"/>
          </w:tcPr>
          <w:p>
            <w:pPr>
              <w:pStyle w:val="单元格样式4"/>
            </w:pPr>
            <w:r>
              <w:t xml:space="preserve">141.08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80.00</w:t>
            </w:r>
          </w:p>
        </w:tc>
        <w:tc>
          <w:tcPr>
            <w:tcW w:w="2551" w:type="dxa"/>
            <w:vAlign w:val="center"/>
          </w:tcPr>
          <w:p>
            <w:pPr>
              <w:pStyle w:val="单元格样式4"/>
            </w:pPr>
            <w:r>
              <w:t xml:space="preserve">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1344.14</w:t>
            </w:r>
          </w:p>
        </w:tc>
        <w:tc>
          <w:tcPr>
            <w:tcW w:w="2551" w:type="dxa"/>
            <w:vAlign w:val="center"/>
          </w:tcPr>
          <w:p>
            <w:pPr>
              <w:pStyle w:val="单元格样式4"/>
            </w:pPr>
            <w:r>
              <w:t xml:space="preserve">1344.14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429.00</w:t>
            </w:r>
          </w:p>
        </w:tc>
        <w:tc>
          <w:tcPr>
            <w:tcW w:w="2551" w:type="dxa"/>
            <w:vAlign w:val="center"/>
          </w:tcPr>
          <w:p>
            <w:pPr>
              <w:pStyle w:val="单元格样式4"/>
            </w:pPr>
          </w:p>
        </w:tc>
        <w:tc>
          <w:tcPr>
            <w:tcW w:w="2551" w:type="dxa"/>
            <w:vAlign w:val="center"/>
          </w:tcPr>
          <w:p>
            <w:pPr>
              <w:pStyle w:val="单元格样式4"/>
            </w:pPr>
            <w:r>
              <w:t xml:space="preserve">429.00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108.63</w:t>
            </w:r>
          </w:p>
        </w:tc>
        <w:tc>
          <w:tcPr>
            <w:tcW w:w="2551" w:type="dxa"/>
            <w:vAlign w:val="center"/>
          </w:tcPr>
          <w:p>
            <w:pPr>
              <w:pStyle w:val="单元格样式4"/>
            </w:pPr>
          </w:p>
        </w:tc>
        <w:tc>
          <w:tcPr>
            <w:tcW w:w="2551" w:type="dxa"/>
            <w:vAlign w:val="center"/>
          </w:tcPr>
          <w:p>
            <w:pPr>
              <w:pStyle w:val="单元格样式4"/>
            </w:pPr>
            <w:r>
              <w:t xml:space="preserve">108.63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24.14</w:t>
            </w:r>
          </w:p>
        </w:tc>
        <w:tc>
          <w:tcPr>
            <w:tcW w:w="2551" w:type="dxa"/>
            <w:vAlign w:val="center"/>
          </w:tcPr>
          <w:p>
            <w:pPr>
              <w:pStyle w:val="单元格样式4"/>
            </w:pPr>
          </w:p>
        </w:tc>
        <w:tc>
          <w:tcPr>
            <w:tcW w:w="2551" w:type="dxa"/>
            <w:vAlign w:val="center"/>
          </w:tcPr>
          <w:p>
            <w:pPr>
              <w:pStyle w:val="单元格样式4"/>
            </w:pPr>
            <w:r>
              <w:t xml:space="preserve">24.14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13.44</w:t>
            </w:r>
          </w:p>
        </w:tc>
        <w:tc>
          <w:tcPr>
            <w:tcW w:w="2551" w:type="dxa"/>
            <w:vAlign w:val="center"/>
          </w:tcPr>
          <w:p>
            <w:pPr>
              <w:pStyle w:val="单元格样式4"/>
            </w:pPr>
          </w:p>
        </w:tc>
        <w:tc>
          <w:tcPr>
            <w:tcW w:w="2551" w:type="dxa"/>
            <w:vAlign w:val="center"/>
          </w:tcPr>
          <w:p>
            <w:pPr>
              <w:pStyle w:val="单元格样式4"/>
            </w:pPr>
            <w:r>
              <w:t xml:space="preserve">13.44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60.00</w:t>
            </w:r>
          </w:p>
        </w:tc>
        <w:tc>
          <w:tcPr>
            <w:tcW w:w="2551" w:type="dxa"/>
            <w:vAlign w:val="center"/>
          </w:tcPr>
          <w:p>
            <w:pPr>
              <w:pStyle w:val="单元格样式4"/>
            </w:pPr>
          </w:p>
        </w:tc>
        <w:tc>
          <w:tcPr>
            <w:tcW w:w="2551"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0.95</w:t>
            </w:r>
          </w:p>
        </w:tc>
        <w:tc>
          <w:tcPr>
            <w:tcW w:w="2551" w:type="dxa"/>
            <w:vAlign w:val="center"/>
          </w:tcPr>
          <w:p>
            <w:pPr>
              <w:pStyle w:val="单元格样式4"/>
            </w:pPr>
          </w:p>
        </w:tc>
        <w:tc>
          <w:tcPr>
            <w:tcW w:w="2551" w:type="dxa"/>
            <w:vAlign w:val="center"/>
          </w:tcPr>
          <w:p>
            <w:pPr>
              <w:pStyle w:val="单元格样式4"/>
            </w:pPr>
            <w:r>
              <w:t xml:space="preserve">0.95</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17.76</w:t>
            </w:r>
          </w:p>
        </w:tc>
        <w:tc>
          <w:tcPr>
            <w:tcW w:w="2551" w:type="dxa"/>
            <w:vAlign w:val="center"/>
          </w:tcPr>
          <w:p>
            <w:pPr>
              <w:pStyle w:val="单元格样式4"/>
            </w:pPr>
          </w:p>
        </w:tc>
        <w:tc>
          <w:tcPr>
            <w:tcW w:w="2551" w:type="dxa"/>
            <w:vAlign w:val="center"/>
          </w:tcPr>
          <w:p>
            <w:pPr>
              <w:pStyle w:val="单元格样式4"/>
            </w:pPr>
            <w:r>
              <w:t xml:space="preserve">17.76</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2.43</w:t>
            </w:r>
          </w:p>
        </w:tc>
        <w:tc>
          <w:tcPr>
            <w:tcW w:w="2551" w:type="dxa"/>
            <w:vAlign w:val="center"/>
          </w:tcPr>
          <w:p>
            <w:pPr>
              <w:pStyle w:val="单元格样式4"/>
            </w:pPr>
          </w:p>
        </w:tc>
        <w:tc>
          <w:tcPr>
            <w:tcW w:w="2551" w:type="dxa"/>
            <w:vAlign w:val="center"/>
          </w:tcPr>
          <w:p>
            <w:pPr>
              <w:pStyle w:val="单元格样式4"/>
            </w:pPr>
            <w:r>
              <w:t xml:space="preserve">2.43</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20.22</w:t>
            </w:r>
          </w:p>
        </w:tc>
        <w:tc>
          <w:tcPr>
            <w:tcW w:w="2551" w:type="dxa"/>
            <w:vAlign w:val="center"/>
          </w:tcPr>
          <w:p>
            <w:pPr>
              <w:pStyle w:val="单元格样式4"/>
            </w:pPr>
          </w:p>
        </w:tc>
        <w:tc>
          <w:tcPr>
            <w:tcW w:w="2551" w:type="dxa"/>
            <w:vAlign w:val="center"/>
          </w:tcPr>
          <w:p>
            <w:pPr>
              <w:pStyle w:val="单元格样式4"/>
            </w:pPr>
            <w:r>
              <w:t xml:space="preserve">20.22</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47.44</w:t>
            </w:r>
          </w:p>
        </w:tc>
        <w:tc>
          <w:tcPr>
            <w:tcW w:w="2551" w:type="dxa"/>
            <w:vAlign w:val="center"/>
          </w:tcPr>
          <w:p>
            <w:pPr>
              <w:pStyle w:val="单元格样式4"/>
            </w:pPr>
          </w:p>
        </w:tc>
        <w:tc>
          <w:tcPr>
            <w:tcW w:w="2551" w:type="dxa"/>
            <w:vAlign w:val="center"/>
          </w:tcPr>
          <w:p>
            <w:pPr>
              <w:pStyle w:val="单元格样式4"/>
            </w:pPr>
            <w:r>
              <w:t xml:space="preserve">47.44</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259.15</w:t>
            </w:r>
          </w:p>
        </w:tc>
        <w:tc>
          <w:tcPr>
            <w:tcW w:w="2551" w:type="dxa"/>
            <w:vAlign w:val="center"/>
          </w:tcPr>
          <w:p>
            <w:pPr>
              <w:pStyle w:val="单元格样式4"/>
            </w:pPr>
            <w:r>
              <w:t xml:space="preserve">258.55</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251.89</w:t>
            </w:r>
          </w:p>
        </w:tc>
        <w:tc>
          <w:tcPr>
            <w:tcW w:w="2551" w:type="dxa"/>
            <w:vAlign w:val="center"/>
          </w:tcPr>
          <w:p>
            <w:pPr>
              <w:pStyle w:val="单元格样式4"/>
            </w:pPr>
            <w:r>
              <w:t xml:space="preserve">251.89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36</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2120.00</w:t>
            </w:r>
          </w:p>
        </w:tc>
        <w:tc>
          <w:tcPr>
            <w:tcW w:w="2551" w:type="dxa"/>
            <w:vAlign w:val="center"/>
          </w:tcPr>
          <w:p>
            <w:pPr>
              <w:pStyle w:val="单元格样式7"/>
            </w:pPr>
          </w:p>
        </w:tc>
        <w:tc>
          <w:tcPr>
            <w:tcW w:w="2551" w:type="dxa"/>
            <w:vAlign w:val="center"/>
          </w:tcPr>
          <w:p>
            <w:pPr>
              <w:pStyle w:val="单元格样式7"/>
            </w:pPr>
            <w:r>
              <w:t xml:space="preserve">2120.00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2120.00</w:t>
            </w:r>
          </w:p>
        </w:tc>
        <w:tc>
          <w:tcPr>
            <w:tcW w:w="2551" w:type="dxa"/>
            <w:vAlign w:val="center"/>
          </w:tcPr>
          <w:p>
            <w:pPr>
              <w:pStyle w:val="单元格样式4"/>
            </w:pPr>
          </w:p>
        </w:tc>
        <w:tc>
          <w:tcPr>
            <w:tcW w:w="2551"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2120.00</w:t>
            </w:r>
          </w:p>
        </w:tc>
        <w:tc>
          <w:tcPr>
            <w:tcW w:w="2551" w:type="dxa"/>
            <w:vAlign w:val="center"/>
          </w:tcPr>
          <w:p>
            <w:pPr>
              <w:pStyle w:val="单元格样式4"/>
            </w:pPr>
          </w:p>
        </w:tc>
        <w:tc>
          <w:tcPr>
            <w:tcW w:w="2551"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1920.00</w:t>
            </w:r>
          </w:p>
        </w:tc>
        <w:tc>
          <w:tcPr>
            <w:tcW w:w="2551" w:type="dxa"/>
            <w:vAlign w:val="center"/>
          </w:tcPr>
          <w:p>
            <w:pPr>
              <w:pStyle w:val="单元格样式4"/>
            </w:pPr>
          </w:p>
        </w:tc>
        <w:tc>
          <w:tcPr>
            <w:tcW w:w="2551" w:type="dxa"/>
            <w:vAlign w:val="center"/>
          </w:tcPr>
          <w:p>
            <w:pPr>
              <w:pStyle w:val="单元格样式4"/>
            </w:pPr>
            <w:r>
              <w:t xml:space="preserve">1920.00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2.43</w:t>
            </w:r>
          </w:p>
        </w:tc>
        <w:tc>
          <w:tcPr>
            <w:tcW w:w="2381" w:type="dxa"/>
            <w:vAlign w:val="center"/>
          </w:tcPr>
          <w:p>
            <w:pPr>
              <w:pStyle w:val="单元格样式7"/>
            </w:pPr>
            <w:r>
              <w:t xml:space="preserve">2.43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新乐市长寿街道办事处2026年部门预算信息公开情况说明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新乐市长寿街道办事处2026年部门预算信息公开情况说明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按照《中华人民共和国预算法》、《地方预决算公开操作规程》和《关于进一步推进预算公开工作的实施意见》规定，现将新乐市长寿街道办事处2026年部门预算公开如下：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长寿街道党工委、人大工委、办事处主要职责是:</w:t>
      </w:r>
    </w:p>
    <w:p>
      <w:pPr>
        <w:pStyle w:val="插入文本样式-插入预算公开部门职责文件"/>
      </w:pPr>
      <w:r>
        <w:t xml:space="preserve">（一）宣传贯彻执行党的路线方针政策和党中央、上级党组织的决议。贯彻执行法律、法规、规章和上级人民代表大会及其常务委员会决议及上级政府的决定、命令，依法管理辖区公共事务。</w:t>
      </w:r>
    </w:p>
    <w:p>
      <w:pPr>
        <w:pStyle w:val="插入文本样式-插入预算公开部门职责文件"/>
      </w:pPr>
      <w:r>
        <w:t xml:space="preserve">（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插入文本样式-插入预算公开部门职责文件"/>
      </w:pPr>
      <w:r>
        <w:t xml:space="preserve">（三）负责办理市人大常委会交办的监督、选举以及其他工作，做好人大代表工作，联系选民、反映群众意见和要求。</w:t>
      </w:r>
    </w:p>
    <w:p>
      <w:pPr>
        <w:pStyle w:val="插入文本样式-插入预算公开部门职责文件"/>
      </w:pPr>
      <w:r>
        <w:t xml:space="preserve">（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插入文本样式-插入预算公开部门职责文件"/>
      </w:pPr>
      <w:r>
        <w:t xml:space="preserve">（五）街道党工委领导群团组织，加强指导和规范，支持和保证群团组织依照国家法律法规以及各自章程履行职责。坚持党管武装的根本原则和制度，协调各方力量，对街道人民武装工作实行统一领导。</w:t>
      </w:r>
    </w:p>
    <w:p>
      <w:pPr>
        <w:pStyle w:val="插入文本样式-插入预算公开部门职责文件"/>
      </w:pPr>
      <w:r>
        <w:t xml:space="preserve">（六）指导居民委员会等基层群众性自治组织建设，健全自治平台。对辖区工作者队伍进行教育管理。组织动员辖区居民、单位和社会力量参与社会治理，整合辖区内社会力量，形成社会共治合力，为社会发展服务。</w:t>
      </w:r>
    </w:p>
    <w:p>
      <w:pPr>
        <w:pStyle w:val="插入文本样式-插入预算公开部门职责文件"/>
      </w:pPr>
      <w:r>
        <w:t xml:space="preserve">（七）按照管理权限，对街道机关及所属单位干部进行教育、培训、选拔、考核和监督，对市直职能部门派出机构的工作考核和主要负责同志任免提出意见。</w:t>
      </w:r>
    </w:p>
    <w:p>
      <w:pPr>
        <w:pStyle w:val="插入文本样式-插入预算公开部门职责文件"/>
      </w:pPr>
      <w:r>
        <w:t xml:space="preserve">（八）组织维护辖区安全稳定，协调推动社会治安综合治理，做好应急管理、民族宗教工作，承担民兵预备役、征兵、退役军人服务、拥军优属、防范邪教等工作。</w:t>
      </w:r>
    </w:p>
    <w:p>
      <w:pPr>
        <w:pStyle w:val="插入文本样式-插入预算公开部门职责文件"/>
      </w:pPr>
      <w:r>
        <w:t xml:space="preserve">（九）组织开展群众性文化、体育、科普活动，开展法治宣传和社会公德教育，推动社区公益事业发展。维护老年人、妇女、未成年人、残疾人等合法权益。</w:t>
      </w:r>
    </w:p>
    <w:p>
      <w:pPr>
        <w:pStyle w:val="插入文本样式-插入预算公开部门职责文件"/>
      </w:pPr>
      <w:r>
        <w:t xml:space="preserve">（十）参与辖区设施规划、建设和验收，综合管理、统筹调度和考核督办涉及辖区的公共事务，按照有关规定统筹使用下沉到街道社区的人财物等资源。</w:t>
      </w:r>
    </w:p>
    <w:p>
      <w:pPr>
        <w:pStyle w:val="插入文本样式-插入预算公开部门职责文件"/>
      </w:pPr>
      <w:r>
        <w:t xml:space="preserve">（十一）承办市委、人大、政府交办的其他事项。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新乐市长寿街道办事处本级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按照预算管理有关规定，目前部门预算的编制实行综合预算管理，即全部收入和支出都反映在预算中。新乐市长寿街道办事处机关及所属事业单位的收支包含在部门预算中。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6909.37万元，其中：一般公共预算收入4789.37万元，基金预算收入2120.00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长寿街道办事处年度部门预算中支出预算的总体情况。2026年支出预算6909.37万元，其中基本支出3539.03万元，包括人员经费3089.43万元和日常公用经费449.60万元；项目支出3370.34万元，主要为占地补偿款及棚户区改造支出；预计下年使用的单位资金结余0.00万元。委托业务费共计安排16.00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6909.37万元，较2025年预算增加1325.69万元，其中：基本支出增加102.95万元，主要为占地补偿款及棚户区改造支出。项目支出增加1222.74万元，主要为占地补偿款及棚户区改造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2026年，我部门机关运行经费共计安排449.60万元，主要用于日常维修、办公用房水电费、办公用房取暖费、办公用房物业管理费等日常运行支出。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2.43万元，其中因公出国（境）费0.00万元；公务用车购置及运维费2.43万元（其中：公务用车购置费为0.00万元，公务用车运维费2.43万元)；公务接待费0.00万元。与2025年相比减少0.08万元，增减变化的主要原因是厉行节约，减少“三公”开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做好七个方面重点工作。</w:t>
      </w:r>
    </w:p>
    <w:p>
      <w:pPr>
        <w:pStyle w:val="插入文本样式-插入总体目标文件"/>
      </w:pPr>
      <w:r>
        <w:t xml:space="preserve">（一）全力以赴推动经济建设。一是推动项目建设大提速。加大对存量资源、技改项目的挖潜、梳理建立投资项目库，为项目入统提供保障。二是推动产业发展大提升。精准帮扶辖区内规上企业，推动规上企业达能达产，强化企业产值能耗异常情况的核查，确保产值数据如实纳统、应统尽统。做好“小升规”培育工作，持续关注企业生产经营情况，每月至少一次进入企业了解困难。三是推动招商引资大突破。坚持把招商引资作为拼经济、抓发展的重要任务，积极拓宽招商渠道。抢抓元旦、春节等在外新乐籍客商和乡贤回乡探亲这一招商“黄金期”，主动变“节假日”为“招商日”，积极开展招商引资活动，让更多在外地的乡贤进一步了解家乡的投资环境、相关政策，为新乐市招商引资赋能。</w:t>
      </w:r>
    </w:p>
    <w:p>
      <w:pPr>
        <w:pStyle w:val="插入文本样式-插入总体目标文件"/>
      </w:pPr>
      <w:r>
        <w:t xml:space="preserve">（二）全力以赴提升城市品位。一是加快城市建设步伐。以“一环、三带、三片、十大工程”建设为抓手，做好征地拆迁工作，为全市项目建设提供有力保障。二是做精做细城市管理。下足“绣花”功夫，对照鲜虞社区标准，对其他社区进行阵地功能升级改造，实现社区建设水平整体提升、服务功能提质增效。各社区党群服务中心要坚持“门常开、人常在、事常办”工作理念，简化办事流程、优化值班制度、提升代办水平，让群众“一件事一次办”，不断提升群众办事的满意度和体验感。</w:t>
      </w:r>
    </w:p>
    <w:p>
      <w:pPr>
        <w:pStyle w:val="插入文本样式-插入总体目标文件"/>
      </w:pPr>
      <w:r>
        <w:t xml:space="preserve">（三）全力以赴守牢安全底线。一是筑牢安全生产防线。以“时时放心不下”的责任感和“隐患就是事故”的危机感，抓实抓牢各项工作。聚焦安全生产、消防、食品、燃气等各项重点工作，建立健全“网格员”排查机制，继续贯彻各领域隐患大辨识、大排查、大整治活动；常态化排查辖区内黑加油站点，发现并核实后，第一时间移交有关部门依法处置；组织开展各类主题教育培训、应急演练，持续加强政策文件宣传力度，提高安全预警能力；严格落实各类安全隐患整改”回头看”工作，确保整改到位，抓促各项重点工作落地落实，为我街道高安全发展保驾护航。二是夯实社会治理根基。以信访工作法治化推动信访治理现代化，对于未化解的进京赴省访重点人员和重点积案，着力在“事要解决”上下功夫，对每项积案矛盾逐一细化化解时限、化解责任人，每月通报，定期考核，千方百计推动“案结事了、事心双解”；紧盯新“信访问题”出现的苗头，落实首问负责制，明确信访责任人，做到问题不解决，责任不换人，坚决遏制增量；用好“12345”政务服务热线等联系人民群众渠道，完善各项硬件设施，配齐工作人员队伍，实战化打造“一站式”矛盾纠纷多元化解中心，实现群众诉求“一站式服务、一条龙化解”。</w:t>
      </w:r>
    </w:p>
    <w:p>
      <w:pPr>
        <w:pStyle w:val="插入文本样式-插入总体目标文件"/>
      </w:pPr>
      <w:r>
        <w:t xml:space="preserve">（四）全力以赴优化生态环境。一是持续推进大气污染防治。继续强化扬尘治理，督导辖区内各场所严格落实扬尘治理措施，及时苫盖裸露土面，大型车辆上路前进行冲洗，严防带泥上路问题，加强日常巡查清理，确保道路卫生常态保持、长效清洁；严格落实禁烧、禁煤、禁炮政策，严格按照网格化管理机制，责任分解到人，由街道、村两级干部带队，重点对原有散煤销售场所、闲置院落、重点农户走访排查，宣传禁烧政策，做到当场处置、不留余地、不讲情面，严格巡查执法，确保群众秋冬季清洁温暖过冬，全面筑牢散煤禁燃防线；坚持对“散乱污”企业定期开展排查，严格整治标准确保排查全覆盖、查处零容忍、整治规范化，切实做到发现一起、查处一起，动态清零。对列入关停取缔类“散乱污”企业名单的，做到“两断三清”，坚决杜绝反弹，确保“散乱污”企业整治到位；严格停车场、平交路口管控，开展闲置大院、裸露地块排查整治，加强对等重点场所和风险行为的管理。全力推动空气质量持续好转。二是有效开展垃圾分类。持续健全组织体系，建立街道、村（居）联动机制，扎实开展宣传培训、做好轮班值岗、严格普法执法，打开全民参与垃圾分类的局面。三是提升生态品质。严格落实“河长制”，加强河道清理和管护，严厉打击非法采砂；着力提升“林长制”工作实效，抓实森林防灭火、森林病虫害防治等工作。筑牢生态安全防护屏障。</w:t>
      </w:r>
    </w:p>
    <w:p>
      <w:pPr>
        <w:pStyle w:val="插入文本样式-插入总体目标文件"/>
      </w:pPr>
      <w:r>
        <w:t xml:space="preserve">（五）全力以赴提振乡村发展。一是着力推进乡村振兴。聚焦“一村一品”，坚持“敢”字当头，“干”字为先，以更大力度发展乡村产业，重点发展农产品加工、观光旅游、农村电商等新业态，提升农产品附加值，促进农村一二三产业融合发展。二是着力打造美丽乡村。围绕建设宜居宜业和美乡村这一目标，坚持以“两线、四区”建设为契机，持续深化农村人居环境整治提升，同步推进农村生活污水治理和改厕工作。不断提高乡村基础设施完备度、公共服务便利度、人居环境舒适度。三是着力提高农民收入。坚持把增加农民收入作为中心任务，持续开展产业就业帮扶。充分发挥党支部领办合作社的“引擎”作用，按照农文旅融合+网络直播的发展的思路，将“农业+观光休闲采摘”作为推动农民增收致富的突破口，利用抖音、快手等平台进行宣传推介，提高知名度，扩宽增收渠道。做好各村脱贫户和监测户的防返贫监测工作，防止因病返贫和因灾返贫等现象发生。</w:t>
      </w:r>
    </w:p>
    <w:p>
      <w:pPr>
        <w:pStyle w:val="插入文本样式-插入总体目标文件"/>
      </w:pPr>
      <w:r>
        <w:t xml:space="preserve">（六）全力以赴强化队伍建设。一是提升基层党组织书记综合素质。计划开展“书记提能，组织增能”活动，通过培训学习、观摩巡展、擂台比拼等方式，培养一批“开口能讲、提笔能写、动手能做”的优秀基层党组织书记；二是提升街道综合行政执法队业务水平。长寿街道综合行政执法队计划采取自学、网上学、集中学等多种形式进行业务知识学习培训。根据下发权利清单，组织执法队全体工作人员对下放的行政执法事项进行专题学习，切实做到发现一起打击一起，及时立案，查处到位，整顿规范行业合法秩序，全面提升街道执法水平；三是提升街道年轻干部干事创业能力。组织街道30周岁以下年轻干部召开座谈会，通过聆听年轻干部的工作情况和意见建议，促进年轻干部之间的互学互鉴和共同成长，进一步提升年轻干部的政治素养和综合能力。继续开展“学业务、强本领、抓落实”周五讲堂活动，为年轻干部充电赋能，增强其专业本领、业务知识，让他们争当干事创业的行家里手，真正把“尽职责、敢担当”落到实处。</w:t>
      </w:r>
    </w:p>
    <w:p>
      <w:pPr>
        <w:pStyle w:val="插入文本样式-插入总体目标文件"/>
      </w:pPr>
      <w:r>
        <w:t xml:space="preserve">（七）全力以赴打造廉洁机关。深化廉政教育，计划组织街道全体工作人员开展违法违纪案例警示教育学习，通过生动案例充分发挥警示教育震慑作用，严明政治纪律、政治规矩，不断提高“免疫能力”，练就“金刚不坏之身”，引导广大党员干部进一步坚定理想信念，恪守廉洁底线。充分利用和发挥好鲜虞社区家风家训馆作用，在节假日组织机关全体干部职工参观家风家训馆，用当地人育当地魂，用发生在身边的故事，影响身边人，推动家庭成员积极参与良好家风建设，廉政建设。</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1、保障单位领导和机关工作办公环境的措施，提升了服务管理水平，保障了领导和机关工作的正常运行。</w:t>
      </w:r>
    </w:p>
    <w:p>
      <w:pPr>
        <w:pStyle w:val="插入文本样式-插入职责分类绩效目标文件"/>
      </w:pPr>
      <w:r>
        <w:t xml:space="preserve">绩效目标：保障办公机关正常运行</w:t>
      </w:r>
    </w:p>
    <w:p>
      <w:pPr>
        <w:pStyle w:val="插入文本样式-插入职责分类绩效目标文件"/>
      </w:pPr>
      <w:r>
        <w:t xml:space="preserve">绩效指标：综合事务管理工作完成率≥95%</w:t>
      </w:r>
    </w:p>
    <w:p>
      <w:pPr>
        <w:pStyle w:val="插入文本样式-插入职责分类绩效目标文件"/>
      </w:pPr>
    </w:p>
    <w:p>
      <w:pPr>
        <w:pStyle w:val="插入文本样式-插入职责分类绩效目标文件"/>
      </w:pPr>
      <w:r>
        <w:t xml:space="preserve">2、保障街道武装工作正常运行，维护社会稳定</w:t>
      </w:r>
    </w:p>
    <w:p>
      <w:pPr>
        <w:pStyle w:val="插入文本样式-插入职责分类绩效目标文件"/>
      </w:pPr>
      <w:r>
        <w:t xml:space="preserve">绩效目标 ：保障街道武装工作正常运行</w:t>
      </w:r>
    </w:p>
    <w:p>
      <w:pPr>
        <w:pStyle w:val="插入文本样式-插入职责分类绩效目标文件"/>
      </w:pPr>
      <w:r>
        <w:t xml:space="preserve">绩效指标：武装工作完成率≥95%</w:t>
      </w:r>
    </w:p>
    <w:p>
      <w:pPr>
        <w:pStyle w:val="插入文本样式-插入职责分类绩效目标文件"/>
      </w:pPr>
    </w:p>
    <w:p>
      <w:pPr>
        <w:pStyle w:val="插入文本样式-插入职责分类绩效目标文件"/>
      </w:pPr>
      <w:r>
        <w:t xml:space="preserve">3、及时拨付村级服务群众专项经费及党组织活动经费，落实村组织运转经费。</w:t>
      </w:r>
    </w:p>
    <w:p>
      <w:pPr>
        <w:pStyle w:val="插入文本样式-插入职责分类绩效目标文件"/>
      </w:pPr>
      <w:r>
        <w:t xml:space="preserve">绩效目标：村级组织运转正常，村内工作稳定。</w:t>
      </w:r>
    </w:p>
    <w:p>
      <w:pPr>
        <w:pStyle w:val="插入文本样式-插入职责分类绩效目标文件"/>
      </w:pPr>
      <w:r>
        <w:t xml:space="preserve">绩效指标：村内工作稳定完成率≥95%</w:t>
      </w:r>
    </w:p>
    <w:p>
      <w:pPr>
        <w:pStyle w:val="插入文本样式-插入职责分类绩效目标文件"/>
      </w:pPr>
    </w:p>
    <w:p>
      <w:pPr>
        <w:pStyle w:val="插入文本样式-插入职责分类绩效目标文件"/>
      </w:pPr>
      <w:r>
        <w:t xml:space="preserve">4、政府值班工作，及时报告重要情况，传达和落实乡领导重要指示，协助乡领导完成组织处理突发事件应急处置工作。</w:t>
      </w:r>
    </w:p>
    <w:p>
      <w:pPr>
        <w:pStyle w:val="插入文本样式-插入职责分类绩效目标文件"/>
      </w:pPr>
      <w:r>
        <w:t xml:space="preserve">绩效目标：建设运行维护平台数据，为有效保障全乡突发事件提供技术保障，确保快速、有效处置突发事件，提高事件应对实效。</w:t>
      </w:r>
    </w:p>
    <w:p>
      <w:pPr>
        <w:pStyle w:val="插入文本样式-插入职责分类绩效目标文件"/>
      </w:pPr>
      <w:r>
        <w:t xml:space="preserve">绩效指标：应急事件处置情况及时率≥90%</w:t>
      </w:r>
    </w:p>
    <w:p>
      <w:pPr>
        <w:pStyle w:val="插入文本样式-插入职责分类绩效目标文件"/>
      </w:pPr>
    </w:p>
    <w:p>
      <w:pPr>
        <w:pStyle w:val="插入文本样式-插入职责分类绩效目标文件"/>
      </w:pPr>
      <w:r>
        <w:t xml:space="preserve">5、会议组织管理、信息化建设与维护、财务和资产管理、标准化建设。</w:t>
      </w:r>
    </w:p>
    <w:p>
      <w:pPr>
        <w:pStyle w:val="插入文本样式-插入职责分类绩效目标文件"/>
      </w:pPr>
      <w:r>
        <w:t xml:space="preserve">绩效目标：保障办公机关正常运转</w:t>
      </w:r>
    </w:p>
    <w:p>
      <w:pPr>
        <w:pStyle w:val="插入文本样式-插入职责分类绩效目标文件"/>
      </w:pPr>
      <w:r>
        <w:t xml:space="preserve">绩效指标：综合事务管理工作完成率≥90%</w:t>
      </w:r>
    </w:p>
    <w:p>
      <w:pPr>
        <w:pStyle w:val="插入文本样式-插入职责分类绩效目标文件"/>
      </w:pPr>
    </w:p>
    <w:p>
      <w:pPr>
        <w:pStyle w:val="插入文本样式-插入职责分类绩效目标文件"/>
      </w:pPr>
      <w:r>
        <w:t xml:space="preserve">6、指导、协调和督导各级各部门排查、化解影响社会稳定的重大不稳定隐患、群体性事件和突发事件及影响安全的事件。</w:t>
      </w:r>
    </w:p>
    <w:p>
      <w:pPr>
        <w:pStyle w:val="插入文本样式-插入职责分类绩效目标文件"/>
      </w:pPr>
      <w:r>
        <w:t xml:space="preserve">绩效目标：预防减少不稳定因素的发生，有效化解不稳定隐患、群体性事件和突发事件，维护安全工作。</w:t>
      </w:r>
    </w:p>
    <w:p>
      <w:pPr>
        <w:pStyle w:val="插入文本样式-插入职责分类绩效目标文件"/>
      </w:pPr>
      <w:r>
        <w:t xml:space="preserve">绩效指标：妥善处置突发事件（件）占发生突发环境事件（件）的比例90%以上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1、定期对办公楼基础设施、安全设施进行检查，维护良好的办公环境。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1.2人大综合事务-组织召开本级人代会、财政预决算、人事任免；主席团会、人大调研、代表之家建设。-组织召开街道人大代表会议，组织人大代表搞好视察调研活动，组织人大代表评议站所活动-召开人大会。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w:t>
      </w:r>
    </w:p>
    <w:p>
      <w:pPr>
        <w:pStyle w:val="插入文本样式-插入实现年度发展规划目标的保障措施文件"/>
      </w:pPr>
      <w:r>
        <w:t xml:space="preserve">1.4党委组织综合事务-负责全街道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一村一名大学生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保证各类报纸征订完成，组织系列文化活动，做好对国家政策的宣传。</w:t>
      </w:r>
    </w:p>
    <w:p>
      <w:pPr>
        <w:pStyle w:val="插入文本样式-插入实现年度发展规划目标的保障措施文件"/>
      </w:pPr>
      <w:r>
        <w:t xml:space="preserve">1.6妇联综合事务-团结动员全街道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2.1项目管理综合事务-配合自然资源和规划局查处土地违法行为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---强化税源控制，促进财政收入增长。---保证全街道机关事业单位人员工资，保险，津补贴等各项制度的落实。---保证各项惠农资金按时发放到位。---加强各项资金管理工作，确保资金有效使用。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街道辖区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2.4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优属。做好残疾人摸排，档案整理，助残日发放材料。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乡食品安全，不出现重大事故。协调乡村联动，及时处置突发事件。</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街道经济社会发展、安全、安定、推进网格化管理，进一步健全立体化社会治安防控体系。就地化解矛盾，做到小事不出村，大事不出街道。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w:t>
      </w:r>
    </w:p>
    <w:p>
      <w:pPr>
        <w:pStyle w:val="插入文本样式-插入实现年度发展规划目标的保障措施文件"/>
      </w:pPr>
      <w:r>
        <w:t xml:space="preserve">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（七）文化卫生服务事务-负责群众文化卫生、娱乐、体育活动、新型农村合作医疗等工作。-完成文化卫生、娱乐、体育活动、新型农村合作医疗等工作。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7.2文体活动-指导全街道文化建设，推进文化发展环境能力建设，提供公共文化服务、文化艺术资源建设和文化艺术生产。推动多元化体育服务体系建设，推动体育公共服务和体育体制改革。-加强全街道基层文化队伍建设、提高群众性体育运动水平。-推进和谐社区的建设，健全服务网络，满足社区居民的物质、文化需求。</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用于村党组织活动正常开展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48.60</w:t>
            </w:r>
          </w:p>
        </w:tc>
        <w:tc>
          <w:tcPr>
            <w:tcW w:w="2835" w:type="dxa"/>
            <w:vAlign w:val="center"/>
          </w:tcPr>
          <w:p>
            <w:pPr>
              <w:pStyle w:val="单元格样式3"/>
            </w:pPr>
            <w:r>
              <w:t xml:space="preserve">48.60</w:t>
            </w:r>
          </w:p>
        </w:tc>
        <w:tc>
          <w:tcPr>
            <w:tcW w:w="2551" w:type="dxa"/>
            <w:vAlign w:val="center"/>
          </w:tcPr>
          <w:p>
            <w:pPr>
              <w:pStyle w:val="单元格样式3"/>
            </w:pPr>
            <w:r>
              <w:t xml:space="preserve">48.60</w:t>
            </w:r>
          </w:p>
        </w:tc>
        <w:tc>
          <w:tcPr>
            <w:tcW w:w="3544" w:type="dxa"/>
            <w:gridSpan w:val="2"/>
            <w:vAlign w:val="center"/>
          </w:tcPr>
          <w:p>
            <w:pPr>
              <w:pStyle w:val="单元格样式3"/>
            </w:pPr>
            <w:r>
              <w:t xml:space="preserve">48.60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1.保障村党组织活动正常开展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47万元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按工作要求及时发放补贴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15.28</w:t>
            </w:r>
          </w:p>
        </w:tc>
        <w:tc>
          <w:tcPr>
            <w:tcW w:w="2835" w:type="dxa"/>
            <w:vAlign w:val="center"/>
          </w:tcPr>
          <w:p>
            <w:pPr>
              <w:pStyle w:val="单元格样式3"/>
            </w:pPr>
            <w:r>
              <w:t xml:space="preserve">30.55</w:t>
            </w:r>
          </w:p>
        </w:tc>
        <w:tc>
          <w:tcPr>
            <w:tcW w:w="2551" w:type="dxa"/>
            <w:vAlign w:val="center"/>
          </w:tcPr>
          <w:p>
            <w:pPr>
              <w:pStyle w:val="单元格样式3"/>
            </w:pPr>
            <w:r>
              <w:t xml:space="preserve">45.83</w:t>
            </w:r>
          </w:p>
        </w:tc>
        <w:tc>
          <w:tcPr>
            <w:tcW w:w="3544" w:type="dxa"/>
            <w:gridSpan w:val="2"/>
            <w:vAlign w:val="center"/>
          </w:tcPr>
          <w:p>
            <w:pPr>
              <w:pStyle w:val="单元格样式3"/>
            </w:pPr>
            <w:r>
              <w:t xml:space="preserve">61.10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提升</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依据2026年乡镇村级支出安排经费情况表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用于保障村级组织正常办公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5.50</w:t>
            </w:r>
          </w:p>
        </w:tc>
        <w:tc>
          <w:tcPr>
            <w:tcW w:w="2835" w:type="dxa"/>
            <w:vAlign w:val="center"/>
          </w:tcPr>
          <w:p>
            <w:pPr>
              <w:pStyle w:val="单元格样式3"/>
            </w:pPr>
            <w:r>
              <w:t xml:space="preserve">5.50</w:t>
            </w:r>
          </w:p>
        </w:tc>
        <w:tc>
          <w:tcPr>
            <w:tcW w:w="2551" w:type="dxa"/>
            <w:vAlign w:val="center"/>
          </w:tcPr>
          <w:p>
            <w:pPr>
              <w:pStyle w:val="单元格样式3"/>
            </w:pPr>
            <w:r>
              <w:t xml:space="preserve">5.50</w:t>
            </w:r>
          </w:p>
        </w:tc>
        <w:tc>
          <w:tcPr>
            <w:tcW w:w="3544" w:type="dxa"/>
            <w:gridSpan w:val="2"/>
            <w:vAlign w:val="center"/>
          </w:tcPr>
          <w:p>
            <w:pPr>
              <w:pStyle w:val="单元格样式3"/>
            </w:pPr>
            <w:r>
              <w:t xml:space="preserve">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1.保障村级组织正常办公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保障正常办公</w:t>
            </w:r>
          </w:p>
        </w:tc>
        <w:tc>
          <w:tcPr>
            <w:tcW w:w="5386" w:type="dxa"/>
            <w:vAlign w:val="center"/>
          </w:tcPr>
          <w:p>
            <w:pPr>
              <w:pStyle w:val="单元格样式2"/>
            </w:pPr>
            <w:r>
              <w:t xml:space="preserve">保障正常办公</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55.00</w:t>
            </w:r>
          </w:p>
        </w:tc>
        <w:tc>
          <w:tcPr>
            <w:tcW w:w="2835" w:type="dxa"/>
            <w:vAlign w:val="center"/>
          </w:tcPr>
          <w:p>
            <w:pPr>
              <w:pStyle w:val="单元格样式3"/>
            </w:pPr>
            <w:r>
              <w:t xml:space="preserve">55.00</w:t>
            </w:r>
          </w:p>
        </w:tc>
        <w:tc>
          <w:tcPr>
            <w:tcW w:w="2551" w:type="dxa"/>
            <w:vAlign w:val="center"/>
          </w:tcPr>
          <w:p>
            <w:pPr>
              <w:pStyle w:val="单元格样式3"/>
            </w:pPr>
            <w:r>
              <w:t xml:space="preserve">55.00</w:t>
            </w:r>
          </w:p>
        </w:tc>
        <w:tc>
          <w:tcPr>
            <w:tcW w:w="3544" w:type="dxa"/>
            <w:gridSpan w:val="2"/>
            <w:vAlign w:val="center"/>
          </w:tcPr>
          <w:p>
            <w:pPr>
              <w:pStyle w:val="单元格样式3"/>
            </w:pPr>
            <w:r>
              <w:t xml:space="preserve">55.00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1.按工作要求及时拨付服务群众专项经费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p>
            <w:pPr>
              <w:pStyle w:val="单元格样式2"/>
            </w:pPr>
          </w:p>
        </w:tc>
        <w:tc>
          <w:tcPr>
            <w:tcW w:w="5386" w:type="dxa"/>
            <w:vAlign w:val="center"/>
          </w:tcPr>
          <w:p>
            <w:pPr>
              <w:pStyle w:val="单元格样式2"/>
            </w:pPr>
            <w:r>
              <w:t xml:space="preserve">资金到位率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工作顺利开展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35.64</w:t>
            </w:r>
          </w:p>
        </w:tc>
        <w:tc>
          <w:tcPr>
            <w:tcW w:w="2835" w:type="dxa"/>
            <w:vAlign w:val="center"/>
          </w:tcPr>
          <w:p>
            <w:pPr>
              <w:pStyle w:val="单元格样式3"/>
            </w:pPr>
            <w:r>
              <w:t xml:space="preserve">71.28</w:t>
            </w:r>
          </w:p>
        </w:tc>
        <w:tc>
          <w:tcPr>
            <w:tcW w:w="2551" w:type="dxa"/>
            <w:vAlign w:val="center"/>
          </w:tcPr>
          <w:p>
            <w:pPr>
              <w:pStyle w:val="单元格样式3"/>
            </w:pPr>
            <w:r>
              <w:t xml:space="preserve">106.92</w:t>
            </w:r>
          </w:p>
        </w:tc>
        <w:tc>
          <w:tcPr>
            <w:tcW w:w="3544" w:type="dxa"/>
            <w:gridSpan w:val="2"/>
            <w:vAlign w:val="center"/>
          </w:tcPr>
          <w:p>
            <w:pPr>
              <w:pStyle w:val="单元格样式3"/>
            </w:pPr>
            <w:r>
              <w:t xml:space="preserve">142.56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提升</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依据2026年乡镇村级支出安排经费情况表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2.88</w:t>
            </w:r>
          </w:p>
        </w:tc>
        <w:tc>
          <w:tcPr>
            <w:tcW w:w="2835" w:type="dxa"/>
            <w:vAlign w:val="center"/>
          </w:tcPr>
          <w:p>
            <w:pPr>
              <w:pStyle w:val="单元格样式3"/>
            </w:pPr>
            <w:r>
              <w:t xml:space="preserve">2.88</w:t>
            </w:r>
          </w:p>
        </w:tc>
        <w:tc>
          <w:tcPr>
            <w:tcW w:w="2551" w:type="dxa"/>
            <w:vAlign w:val="center"/>
          </w:tcPr>
          <w:p>
            <w:pPr>
              <w:pStyle w:val="单元格样式3"/>
            </w:pPr>
            <w:r>
              <w:t xml:space="preserve">2.88</w:t>
            </w:r>
          </w:p>
        </w:tc>
        <w:tc>
          <w:tcPr>
            <w:tcW w:w="3544" w:type="dxa"/>
            <w:gridSpan w:val="2"/>
            <w:vAlign w:val="center"/>
          </w:tcPr>
          <w:p>
            <w:pPr>
              <w:pStyle w:val="单元格样式3"/>
            </w:pPr>
            <w:r>
              <w:t xml:space="preserve">2.88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1.按工作要求及时发放正常离任村干部生活补贴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保障补贴及时发放</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依据2026年村级支出安排经费情况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7、2026年本级支出-大气污染防治及人居环境整治工作经费绩效目标表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13018426P00007310064M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2026年本级支出-大气污染防治及人居环境整治工作经费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用于保障大气污染防治及人居环境整治工作正常开展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36.58</w:t>
            </w:r>
          </w:p>
        </w:tc>
        <w:tc>
          <w:tcPr>
            <w:tcW w:w="2835" w:type="dxa"/>
            <w:vAlign w:val="center"/>
          </w:tcPr>
          <w:p>
            <w:pPr>
              <w:pStyle w:val="单元格样式3"/>
            </w:pPr>
            <w:r>
              <w:t xml:space="preserve">73.16</w:t>
            </w:r>
          </w:p>
        </w:tc>
        <w:tc>
          <w:tcPr>
            <w:tcW w:w="2551" w:type="dxa"/>
            <w:vAlign w:val="center"/>
          </w:tcPr>
          <w:p>
            <w:pPr>
              <w:pStyle w:val="单元格样式3"/>
            </w:pPr>
            <w:r>
              <w:t xml:space="preserve">109.73</w:t>
            </w:r>
          </w:p>
        </w:tc>
        <w:tc>
          <w:tcPr>
            <w:tcW w:w="3544" w:type="dxa"/>
            <w:gridSpan w:val="2"/>
            <w:vAlign w:val="center"/>
          </w:tcPr>
          <w:p>
            <w:pPr>
              <w:pStyle w:val="单元格样式3"/>
            </w:pPr>
            <w:r>
              <w:t xml:space="preserve">146.31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推动环保事业发展</w:t>
            </w:r>
          </w:p>
        </w:tc>
        <w:tc>
          <w:tcPr>
            <w:tcW w:w="5386" w:type="dxa"/>
            <w:vAlign w:val="center"/>
          </w:tcPr>
          <w:p>
            <w:pPr>
              <w:pStyle w:val="单元格样式2"/>
            </w:pPr>
            <w:r>
              <w:t xml:space="preserve">推动环保事业发展</w:t>
            </w:r>
          </w:p>
        </w:tc>
        <w:tc>
          <w:tcPr>
            <w:tcW w:w="2268" w:type="dxa"/>
            <w:vAlign w:val="center"/>
          </w:tcPr>
          <w:p>
            <w:pPr>
              <w:pStyle w:val="单元格样式2"/>
            </w:pPr>
            <w:r>
              <w:t xml:space="preserve">环保工作正常开展</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8、2026年本级支出-钢材市场拆迁资金绩效目标表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13018426P00522210112Y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2026年本级支出-钢材市场拆迁资金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用于解决钢材市场拆迁所需地上附着物评估款及部分拆迁费用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375.00</w:t>
            </w:r>
          </w:p>
        </w:tc>
        <w:tc>
          <w:tcPr>
            <w:tcW w:w="2835" w:type="dxa"/>
            <w:vAlign w:val="center"/>
          </w:tcPr>
          <w:p>
            <w:pPr>
              <w:pStyle w:val="单元格样式3"/>
            </w:pPr>
            <w:r>
              <w:t xml:space="preserve">750.00</w:t>
            </w:r>
          </w:p>
        </w:tc>
        <w:tc>
          <w:tcPr>
            <w:tcW w:w="2551" w:type="dxa"/>
            <w:vAlign w:val="center"/>
          </w:tcPr>
          <w:p>
            <w:pPr>
              <w:pStyle w:val="单元格样式3"/>
            </w:pPr>
            <w:r>
              <w:t xml:space="preserve">1125.00</w:t>
            </w:r>
          </w:p>
        </w:tc>
        <w:tc>
          <w:tcPr>
            <w:tcW w:w="3544" w:type="dxa"/>
            <w:gridSpan w:val="2"/>
            <w:vAlign w:val="center"/>
          </w:tcPr>
          <w:p>
            <w:pPr>
              <w:pStyle w:val="单元格样式3"/>
            </w:pPr>
            <w:r>
              <w:t xml:space="preserve">1500.00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1.按工作进度及时拨付相关资金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用于保障乡镇综合文化站全部免费向社会公众开展基本公共文化服务。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举办文化活动次数</w:t>
            </w:r>
          </w:p>
        </w:tc>
        <w:tc>
          <w:tcPr>
            <w:tcW w:w="5386" w:type="dxa"/>
            <w:vAlign w:val="center"/>
          </w:tcPr>
          <w:p>
            <w:pPr>
              <w:pStyle w:val="单元格样式2"/>
            </w:pPr>
            <w:r>
              <w:t xml:space="preserve">举办文化活动次数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资金支付时限</w:t>
            </w:r>
          </w:p>
        </w:tc>
        <w:tc>
          <w:tcPr>
            <w:tcW w:w="5386" w:type="dxa"/>
            <w:vAlign w:val="center"/>
          </w:tcPr>
          <w:p>
            <w:pPr>
              <w:pStyle w:val="单元格样式2"/>
            </w:pPr>
            <w:r>
              <w:t xml:space="preserve">资金支付时限</w:t>
            </w:r>
          </w:p>
        </w:tc>
        <w:tc>
          <w:tcPr>
            <w:tcW w:w="2268" w:type="dxa"/>
            <w:vAlign w:val="center"/>
          </w:tcPr>
          <w:p>
            <w:pPr>
              <w:pStyle w:val="单元格样式2"/>
            </w:pPr>
            <w:r>
              <w:t xml:space="preserve">按工作要求及时支付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完成工作目标所需资金</w:t>
            </w:r>
          </w:p>
        </w:tc>
        <w:tc>
          <w:tcPr>
            <w:tcW w:w="5386" w:type="dxa"/>
            <w:vAlign w:val="center"/>
          </w:tcPr>
          <w:p>
            <w:pPr>
              <w:pStyle w:val="单元格样式2"/>
            </w:pPr>
            <w:r>
              <w:t xml:space="preserve">完成工作目标所需资金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文化馆（站）正常开放</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10、2026年本级支出-基层武装工作经费绩效目标表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13018426P00522510008G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2026年本级支出-基层武装工作经费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用于保障基层武装工作正常运转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2.25</w:t>
            </w:r>
          </w:p>
        </w:tc>
        <w:tc>
          <w:tcPr>
            <w:tcW w:w="2835" w:type="dxa"/>
            <w:vAlign w:val="center"/>
          </w:tcPr>
          <w:p>
            <w:pPr>
              <w:pStyle w:val="单元格样式3"/>
            </w:pPr>
            <w:r>
              <w:t xml:space="preserve">4.50</w:t>
            </w:r>
          </w:p>
        </w:tc>
        <w:tc>
          <w:tcPr>
            <w:tcW w:w="2551" w:type="dxa"/>
            <w:vAlign w:val="center"/>
          </w:tcPr>
          <w:p>
            <w:pPr>
              <w:pStyle w:val="单元格样式3"/>
            </w:pPr>
            <w:r>
              <w:t xml:space="preserve">6.75</w:t>
            </w:r>
          </w:p>
        </w:tc>
        <w:tc>
          <w:tcPr>
            <w:tcW w:w="3544" w:type="dxa"/>
            <w:gridSpan w:val="2"/>
            <w:vAlign w:val="center"/>
          </w:tcPr>
          <w:p>
            <w:pPr>
              <w:pStyle w:val="单元格样式3"/>
            </w:pPr>
            <w:r>
              <w:t xml:space="preserve">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1.保障基层武装工作正常运转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基层武装工作正常运转</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11、2026年本级支出-基层治理及乡村振兴工作经费绩效目标表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2026年本级支出-基层治理及乡村振兴工作经费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744.69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744.69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用于保障基层治理及乡村振兴工作正常开展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186.17</w:t>
            </w:r>
          </w:p>
        </w:tc>
        <w:tc>
          <w:tcPr>
            <w:tcW w:w="2835" w:type="dxa"/>
            <w:vAlign w:val="center"/>
          </w:tcPr>
          <w:p>
            <w:pPr>
              <w:pStyle w:val="单元格样式3"/>
            </w:pPr>
            <w:r>
              <w:t xml:space="preserve">372.35</w:t>
            </w:r>
          </w:p>
        </w:tc>
        <w:tc>
          <w:tcPr>
            <w:tcW w:w="2551" w:type="dxa"/>
            <w:vAlign w:val="center"/>
          </w:tcPr>
          <w:p>
            <w:pPr>
              <w:pStyle w:val="单元格样式3"/>
            </w:pPr>
            <w:r>
              <w:t xml:space="preserve">558.52</w:t>
            </w:r>
          </w:p>
        </w:tc>
        <w:tc>
          <w:tcPr>
            <w:tcW w:w="3544" w:type="dxa"/>
            <w:gridSpan w:val="2"/>
            <w:vAlign w:val="center"/>
          </w:tcPr>
          <w:p>
            <w:pPr>
              <w:pStyle w:val="单元格样式3"/>
            </w:pPr>
            <w:r>
              <w:t xml:space="preserve">744.69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1.保障基层治理及乡村振兴工作正常开展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12、2026年本级支出-建行宿舍改造项目政策支持相关资金绩效目标表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13018426P00003810026W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2026年本级支出-建行宿舍改造项目政策支持相关资金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用于解决建行宿舍棚改项目难题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200.00</w:t>
            </w:r>
          </w:p>
        </w:tc>
        <w:tc>
          <w:tcPr>
            <w:tcW w:w="2835" w:type="dxa"/>
            <w:vAlign w:val="center"/>
          </w:tcPr>
          <w:p>
            <w:pPr>
              <w:pStyle w:val="单元格样式3"/>
            </w:pPr>
            <w:r>
              <w:t xml:space="preserve">200.00</w:t>
            </w:r>
          </w:p>
        </w:tc>
        <w:tc>
          <w:tcPr>
            <w:tcW w:w="2551" w:type="dxa"/>
            <w:vAlign w:val="center"/>
          </w:tcPr>
          <w:p>
            <w:pPr>
              <w:pStyle w:val="单元格样式3"/>
            </w:pPr>
            <w:r>
              <w:t xml:space="preserve">200.00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1.及时拨付资金，解决项目难题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稳定</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13、2026年本级支出-征迁成本支出绩效目标表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13018426P00522210099X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2026年本级支出-征迁成本支出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用于拨付征迁成本支出补偿款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420.00</w:t>
            </w:r>
          </w:p>
        </w:tc>
        <w:tc>
          <w:tcPr>
            <w:tcW w:w="2835" w:type="dxa"/>
            <w:vAlign w:val="center"/>
          </w:tcPr>
          <w:p>
            <w:pPr>
              <w:pStyle w:val="单元格样式3"/>
            </w:pPr>
            <w:r>
              <w:t xml:space="preserve">420.00</w:t>
            </w:r>
          </w:p>
        </w:tc>
        <w:tc>
          <w:tcPr>
            <w:tcW w:w="2551" w:type="dxa"/>
            <w:vAlign w:val="center"/>
          </w:tcPr>
          <w:p>
            <w:pPr>
              <w:pStyle w:val="单元格样式3"/>
            </w:pPr>
            <w:r>
              <w:t xml:space="preserve">420.00</w:t>
            </w:r>
          </w:p>
        </w:tc>
        <w:tc>
          <w:tcPr>
            <w:tcW w:w="3544" w:type="dxa"/>
            <w:gridSpan w:val="2"/>
            <w:vAlign w:val="center"/>
          </w:tcPr>
          <w:p>
            <w:pPr>
              <w:pStyle w:val="单元格样式3"/>
            </w:pPr>
            <w:r>
              <w:t xml:space="preserve">420.00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1.按工作要求及时拨付相关补偿款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稳定</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14、冀财建【2022】187号关于提前下达2026年中央大气污染防治资金（用于农村地区气代煤电代煤改造任务运行补助）预算的通知绩效目标表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冀财建【2022】187号关于提前下达2026年中央大气污染防治资金（用于农村地区气代煤电代煤改造任务运行补助）预算的通知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用于农村地区气代煤电代煤改造任务运行补助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26.10</w:t>
            </w:r>
          </w:p>
        </w:tc>
        <w:tc>
          <w:tcPr>
            <w:tcW w:w="2835" w:type="dxa"/>
            <w:vAlign w:val="center"/>
          </w:tcPr>
          <w:p>
            <w:pPr>
              <w:pStyle w:val="单元格样式3"/>
            </w:pPr>
            <w:r>
              <w:t xml:space="preserve">26.10</w:t>
            </w:r>
          </w:p>
        </w:tc>
        <w:tc>
          <w:tcPr>
            <w:tcW w:w="2551" w:type="dxa"/>
            <w:vAlign w:val="center"/>
          </w:tcPr>
          <w:p>
            <w:pPr>
              <w:pStyle w:val="单元格样式3"/>
            </w:pPr>
            <w:r>
              <w:t xml:space="preserve">26.10</w:t>
            </w:r>
          </w:p>
        </w:tc>
        <w:tc>
          <w:tcPr>
            <w:tcW w:w="3544" w:type="dxa"/>
            <w:gridSpan w:val="2"/>
            <w:vAlign w:val="center"/>
          </w:tcPr>
          <w:p>
            <w:pPr>
              <w:pStyle w:val="单元格样式3"/>
            </w:pPr>
            <w:r>
              <w:t xml:space="preserve">26.10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1.按工作要求及时发放电代煤补贴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完成2026年PM2.5浓度年度目标</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13018426P00004410043A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1.综合文化站免费全部免费向社会公众开展基本公共文化服务。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引导和支持地方提供基本公共文化服务项目，改善基层公共文化体育设施条件，加强基层公共文化服务人才队伍建设等，支持加快构建现代公共文化服务体系，促进基本公共文化服务标准化、均等化，保障广大群众读书看报 、观看电视、观赏电影、进行文化鉴赏、开展文化体育活动等基本文化权益。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0.90</w:t>
            </w:r>
          </w:p>
        </w:tc>
        <w:tc>
          <w:tcPr>
            <w:tcW w:w="2835" w:type="dxa"/>
            <w:vAlign w:val="center"/>
          </w:tcPr>
          <w:p>
            <w:pPr>
              <w:pStyle w:val="单元格样式3"/>
            </w:pPr>
            <w:r>
              <w:t xml:space="preserve">1.80</w:t>
            </w:r>
          </w:p>
        </w:tc>
        <w:tc>
          <w:tcPr>
            <w:tcW w:w="2551" w:type="dxa"/>
            <w:vAlign w:val="center"/>
          </w:tcPr>
          <w:p>
            <w:pPr>
              <w:pStyle w:val="单元格样式3"/>
            </w:pPr>
            <w:r>
              <w:t xml:space="preserve">2.70</w:t>
            </w:r>
          </w:p>
        </w:tc>
        <w:tc>
          <w:tcPr>
            <w:tcW w:w="3544" w:type="dxa"/>
            <w:gridSpan w:val="2"/>
            <w:vAlign w:val="center"/>
          </w:tcPr>
          <w:p>
            <w:pPr>
              <w:pStyle w:val="单元格样式3"/>
            </w:pPr>
            <w:r>
              <w:t xml:space="preserve">3.60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 、观看电视、观赏电影、进行文化鉴赏、开展文化体育活动等基本文化权益。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配送以戏曲为主演出的团场数量</w:t>
            </w:r>
          </w:p>
        </w:tc>
        <w:tc>
          <w:tcPr>
            <w:tcW w:w="5386" w:type="dxa"/>
            <w:vAlign w:val="center"/>
          </w:tcPr>
          <w:p>
            <w:pPr>
              <w:pStyle w:val="单元格样式2"/>
            </w:pPr>
            <w:r>
              <w:t xml:space="preserve">配送以戏曲为主演出的团场数量</w:t>
            </w:r>
          </w:p>
        </w:tc>
        <w:tc>
          <w:tcPr>
            <w:tcW w:w="2268" w:type="dxa"/>
            <w:vAlign w:val="center"/>
          </w:tcPr>
          <w:p>
            <w:pPr>
              <w:pStyle w:val="单元格样式2"/>
            </w:pPr>
            <w:r>
              <w:t xml:space="preserve">≥2场</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文明实践志愿服务活动品牌数量</w:t>
            </w:r>
          </w:p>
        </w:tc>
        <w:tc>
          <w:tcPr>
            <w:tcW w:w="5386" w:type="dxa"/>
            <w:vAlign w:val="center"/>
          </w:tcPr>
          <w:p>
            <w:pPr>
              <w:pStyle w:val="单元格样式2"/>
            </w:pPr>
            <w:r>
              <w:t xml:space="preserve">文明实践志愿服务活动品牌数量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专项资金下达时限</w:t>
            </w:r>
          </w:p>
        </w:tc>
        <w:tc>
          <w:tcPr>
            <w:tcW w:w="5386" w:type="dxa"/>
            <w:vAlign w:val="center"/>
          </w:tcPr>
          <w:p>
            <w:pPr>
              <w:pStyle w:val="单元格样式2"/>
            </w:pPr>
            <w:r>
              <w:t xml:space="preserve">专项资金下达时限</w:t>
            </w:r>
          </w:p>
        </w:tc>
        <w:tc>
          <w:tcPr>
            <w:tcW w:w="2268" w:type="dxa"/>
            <w:vAlign w:val="center"/>
          </w:tcPr>
          <w:p>
            <w:pPr>
              <w:pStyle w:val="单元格样式2"/>
            </w:pPr>
            <w:r>
              <w:t xml:space="preserve">按工作要求及时下达</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完成工作目标所需资金</w:t>
            </w:r>
          </w:p>
        </w:tc>
        <w:tc>
          <w:tcPr>
            <w:tcW w:w="5386" w:type="dxa"/>
            <w:vAlign w:val="center"/>
          </w:tcPr>
          <w:p>
            <w:pPr>
              <w:pStyle w:val="单元格样式2"/>
            </w:pPr>
            <w:r>
              <w:t xml:space="preserve">完成工作目标所需资金</w:t>
            </w:r>
          </w:p>
        </w:tc>
        <w:tc>
          <w:tcPr>
            <w:tcW w:w="2268" w:type="dxa"/>
            <w:vAlign w:val="center"/>
          </w:tcPr>
          <w:p>
            <w:pPr>
              <w:pStyle w:val="单元格样式2"/>
            </w:pPr>
            <w:r>
              <w:t xml:space="preserve">≥3.6万元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群众对基本公共文化服务满意度</w:t>
            </w:r>
          </w:p>
        </w:tc>
        <w:tc>
          <w:tcPr>
            <w:tcW w:w="5386" w:type="dxa"/>
            <w:vAlign w:val="center"/>
          </w:tcPr>
          <w:p>
            <w:pPr>
              <w:pStyle w:val="单元格样式2"/>
            </w:pPr>
            <w:r>
              <w:t xml:space="preserve">群众对基本公共文化服务满意度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13018426P00001110077M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新乐市长寿街道办事处（含所属单位）上年末固定资产金额为0.00万元（详见下表）。本年度拟购置固定资产总额为0.00万元，已按要求列入政府采购预算，详见政府采购预算表。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911新乐市长寿街道办事处</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2026-03-02T13:24:09Z</dcterms:created>
  <dcterms:modified xsi:type="dcterms:W3CDTF">2026-03-02T13:24:09Z</dcterms:modified>
</cp:coreProperties>
</file>