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一、河北新乐经济开发区管理委员会本级收支预算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一、河北新乐经济开发区管理委员会本级收支预算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1349.29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1097.80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5754.49</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89.77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37.66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1873.46</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124.06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11754.49</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7103.78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14977.24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7873.46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14977.24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14977.24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14977.24</w:t>
            </w:r>
          </w:p>
        </w:tc>
        <w:tc>
          <w:tcPr>
            <w:tcW w:w="1134" w:type="dxa"/>
            <w:vAlign w:val="center"/>
          </w:tcPr>
          <w:p>
            <w:pPr>
              <w:pStyle w:val="单元格样式7"/>
            </w:pPr>
            <w:r>
              <w:t xml:space="preserve">7103.78</w:t>
            </w:r>
          </w:p>
        </w:tc>
        <w:tc>
          <w:tcPr>
            <w:tcW w:w="1134" w:type="dxa"/>
            <w:vAlign w:val="center"/>
          </w:tcPr>
          <w:p>
            <w:pPr>
              <w:pStyle w:val="单元格样式7"/>
            </w:pPr>
            <w:r>
              <w:t xml:space="preserve">7103.78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7873.46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89.77</w:t>
            </w:r>
          </w:p>
        </w:tc>
        <w:tc>
          <w:tcPr>
            <w:tcW w:w="1134" w:type="dxa"/>
            <w:vAlign w:val="center"/>
          </w:tcPr>
          <w:p>
            <w:pPr>
              <w:pStyle w:val="单元格样式4"/>
            </w:pPr>
            <w:r>
              <w:t xml:space="preserve">89.77</w:t>
            </w:r>
          </w:p>
        </w:tc>
        <w:tc>
          <w:tcPr>
            <w:tcW w:w="1134" w:type="dxa"/>
            <w:vAlign w:val="center"/>
          </w:tcPr>
          <w:p>
            <w:pPr>
              <w:pStyle w:val="单元格样式4"/>
            </w:pPr>
            <w:r>
              <w:t xml:space="preserve">89.77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83.68</w:t>
            </w:r>
          </w:p>
        </w:tc>
        <w:tc>
          <w:tcPr>
            <w:tcW w:w="1134" w:type="dxa"/>
            <w:vAlign w:val="center"/>
          </w:tcPr>
          <w:p>
            <w:pPr>
              <w:pStyle w:val="单元格样式4"/>
            </w:pPr>
            <w:r>
              <w:t xml:space="preserve">83.68</w:t>
            </w:r>
          </w:p>
        </w:tc>
        <w:tc>
          <w:tcPr>
            <w:tcW w:w="1134" w:type="dxa"/>
            <w:vAlign w:val="center"/>
          </w:tcPr>
          <w:p>
            <w:pPr>
              <w:pStyle w:val="单元格样式4"/>
            </w:pPr>
            <w:r>
              <w:t xml:space="preserve">83.68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80.97</w:t>
            </w:r>
          </w:p>
        </w:tc>
        <w:tc>
          <w:tcPr>
            <w:tcW w:w="1134" w:type="dxa"/>
            <w:vAlign w:val="center"/>
          </w:tcPr>
          <w:p>
            <w:pPr>
              <w:pStyle w:val="单元格样式4"/>
            </w:pPr>
            <w:r>
              <w:t xml:space="preserve">80.97</w:t>
            </w:r>
          </w:p>
        </w:tc>
        <w:tc>
          <w:tcPr>
            <w:tcW w:w="1134" w:type="dxa"/>
            <w:vAlign w:val="center"/>
          </w:tcPr>
          <w:p>
            <w:pPr>
              <w:pStyle w:val="单元格样式4"/>
            </w:pPr>
            <w:r>
              <w:t xml:space="preserve">80.97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1873.46</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873.46</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873.46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873.46</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873.46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873.46</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11754.49</w:t>
            </w:r>
          </w:p>
        </w:tc>
        <w:tc>
          <w:tcPr>
            <w:tcW w:w="1134" w:type="dxa"/>
            <w:vAlign w:val="center"/>
          </w:tcPr>
          <w:p>
            <w:pPr>
              <w:pStyle w:val="单元格样式4"/>
            </w:pPr>
            <w:r>
              <w:t xml:space="preserve">4754.49</w:t>
            </w:r>
          </w:p>
        </w:tc>
        <w:tc>
          <w:tcPr>
            <w:tcW w:w="1134" w:type="dxa"/>
            <w:vAlign w:val="center"/>
          </w:tcPr>
          <w:p>
            <w:pPr>
              <w:pStyle w:val="单元格样式4"/>
            </w:pPr>
            <w:r>
              <w:t xml:space="preserve">4754.49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7000.00</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11754.49</w:t>
            </w:r>
          </w:p>
        </w:tc>
        <w:tc>
          <w:tcPr>
            <w:tcW w:w="1134" w:type="dxa"/>
            <w:vAlign w:val="center"/>
          </w:tcPr>
          <w:p>
            <w:pPr>
              <w:pStyle w:val="单元格样式4"/>
            </w:pPr>
            <w:r>
              <w:t xml:space="preserve">4754.49</w:t>
            </w:r>
          </w:p>
        </w:tc>
        <w:tc>
          <w:tcPr>
            <w:tcW w:w="1134" w:type="dxa"/>
            <w:vAlign w:val="center"/>
          </w:tcPr>
          <w:p>
            <w:pPr>
              <w:pStyle w:val="单元格样式4"/>
            </w:pPr>
            <w:r>
              <w:t xml:space="preserve">4754.49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7000.00</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11754.49</w:t>
            </w:r>
          </w:p>
        </w:tc>
        <w:tc>
          <w:tcPr>
            <w:tcW w:w="1134" w:type="dxa"/>
            <w:vAlign w:val="center"/>
          </w:tcPr>
          <w:p>
            <w:pPr>
              <w:pStyle w:val="单元格样式4"/>
            </w:pPr>
            <w:r>
              <w:t xml:space="preserve">4754.49</w:t>
            </w:r>
          </w:p>
        </w:tc>
        <w:tc>
          <w:tcPr>
            <w:tcW w:w="1134" w:type="dxa"/>
            <w:vAlign w:val="center"/>
          </w:tcPr>
          <w:p>
            <w:pPr>
              <w:pStyle w:val="单元格样式4"/>
            </w:pPr>
            <w:r>
              <w:t xml:space="preserve">4754.49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7000.00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14977.24</w:t>
            </w:r>
          </w:p>
        </w:tc>
        <w:tc>
          <w:tcPr>
            <w:tcW w:w="1361" w:type="dxa"/>
            <w:vAlign w:val="center"/>
          </w:tcPr>
          <w:p>
            <w:pPr>
              <w:pStyle w:val="单元格样式7"/>
            </w:pPr>
            <w:r>
              <w:t xml:space="preserve">1328.18</w:t>
            </w:r>
          </w:p>
        </w:tc>
        <w:tc>
          <w:tcPr>
            <w:tcW w:w="1361" w:type="dxa"/>
            <w:vAlign w:val="center"/>
          </w:tcPr>
          <w:p>
            <w:pPr>
              <w:pStyle w:val="单元格样式7"/>
            </w:pPr>
            <w:r>
              <w:t xml:space="preserve">13649.06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1097.80</w:t>
            </w:r>
          </w:p>
        </w:tc>
        <w:tc>
          <w:tcPr>
            <w:tcW w:w="1361" w:type="dxa"/>
            <w:vAlign w:val="center"/>
          </w:tcPr>
          <w:p>
            <w:pPr>
              <w:pStyle w:val="单元格样式4"/>
            </w:pPr>
            <w:r>
              <w:t xml:space="preserve">1076.69</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1097.80</w:t>
            </w:r>
          </w:p>
        </w:tc>
        <w:tc>
          <w:tcPr>
            <w:tcW w:w="1361" w:type="dxa"/>
            <w:vAlign w:val="center"/>
          </w:tcPr>
          <w:p>
            <w:pPr>
              <w:pStyle w:val="单元格样式4"/>
            </w:pPr>
            <w:r>
              <w:t xml:space="preserve">1076.69</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1097.80</w:t>
            </w:r>
          </w:p>
        </w:tc>
        <w:tc>
          <w:tcPr>
            <w:tcW w:w="1361" w:type="dxa"/>
            <w:vAlign w:val="center"/>
          </w:tcPr>
          <w:p>
            <w:pPr>
              <w:pStyle w:val="单元格样式4"/>
            </w:pPr>
            <w:r>
              <w:t xml:space="preserve">1076.69</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89.77</w:t>
            </w:r>
          </w:p>
        </w:tc>
        <w:tc>
          <w:tcPr>
            <w:tcW w:w="1361" w:type="dxa"/>
            <w:vAlign w:val="center"/>
          </w:tcPr>
          <w:p>
            <w:pPr>
              <w:pStyle w:val="单元格样式4"/>
            </w:pPr>
            <w:r>
              <w:t xml:space="preserve">89.77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83.68</w:t>
            </w:r>
          </w:p>
        </w:tc>
        <w:tc>
          <w:tcPr>
            <w:tcW w:w="1361" w:type="dxa"/>
            <w:vAlign w:val="center"/>
          </w:tcPr>
          <w:p>
            <w:pPr>
              <w:pStyle w:val="单元格样式4"/>
            </w:pPr>
            <w:r>
              <w:t xml:space="preserve">83.68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2.71</w:t>
            </w:r>
          </w:p>
        </w:tc>
        <w:tc>
          <w:tcPr>
            <w:tcW w:w="1361" w:type="dxa"/>
            <w:vAlign w:val="center"/>
          </w:tcPr>
          <w:p>
            <w:pPr>
              <w:pStyle w:val="单元格样式4"/>
            </w:pPr>
            <w:r>
              <w:t xml:space="preserve">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80.97</w:t>
            </w:r>
          </w:p>
        </w:tc>
        <w:tc>
          <w:tcPr>
            <w:tcW w:w="1361" w:type="dxa"/>
            <w:vAlign w:val="center"/>
          </w:tcPr>
          <w:p>
            <w:pPr>
              <w:pStyle w:val="单元格样式4"/>
            </w:pPr>
            <w:r>
              <w:t xml:space="preserve">80.97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6.09</w:t>
            </w:r>
          </w:p>
        </w:tc>
        <w:tc>
          <w:tcPr>
            <w:tcW w:w="1361" w:type="dxa"/>
            <w:vAlign w:val="center"/>
          </w:tcPr>
          <w:p>
            <w:pPr>
              <w:pStyle w:val="单元格样式4"/>
            </w:pPr>
            <w:r>
              <w:t xml:space="preserve">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6.09</w:t>
            </w:r>
          </w:p>
        </w:tc>
        <w:tc>
          <w:tcPr>
            <w:tcW w:w="1361" w:type="dxa"/>
            <w:vAlign w:val="center"/>
          </w:tcPr>
          <w:p>
            <w:pPr>
              <w:pStyle w:val="单元格样式4"/>
            </w:pPr>
            <w:r>
              <w:t xml:space="preserve">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37.66</w:t>
            </w:r>
          </w:p>
        </w:tc>
        <w:tc>
          <w:tcPr>
            <w:tcW w:w="1361" w:type="dxa"/>
            <w:vAlign w:val="center"/>
          </w:tcPr>
          <w:p>
            <w:pPr>
              <w:pStyle w:val="单元格样式4"/>
            </w:pPr>
            <w:r>
              <w:t xml:space="preserve">37.66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37.66</w:t>
            </w:r>
          </w:p>
        </w:tc>
        <w:tc>
          <w:tcPr>
            <w:tcW w:w="1361" w:type="dxa"/>
            <w:vAlign w:val="center"/>
          </w:tcPr>
          <w:p>
            <w:pPr>
              <w:pStyle w:val="单元格样式4"/>
            </w:pPr>
            <w:r>
              <w:t xml:space="preserve">37.66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37.66</w:t>
            </w:r>
          </w:p>
        </w:tc>
        <w:tc>
          <w:tcPr>
            <w:tcW w:w="1361" w:type="dxa"/>
            <w:vAlign w:val="center"/>
          </w:tcPr>
          <w:p>
            <w:pPr>
              <w:pStyle w:val="单元格样式4"/>
            </w:pPr>
            <w:r>
              <w:t xml:space="preserve">37.66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1873.46</w:t>
            </w:r>
          </w:p>
        </w:tc>
        <w:tc>
          <w:tcPr>
            <w:tcW w:w="1361" w:type="dxa"/>
            <w:vAlign w:val="center"/>
          </w:tcPr>
          <w:p>
            <w:pPr>
              <w:pStyle w:val="单元格样式4"/>
            </w:pPr>
          </w:p>
        </w:tc>
        <w:tc>
          <w:tcPr>
            <w:tcW w:w="1361" w:type="dxa"/>
            <w:vAlign w:val="center"/>
          </w:tcPr>
          <w:p>
            <w:pPr>
              <w:pStyle w:val="单元格样式4"/>
            </w:pPr>
            <w:r>
              <w:t xml:space="preserve">1873.46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124.06</w:t>
            </w:r>
          </w:p>
        </w:tc>
        <w:tc>
          <w:tcPr>
            <w:tcW w:w="1361" w:type="dxa"/>
            <w:vAlign w:val="center"/>
          </w:tcPr>
          <w:p>
            <w:pPr>
              <w:pStyle w:val="单元格样式4"/>
            </w:pPr>
            <w:r>
              <w:t xml:space="preserve">124.06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124.06</w:t>
            </w:r>
          </w:p>
        </w:tc>
        <w:tc>
          <w:tcPr>
            <w:tcW w:w="1361" w:type="dxa"/>
            <w:vAlign w:val="center"/>
          </w:tcPr>
          <w:p>
            <w:pPr>
              <w:pStyle w:val="单元格样式4"/>
            </w:pPr>
            <w:r>
              <w:t xml:space="preserve">124.06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124.06</w:t>
            </w:r>
          </w:p>
        </w:tc>
        <w:tc>
          <w:tcPr>
            <w:tcW w:w="1361" w:type="dxa"/>
            <w:vAlign w:val="center"/>
          </w:tcPr>
          <w:p>
            <w:pPr>
              <w:pStyle w:val="单元格样式4"/>
            </w:pPr>
            <w:r>
              <w:t xml:space="preserve">124.06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1349.29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1097.80</w:t>
            </w:r>
          </w:p>
        </w:tc>
        <w:tc>
          <w:tcPr>
            <w:tcW w:w="1474" w:type="dxa"/>
            <w:vAlign w:val="center"/>
          </w:tcPr>
          <w:p>
            <w:pPr>
              <w:pStyle w:val="单元格样式4"/>
            </w:pPr>
            <w:r>
              <w:t xml:space="preserve">1097.80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5754.49</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89.77</w:t>
            </w:r>
          </w:p>
        </w:tc>
        <w:tc>
          <w:tcPr>
            <w:tcW w:w="1474" w:type="dxa"/>
            <w:vAlign w:val="center"/>
          </w:tcPr>
          <w:p>
            <w:pPr>
              <w:pStyle w:val="单元格样式4"/>
            </w:pPr>
            <w:r>
              <w:t xml:space="preserve">89.77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37.66</w:t>
            </w:r>
          </w:p>
        </w:tc>
        <w:tc>
          <w:tcPr>
            <w:tcW w:w="1474" w:type="dxa"/>
            <w:vAlign w:val="center"/>
          </w:tcPr>
          <w:p>
            <w:pPr>
              <w:pStyle w:val="单元格样式4"/>
            </w:pPr>
            <w:r>
              <w:t xml:space="preserve">37.66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1873.46</w:t>
            </w:r>
          </w:p>
        </w:tc>
        <w:tc>
          <w:tcPr>
            <w:tcW w:w="1474" w:type="dxa"/>
            <w:vAlign w:val="center"/>
          </w:tcPr>
          <w:p>
            <w:pPr>
              <w:pStyle w:val="单元格样式4"/>
            </w:pPr>
            <w:r>
              <w:t xml:space="preserve">873.46</w:t>
            </w:r>
          </w:p>
        </w:tc>
        <w:tc>
          <w:tcPr>
            <w:tcW w:w="1474" w:type="dxa"/>
            <w:vAlign w:val="center"/>
          </w:tcPr>
          <w:p>
            <w:pPr>
              <w:pStyle w:val="单元格样式4"/>
            </w:pPr>
            <w:r>
              <w:t xml:space="preserve">1000.00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124.06</w:t>
            </w:r>
          </w:p>
        </w:tc>
        <w:tc>
          <w:tcPr>
            <w:tcW w:w="1474" w:type="dxa"/>
            <w:vAlign w:val="center"/>
          </w:tcPr>
          <w:p>
            <w:pPr>
              <w:pStyle w:val="单元格样式4"/>
            </w:pPr>
            <w:r>
              <w:t xml:space="preserve">124.06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11754.49</w:t>
            </w:r>
          </w:p>
        </w:tc>
        <w:tc>
          <w:tcPr>
            <w:tcW w:w="1474" w:type="dxa"/>
            <w:vAlign w:val="center"/>
          </w:tcPr>
          <w:p>
            <w:pPr>
              <w:pStyle w:val="单元格样式4"/>
            </w:pPr>
          </w:p>
        </w:tc>
        <w:tc>
          <w:tcPr>
            <w:tcW w:w="1474" w:type="dxa"/>
            <w:vAlign w:val="center"/>
          </w:tcPr>
          <w:p>
            <w:pPr>
              <w:pStyle w:val="单元格样式4"/>
            </w:pPr>
            <w:r>
              <w:t xml:space="preserve">11754.49</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7103.78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14977.24</w:t>
            </w:r>
          </w:p>
        </w:tc>
        <w:tc>
          <w:tcPr>
            <w:tcW w:w="1474" w:type="dxa"/>
            <w:vAlign w:val="center"/>
          </w:tcPr>
          <w:p>
            <w:pPr>
              <w:pStyle w:val="单元格样式7"/>
            </w:pPr>
            <w:r>
              <w:t xml:space="preserve">2222.75</w:t>
            </w:r>
          </w:p>
        </w:tc>
        <w:tc>
          <w:tcPr>
            <w:tcW w:w="1474" w:type="dxa"/>
            <w:vAlign w:val="center"/>
          </w:tcPr>
          <w:p>
            <w:pPr>
              <w:pStyle w:val="单元格样式7"/>
            </w:pPr>
            <w:r>
              <w:t xml:space="preserve">12754.49</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7873.46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873.46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7000.00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14977.24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14977.24</w:t>
            </w:r>
          </w:p>
        </w:tc>
        <w:tc>
          <w:tcPr>
            <w:tcW w:w="1474" w:type="dxa"/>
            <w:vAlign w:val="center"/>
          </w:tcPr>
          <w:p>
            <w:pPr>
              <w:pStyle w:val="单元格样式7"/>
            </w:pPr>
            <w:r>
              <w:t xml:space="preserve">2222.75</w:t>
            </w:r>
          </w:p>
        </w:tc>
        <w:tc>
          <w:tcPr>
            <w:tcW w:w="1474" w:type="dxa"/>
            <w:vAlign w:val="center"/>
          </w:tcPr>
          <w:p>
            <w:pPr>
              <w:pStyle w:val="单元格样式7"/>
            </w:pPr>
            <w:r>
              <w:t xml:space="preserve">12754.49</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2222.75</w:t>
            </w:r>
          </w:p>
        </w:tc>
        <w:tc>
          <w:tcPr>
            <w:tcW w:w="2551" w:type="dxa"/>
            <w:vAlign w:val="center"/>
          </w:tcPr>
          <w:p>
            <w:pPr>
              <w:pStyle w:val="单元格样式7"/>
            </w:pPr>
            <w:r>
              <w:t xml:space="preserve">1328.18</w:t>
            </w:r>
          </w:p>
        </w:tc>
        <w:tc>
          <w:tcPr>
            <w:tcW w:w="2551" w:type="dxa"/>
            <w:vAlign w:val="center"/>
          </w:tcPr>
          <w:p>
            <w:pPr>
              <w:pStyle w:val="单元格样式7"/>
            </w:pPr>
            <w:r>
              <w:t xml:space="preserve">894.57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1097.80</w:t>
            </w:r>
          </w:p>
        </w:tc>
        <w:tc>
          <w:tcPr>
            <w:tcW w:w="2551" w:type="dxa"/>
            <w:vAlign w:val="center"/>
          </w:tcPr>
          <w:p>
            <w:pPr>
              <w:pStyle w:val="单元格样式4"/>
            </w:pPr>
            <w:r>
              <w:t xml:space="preserve">1076.69</w:t>
            </w:r>
          </w:p>
        </w:tc>
        <w:tc>
          <w:tcPr>
            <w:tcW w:w="2551" w:type="dxa"/>
            <w:vAlign w:val="center"/>
          </w:tcPr>
          <w:p>
            <w:pPr>
              <w:pStyle w:val="单元格样式4"/>
            </w:pPr>
            <w:r>
              <w:t xml:space="preserve">21.11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1097.80</w:t>
            </w:r>
          </w:p>
        </w:tc>
        <w:tc>
          <w:tcPr>
            <w:tcW w:w="2551" w:type="dxa"/>
            <w:vAlign w:val="center"/>
          </w:tcPr>
          <w:p>
            <w:pPr>
              <w:pStyle w:val="单元格样式4"/>
            </w:pPr>
            <w:r>
              <w:t xml:space="preserve">1076.69</w:t>
            </w:r>
          </w:p>
        </w:tc>
        <w:tc>
          <w:tcPr>
            <w:tcW w:w="2551" w:type="dxa"/>
            <w:vAlign w:val="center"/>
          </w:tcPr>
          <w:p>
            <w:pPr>
              <w:pStyle w:val="单元格样式4"/>
            </w:pPr>
            <w:r>
              <w:t xml:space="preserve">21.11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1097.80</w:t>
            </w:r>
          </w:p>
        </w:tc>
        <w:tc>
          <w:tcPr>
            <w:tcW w:w="2551" w:type="dxa"/>
            <w:vAlign w:val="center"/>
          </w:tcPr>
          <w:p>
            <w:pPr>
              <w:pStyle w:val="单元格样式4"/>
            </w:pPr>
            <w:r>
              <w:t xml:space="preserve">1076.69</w:t>
            </w:r>
          </w:p>
        </w:tc>
        <w:tc>
          <w:tcPr>
            <w:tcW w:w="2551" w:type="dxa"/>
            <w:vAlign w:val="center"/>
          </w:tcPr>
          <w:p>
            <w:pPr>
              <w:pStyle w:val="单元格样式4"/>
            </w:pPr>
            <w:r>
              <w:t xml:space="preserve">21.11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89.77</w:t>
            </w:r>
          </w:p>
        </w:tc>
        <w:tc>
          <w:tcPr>
            <w:tcW w:w="2551" w:type="dxa"/>
            <w:vAlign w:val="center"/>
          </w:tcPr>
          <w:p>
            <w:pPr>
              <w:pStyle w:val="单元格样式4"/>
            </w:pPr>
            <w:r>
              <w:t xml:space="preserve">89.77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83.68</w:t>
            </w:r>
          </w:p>
        </w:tc>
        <w:tc>
          <w:tcPr>
            <w:tcW w:w="2551" w:type="dxa"/>
            <w:vAlign w:val="center"/>
          </w:tcPr>
          <w:p>
            <w:pPr>
              <w:pStyle w:val="单元格样式4"/>
            </w:pPr>
            <w:r>
              <w:t xml:space="preserve">83.68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2.71</w:t>
            </w:r>
          </w:p>
        </w:tc>
        <w:tc>
          <w:tcPr>
            <w:tcW w:w="2551" w:type="dxa"/>
            <w:vAlign w:val="center"/>
          </w:tcPr>
          <w:p>
            <w:pPr>
              <w:pStyle w:val="单元格样式4"/>
            </w:pPr>
            <w:r>
              <w:t xml:space="preserve">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80.97</w:t>
            </w:r>
          </w:p>
        </w:tc>
        <w:tc>
          <w:tcPr>
            <w:tcW w:w="2551" w:type="dxa"/>
            <w:vAlign w:val="center"/>
          </w:tcPr>
          <w:p>
            <w:pPr>
              <w:pStyle w:val="单元格样式4"/>
            </w:pPr>
            <w:r>
              <w:t xml:space="preserve">80.97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873.46</w:t>
            </w:r>
          </w:p>
        </w:tc>
        <w:tc>
          <w:tcPr>
            <w:tcW w:w="2551" w:type="dxa"/>
            <w:vAlign w:val="center"/>
          </w:tcPr>
          <w:p>
            <w:pPr>
              <w:pStyle w:val="单元格样式4"/>
            </w:pPr>
          </w:p>
        </w:tc>
        <w:tc>
          <w:tcPr>
            <w:tcW w:w="2551" w:type="dxa"/>
            <w:vAlign w:val="center"/>
          </w:tcPr>
          <w:p>
            <w:pPr>
              <w:pStyle w:val="单元格样式4"/>
            </w:pPr>
            <w:r>
              <w:t xml:space="preserve">873.46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873.46</w:t>
            </w:r>
          </w:p>
        </w:tc>
        <w:tc>
          <w:tcPr>
            <w:tcW w:w="2551" w:type="dxa"/>
            <w:vAlign w:val="center"/>
          </w:tcPr>
          <w:p>
            <w:pPr>
              <w:pStyle w:val="单元格样式4"/>
            </w:pPr>
          </w:p>
        </w:tc>
        <w:tc>
          <w:tcPr>
            <w:tcW w:w="2551" w:type="dxa"/>
            <w:vAlign w:val="center"/>
          </w:tcPr>
          <w:p>
            <w:pPr>
              <w:pStyle w:val="单元格样式4"/>
            </w:pPr>
            <w:r>
              <w:t xml:space="preserve">873.46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873.46</w:t>
            </w:r>
          </w:p>
        </w:tc>
        <w:tc>
          <w:tcPr>
            <w:tcW w:w="2551" w:type="dxa"/>
            <w:vAlign w:val="center"/>
          </w:tcPr>
          <w:p>
            <w:pPr>
              <w:pStyle w:val="单元格样式4"/>
            </w:pPr>
          </w:p>
        </w:tc>
        <w:tc>
          <w:tcPr>
            <w:tcW w:w="2551" w:type="dxa"/>
            <w:vAlign w:val="center"/>
          </w:tcPr>
          <w:p>
            <w:pPr>
              <w:pStyle w:val="单元格样式4"/>
            </w:pPr>
            <w:r>
              <w:t xml:space="preserve">873.46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1328.18</w:t>
            </w:r>
          </w:p>
        </w:tc>
        <w:tc>
          <w:tcPr>
            <w:tcW w:w="2551" w:type="dxa"/>
            <w:vAlign w:val="center"/>
          </w:tcPr>
          <w:p>
            <w:pPr>
              <w:pStyle w:val="单元格样式7"/>
            </w:pPr>
            <w:r>
              <w:t xml:space="preserve">1273.60</w:t>
            </w:r>
          </w:p>
        </w:tc>
        <w:tc>
          <w:tcPr>
            <w:tcW w:w="2551" w:type="dxa"/>
            <w:vAlign w:val="center"/>
          </w:tcPr>
          <w:p>
            <w:pPr>
              <w:pStyle w:val="单元格样式7"/>
            </w:pPr>
            <w:r>
              <w:t xml:space="preserve">54.58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1270.89</w:t>
            </w:r>
          </w:p>
        </w:tc>
        <w:tc>
          <w:tcPr>
            <w:tcW w:w="2551" w:type="dxa"/>
            <w:vAlign w:val="center"/>
          </w:tcPr>
          <w:p>
            <w:pPr>
              <w:pStyle w:val="单元格样式4"/>
            </w:pPr>
            <w:r>
              <w:t xml:space="preserve">1270.89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847.80</w:t>
            </w:r>
          </w:p>
        </w:tc>
        <w:tc>
          <w:tcPr>
            <w:tcW w:w="2551" w:type="dxa"/>
            <w:vAlign w:val="center"/>
          </w:tcPr>
          <w:p>
            <w:pPr>
              <w:pStyle w:val="单元格样式4"/>
            </w:pPr>
            <w:r>
              <w:t xml:space="preserve">847.80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43.76</w:t>
            </w:r>
          </w:p>
        </w:tc>
        <w:tc>
          <w:tcPr>
            <w:tcW w:w="2551" w:type="dxa"/>
            <w:vAlign w:val="center"/>
          </w:tcPr>
          <w:p>
            <w:pPr>
              <w:pStyle w:val="单元格样式4"/>
            </w:pPr>
            <w:r>
              <w:t xml:space="preserve">43.76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130.55</w:t>
            </w:r>
          </w:p>
        </w:tc>
        <w:tc>
          <w:tcPr>
            <w:tcW w:w="2551" w:type="dxa"/>
            <w:vAlign w:val="center"/>
          </w:tcPr>
          <w:p>
            <w:pPr>
              <w:pStyle w:val="单元格样式4"/>
            </w:pPr>
            <w:r>
              <w:t xml:space="preserve">130.55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80.97</w:t>
            </w:r>
          </w:p>
        </w:tc>
        <w:tc>
          <w:tcPr>
            <w:tcW w:w="2551" w:type="dxa"/>
            <w:vAlign w:val="center"/>
          </w:tcPr>
          <w:p>
            <w:pPr>
              <w:pStyle w:val="单元格样式4"/>
            </w:pPr>
            <w:r>
              <w:t xml:space="preserve">80.97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54.58</w:t>
            </w:r>
          </w:p>
        </w:tc>
        <w:tc>
          <w:tcPr>
            <w:tcW w:w="2551" w:type="dxa"/>
            <w:vAlign w:val="center"/>
          </w:tcPr>
          <w:p>
            <w:pPr>
              <w:pStyle w:val="单元格样式4"/>
            </w:pPr>
          </w:p>
        </w:tc>
        <w:tc>
          <w:tcPr>
            <w:tcW w:w="2551" w:type="dxa"/>
            <w:vAlign w:val="center"/>
          </w:tcPr>
          <w:p>
            <w:pPr>
              <w:pStyle w:val="单元格样式4"/>
            </w:pPr>
            <w:r>
              <w:t xml:space="preserve">54.58</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4.85</w:t>
            </w:r>
          </w:p>
        </w:tc>
        <w:tc>
          <w:tcPr>
            <w:tcW w:w="2551" w:type="dxa"/>
            <w:vAlign w:val="center"/>
          </w:tcPr>
          <w:p>
            <w:pPr>
              <w:pStyle w:val="单元格样式4"/>
            </w:pPr>
          </w:p>
        </w:tc>
        <w:tc>
          <w:tcPr>
            <w:tcW w:w="2551" w:type="dxa"/>
            <w:vAlign w:val="center"/>
          </w:tcPr>
          <w:p>
            <w:pPr>
              <w:pStyle w:val="单元格样式4"/>
            </w:pPr>
            <w:r>
              <w:t xml:space="preserve">4.85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9.54</w:t>
            </w:r>
          </w:p>
        </w:tc>
        <w:tc>
          <w:tcPr>
            <w:tcW w:w="2551" w:type="dxa"/>
            <w:vAlign w:val="center"/>
          </w:tcPr>
          <w:p>
            <w:pPr>
              <w:pStyle w:val="单元格样式4"/>
            </w:pPr>
          </w:p>
        </w:tc>
        <w:tc>
          <w:tcPr>
            <w:tcW w:w="2551" w:type="dxa"/>
            <w:vAlign w:val="center"/>
          </w:tcPr>
          <w:p>
            <w:pPr>
              <w:pStyle w:val="单元格样式4"/>
            </w:pPr>
            <w:r>
              <w:t xml:space="preserve">9.54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5.77</w:t>
            </w:r>
          </w:p>
        </w:tc>
        <w:tc>
          <w:tcPr>
            <w:tcW w:w="2551" w:type="dxa"/>
            <w:vAlign w:val="center"/>
          </w:tcPr>
          <w:p>
            <w:pPr>
              <w:pStyle w:val="单元格样式4"/>
            </w:pPr>
          </w:p>
        </w:tc>
        <w:tc>
          <w:tcPr>
            <w:tcW w:w="2551" w:type="dxa"/>
            <w:vAlign w:val="center"/>
          </w:tcPr>
          <w:p>
            <w:pPr>
              <w:pStyle w:val="单元格样式4"/>
            </w:pPr>
            <w:r>
              <w:t xml:space="preserve">5.77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10.68</w:t>
            </w:r>
          </w:p>
        </w:tc>
        <w:tc>
          <w:tcPr>
            <w:tcW w:w="2551" w:type="dxa"/>
            <w:vAlign w:val="center"/>
          </w:tcPr>
          <w:p>
            <w:pPr>
              <w:pStyle w:val="单元格样式4"/>
            </w:pPr>
          </w:p>
        </w:tc>
        <w:tc>
          <w:tcPr>
            <w:tcW w:w="2551" w:type="dxa"/>
            <w:vAlign w:val="center"/>
          </w:tcPr>
          <w:p>
            <w:pPr>
              <w:pStyle w:val="单元格样式4"/>
            </w:pPr>
            <w:r>
              <w:t xml:space="preserve">10.68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19.41</w:t>
            </w:r>
          </w:p>
        </w:tc>
        <w:tc>
          <w:tcPr>
            <w:tcW w:w="2551" w:type="dxa"/>
            <w:vAlign w:val="center"/>
          </w:tcPr>
          <w:p>
            <w:pPr>
              <w:pStyle w:val="单元格样式4"/>
            </w:pPr>
          </w:p>
        </w:tc>
        <w:tc>
          <w:tcPr>
            <w:tcW w:w="2551" w:type="dxa"/>
            <w:vAlign w:val="center"/>
          </w:tcPr>
          <w:p>
            <w:pPr>
              <w:pStyle w:val="单元格样式4"/>
            </w:pPr>
            <w:r>
              <w:t xml:space="preserve">19.41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2.71</w:t>
            </w:r>
          </w:p>
        </w:tc>
        <w:tc>
          <w:tcPr>
            <w:tcW w:w="2551" w:type="dxa"/>
            <w:vAlign w:val="center"/>
          </w:tcPr>
          <w:p>
            <w:pPr>
              <w:pStyle w:val="单元格样式4"/>
            </w:pPr>
            <w:r>
              <w:t xml:space="preserve">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2.71</w:t>
            </w:r>
          </w:p>
        </w:tc>
        <w:tc>
          <w:tcPr>
            <w:tcW w:w="2551" w:type="dxa"/>
            <w:vAlign w:val="center"/>
          </w:tcPr>
          <w:p>
            <w:pPr>
              <w:pStyle w:val="单元格样式4"/>
            </w:pPr>
            <w:r>
              <w:t xml:space="preserve">2.71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12754.49</w:t>
            </w:r>
          </w:p>
        </w:tc>
        <w:tc>
          <w:tcPr>
            <w:tcW w:w="2551" w:type="dxa"/>
            <w:vAlign w:val="center"/>
          </w:tcPr>
          <w:p>
            <w:pPr>
              <w:pStyle w:val="单元格样式7"/>
            </w:pPr>
          </w:p>
        </w:tc>
        <w:tc>
          <w:tcPr>
            <w:tcW w:w="2551" w:type="dxa"/>
            <w:vAlign w:val="center"/>
          </w:tcPr>
          <w:p>
            <w:pPr>
              <w:pStyle w:val="单元格样式7"/>
            </w:pPr>
            <w:r>
              <w:t xml:space="preserve">12754.49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11754.49</w:t>
            </w:r>
          </w:p>
        </w:tc>
        <w:tc>
          <w:tcPr>
            <w:tcW w:w="2551" w:type="dxa"/>
            <w:vAlign w:val="center"/>
          </w:tcPr>
          <w:p>
            <w:pPr>
              <w:pStyle w:val="单元格样式4"/>
            </w:pPr>
          </w:p>
        </w:tc>
        <w:tc>
          <w:tcPr>
            <w:tcW w:w="2551" w:type="dxa"/>
            <w:vAlign w:val="center"/>
          </w:tcPr>
          <w:p>
            <w:pPr>
              <w:pStyle w:val="单元格样式4"/>
            </w:pPr>
            <w:r>
              <w:t xml:space="preserve">11754.49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11754.49</w:t>
            </w:r>
          </w:p>
        </w:tc>
        <w:tc>
          <w:tcPr>
            <w:tcW w:w="2551" w:type="dxa"/>
            <w:vAlign w:val="center"/>
          </w:tcPr>
          <w:p>
            <w:pPr>
              <w:pStyle w:val="单元格样式4"/>
            </w:pPr>
          </w:p>
        </w:tc>
        <w:tc>
          <w:tcPr>
            <w:tcW w:w="2551" w:type="dxa"/>
            <w:vAlign w:val="center"/>
          </w:tcPr>
          <w:p>
            <w:pPr>
              <w:pStyle w:val="单元格样式4"/>
            </w:pPr>
            <w:r>
              <w:t xml:space="preserve">11754.49</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11754.49</w:t>
            </w:r>
          </w:p>
        </w:tc>
        <w:tc>
          <w:tcPr>
            <w:tcW w:w="2551" w:type="dxa"/>
            <w:vAlign w:val="center"/>
          </w:tcPr>
          <w:p>
            <w:pPr>
              <w:pStyle w:val="单元格样式4"/>
            </w:pPr>
          </w:p>
        </w:tc>
        <w:tc>
          <w:tcPr>
            <w:tcW w:w="2551" w:type="dxa"/>
            <w:vAlign w:val="center"/>
          </w:tcPr>
          <w:p>
            <w:pPr>
              <w:pStyle w:val="单元格样式4"/>
            </w:pPr>
            <w:r>
              <w:t xml:space="preserve">11754.49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河北新乐经济开发区管理委员会本级2026年单位预算信息公开情况说明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按照《中华人民共和国预算法》、《地方预决算公开操作规程》和《关于进一步推进预算公开工作的实施意见》规定，现将河北新乐经济开发区管理委员会本级2026年单位预算公开如下：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根据《河北新乐经济开发区管理委员会职能配置、内设机构和人员编制规定》，河北新乐经济开发区管理委员会的主要职责是：</w:t>
      </w:r>
    </w:p>
    <w:p>
      <w:pPr>
        <w:pStyle w:val="插入文本样式-插入单位职责文件"/>
      </w:pPr>
      <w:r>
        <w:t xml:space="preserve">（1）负责辖区党的组织、思想、党风廉政建设和其他党务工作。</w:t>
      </w:r>
    </w:p>
    <w:p>
      <w:pPr>
        <w:pStyle w:val="插入文本样式-插入单位职责文件"/>
      </w:pPr>
      <w:r>
        <w:t xml:space="preserve">（2）负责宣传和精神文明建设工作。</w:t>
      </w:r>
    </w:p>
    <w:p>
      <w:pPr>
        <w:pStyle w:val="插入文本样式-插入单位职责文件"/>
      </w:pPr>
      <w:r>
        <w:t xml:space="preserve">（3）负责区内工会、共青团、妇联等群团工作。</w:t>
      </w:r>
    </w:p>
    <w:p>
      <w:pPr>
        <w:pStyle w:val="插入文本样式-插入单位职责文件"/>
      </w:pPr>
      <w:r>
        <w:t xml:space="preserve">（4）编制辖区的总体规划和经济发展规划，经批准后组织实施。</w:t>
      </w:r>
    </w:p>
    <w:p>
      <w:pPr>
        <w:pStyle w:val="插入文本样式-插入单位职责文件"/>
      </w:pPr>
      <w:r>
        <w:t xml:space="preserve">（5）编制辖区区域性城市发展规划、国土利用规划，经批准后组织实施。</w:t>
      </w:r>
    </w:p>
    <w:p>
      <w:pPr>
        <w:pStyle w:val="插入文本样式-插入单位职责文件"/>
      </w:pPr>
      <w:r>
        <w:t xml:space="preserve">（6）审核辖区固定资产投资项目。</w:t>
      </w:r>
    </w:p>
    <w:p>
      <w:pPr>
        <w:pStyle w:val="插入文本样式-插入单位职责文件"/>
      </w:pPr>
      <w:r>
        <w:t xml:space="preserve">（7）负责辖区基础设施、公用设施的建设与管理。</w:t>
      </w:r>
    </w:p>
    <w:p>
      <w:pPr>
        <w:pStyle w:val="插入文本样式-插入单位职责文件"/>
      </w:pPr>
      <w:r>
        <w:t xml:space="preserve">（8）负责招商引资和国内外经济技术合作工作，配合有关部门做好进出口贸易工作。</w:t>
      </w:r>
    </w:p>
    <w:p>
      <w:pPr>
        <w:pStyle w:val="插入文本样式-插入单位职责文件"/>
      </w:pPr>
      <w:r>
        <w:t xml:space="preserve">（9）负责区内环境保护和安全生产监督管理工作。</w:t>
      </w:r>
    </w:p>
    <w:p>
      <w:pPr>
        <w:pStyle w:val="插入文本样式-插入单位职责文件"/>
      </w:pPr>
      <w:r>
        <w:t xml:space="preserve">（10）负责开发区规划范围内的产业和基础设施建设项目、招商引资项目审批工作。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河北新乐经济开发区管理委员会本级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14977.24万元，其中：一般公共预算收入1349.29万元，基金预算收入5754.49万元，国有资本经营预算收入0.00万元，财政专户核拨收入0.00万元，单位资金收入0.00万元，上年结转结余7873.46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河北新乐经济开发区管理委员会本级年度单位预算中支出预算的总体情况。2026年支出预算14977.24万元，其中基本支出1328.18万元，包括人员经费1273.60万元和日常公用经费54.58万元；项目支出13649.06万元，主要为2022年第二批新增债券河北新乐经济开发区公共卫生应急产业园基础设施建设项目（结转25年）4754.49万元，河北新乐经济开发区供热管网二期项目4800万元，河北新乐经济开发区高端制造孵化中心配套保障性租赁住房项目2200万元等13个项目；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14977.24万元，较2025年预算增加5984.74万元，其中：基本支出增加121.05万元，主要为工资及各项社会保险调整基数，人员经费有所增加。项目支出增加5863.69万元，主要为专项债券资金结转金额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2026年，我单位机关运行经费共计安排54.58万元，主要用于日常维修、办公用房水电费、办公用房取暖费、办公用房物业管理费等日常运行支出。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2.33万元，其中因公出国（境）费0.00万元；公务用车购置及运维费2.33万元（其中：公务用车购置费为0.00万元，公务用车运维费2.33万元)；公务接待费0.00万元。与2025年相比减少30.07万元，增减变化的主要原因是压减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1、2022年第二批新增债券河北新乐经济开发区公共卫生应急产业园基础设施建设项目（结转25年）绩效目标表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13018426P005239101777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2022年第二批新增债券河北新乐经济开发区公共卫生应急产业园基础设施建设项目（结转25年）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4754.49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4754.49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完善基础设施建设，提高城市建设水平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2377.24</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4754.49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1.完善基础设施建设，提高城市建设水平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给水管网</w:t>
            </w:r>
          </w:p>
        </w:tc>
        <w:tc>
          <w:tcPr>
            <w:tcW w:w="2268" w:type="dxa"/>
            <w:vAlign w:val="center"/>
          </w:tcPr>
          <w:p>
            <w:pPr>
              <w:pStyle w:val="单元格样式2"/>
            </w:pPr>
            <w:r>
              <w:t xml:space="preserve">11条</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建设工程验收情况</w:t>
            </w:r>
          </w:p>
        </w:tc>
        <w:tc>
          <w:tcPr>
            <w:tcW w:w="2268" w:type="dxa"/>
            <w:vAlign w:val="center"/>
          </w:tcPr>
          <w:p>
            <w:pPr>
              <w:pStyle w:val="单元格样式2"/>
            </w:pPr>
            <w:r>
              <w:t xml:space="preserve">合格</w:t>
            </w:r>
          </w:p>
        </w:tc>
        <w:tc>
          <w:tcPr>
            <w:tcW w:w="1276" w:type="dxa"/>
            <w:vAlign w:val="center"/>
          </w:tcPr>
          <w:p>
            <w:pPr>
              <w:pStyle w:val="单元格样式2"/>
            </w:pPr>
            <w:r>
              <w:t xml:space="preserve">建筑工程质量验收统一标准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工程按时完成</w:t>
            </w:r>
          </w:p>
        </w:tc>
        <w:tc>
          <w:tcPr>
            <w:tcW w:w="2268" w:type="dxa"/>
            <w:vAlign w:val="center"/>
          </w:tcPr>
          <w:p>
            <w:pPr>
              <w:pStyle w:val="单元格样式2"/>
            </w:pPr>
            <w:r>
              <w:t xml:space="preserve">2023年12月</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成本控制情况</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广告收入</w:t>
            </w:r>
          </w:p>
        </w:tc>
        <w:tc>
          <w:tcPr>
            <w:tcW w:w="2268" w:type="dxa"/>
            <w:vAlign w:val="center"/>
          </w:tcPr>
          <w:p>
            <w:pPr>
              <w:pStyle w:val="单元格样式2"/>
            </w:pPr>
            <w:r>
              <w:t xml:space="preserve">800万元每年</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是否增加区域内就业情况</w:t>
            </w:r>
          </w:p>
        </w:tc>
        <w:tc>
          <w:tcPr>
            <w:tcW w:w="2268" w:type="dxa"/>
            <w:vAlign w:val="center"/>
          </w:tcPr>
          <w:p>
            <w:pPr>
              <w:pStyle w:val="单元格样式2"/>
            </w:pPr>
            <w:r>
              <w:t xml:space="preserve">是</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社会群众满意度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2、2026年本级支出-后勤保障人员经费绩效目标表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13018426P00529410008D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2026年本级支出-后勤保障人员经费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为保障单位工作正常运转，需申请后勤保障人员经费。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5.28</w:t>
            </w:r>
          </w:p>
        </w:tc>
        <w:tc>
          <w:tcPr>
            <w:tcW w:w="2835" w:type="dxa"/>
            <w:vAlign w:val="center"/>
          </w:tcPr>
          <w:p>
            <w:pPr>
              <w:pStyle w:val="单元格样式3"/>
            </w:pPr>
            <w:r>
              <w:t xml:space="preserve">10.56</w:t>
            </w:r>
          </w:p>
        </w:tc>
        <w:tc>
          <w:tcPr>
            <w:tcW w:w="2551" w:type="dxa"/>
            <w:vAlign w:val="center"/>
          </w:tcPr>
          <w:p>
            <w:pPr>
              <w:pStyle w:val="单元格样式3"/>
            </w:pPr>
            <w:r>
              <w:t xml:space="preserve">15.84</w:t>
            </w:r>
          </w:p>
        </w:tc>
        <w:tc>
          <w:tcPr>
            <w:tcW w:w="3544" w:type="dxa"/>
            <w:gridSpan w:val="2"/>
            <w:vAlign w:val="center"/>
          </w:tcPr>
          <w:p>
            <w:pPr>
              <w:pStyle w:val="单元格样式3"/>
            </w:pPr>
            <w:r>
              <w:t xml:space="preserve">21.11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1.为保障单位工作正常运转，需申请后勤保障人员经费。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人员数量</w:t>
            </w:r>
          </w:p>
        </w:tc>
        <w:tc>
          <w:tcPr>
            <w:tcW w:w="5386" w:type="dxa"/>
            <w:vAlign w:val="center"/>
          </w:tcPr>
          <w:p>
            <w:pPr>
              <w:pStyle w:val="单元格样式2"/>
            </w:pPr>
            <w:r>
              <w:t xml:space="preserve">保障人员数量</w:t>
            </w:r>
          </w:p>
        </w:tc>
        <w:tc>
          <w:tcPr>
            <w:tcW w:w="2268" w:type="dxa"/>
            <w:vAlign w:val="center"/>
          </w:tcPr>
          <w:p>
            <w:pPr>
              <w:pStyle w:val="单元格样式2"/>
            </w:pPr>
            <w:r>
              <w:t xml:space="preserve">4人</w:t>
            </w:r>
          </w:p>
        </w:tc>
        <w:tc>
          <w:tcPr>
            <w:tcW w:w="1276" w:type="dxa"/>
            <w:vAlign w:val="center"/>
          </w:tcPr>
          <w:p>
            <w:pPr>
              <w:pStyle w:val="单元格样式2"/>
            </w:pPr>
            <w:r>
              <w:t xml:space="preserve">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保障工作按质量完成</w:t>
            </w:r>
          </w:p>
        </w:tc>
        <w:tc>
          <w:tcPr>
            <w:tcW w:w="2268" w:type="dxa"/>
            <w:vAlign w:val="center"/>
          </w:tcPr>
          <w:p>
            <w:pPr>
              <w:pStyle w:val="单元格样式2"/>
            </w:pPr>
            <w:r>
              <w:t xml:space="preserve">符合工作质量要求</w:t>
            </w:r>
          </w:p>
        </w:tc>
        <w:tc>
          <w:tcPr>
            <w:tcW w:w="1276" w:type="dxa"/>
            <w:vAlign w:val="center"/>
          </w:tcPr>
          <w:p>
            <w:pPr>
              <w:pStyle w:val="单元格样式2"/>
            </w:pPr>
            <w:r>
              <w:t xml:space="preserve">规范标准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保障经费资金按时支出情况</w:t>
            </w:r>
          </w:p>
        </w:tc>
        <w:tc>
          <w:tcPr>
            <w:tcW w:w="2268" w:type="dxa"/>
            <w:vAlign w:val="center"/>
          </w:tcPr>
          <w:p>
            <w:pPr>
              <w:pStyle w:val="单元格样式2"/>
            </w:pPr>
            <w:r>
              <w:t xml:space="preserve">按要求及时支付</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实际资金支付情况</w:t>
            </w:r>
          </w:p>
        </w:tc>
        <w:tc>
          <w:tcPr>
            <w:tcW w:w="2268" w:type="dxa"/>
            <w:vAlign w:val="center"/>
          </w:tcPr>
          <w:p>
            <w:pPr>
              <w:pStyle w:val="单元格样式2"/>
            </w:pPr>
            <w:r>
              <w:t xml:space="preserve">≤211133元</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持续发挥作用期限</w:t>
            </w:r>
          </w:p>
        </w:tc>
        <w:tc>
          <w:tcPr>
            <w:tcW w:w="5386" w:type="dxa"/>
            <w:vAlign w:val="center"/>
          </w:tcPr>
          <w:p>
            <w:pPr>
              <w:pStyle w:val="单元格样式2"/>
            </w:pPr>
            <w:r>
              <w:t xml:space="preserve">对单位的保障工作持续发挥作用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满意</w:t>
            </w:r>
          </w:p>
        </w:tc>
        <w:tc>
          <w:tcPr>
            <w:tcW w:w="1276" w:type="dxa"/>
            <w:vAlign w:val="center"/>
          </w:tcPr>
          <w:p>
            <w:pPr>
              <w:pStyle w:val="单元格样式2"/>
            </w:pPr>
            <w:r>
              <w:t xml:space="preserve">测算标准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3、2026年本级支出-征占地补偿5105万元绩效目标表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2026年本级支出-征占地补偿5105万元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按照占地补偿协议及评估报告，按标准准时足额补偿款。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5105.00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1.按照占地补偿协议及评估报告，按标准准时足额补偿到位，避免发生纠纷，让被占地农户满意。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土地补偿款发放数额</w:t>
            </w:r>
          </w:p>
        </w:tc>
        <w:tc>
          <w:tcPr>
            <w:tcW w:w="5386" w:type="dxa"/>
            <w:vAlign w:val="center"/>
          </w:tcPr>
          <w:p>
            <w:pPr>
              <w:pStyle w:val="单元格样式2"/>
            </w:pPr>
            <w:r>
              <w:t xml:space="preserve">应付的土地补偿款是否全额支付</w:t>
            </w:r>
          </w:p>
        </w:tc>
        <w:tc>
          <w:tcPr>
            <w:tcW w:w="2268" w:type="dxa"/>
            <w:vAlign w:val="center"/>
          </w:tcPr>
          <w:p>
            <w:pPr>
              <w:pStyle w:val="单元格样式2"/>
            </w:pPr>
            <w:r>
              <w:t xml:space="preserve">全额支付</w:t>
            </w:r>
          </w:p>
        </w:tc>
        <w:tc>
          <w:tcPr>
            <w:tcW w:w="1276" w:type="dxa"/>
            <w:vAlign w:val="center"/>
          </w:tcPr>
          <w:p>
            <w:pPr>
              <w:pStyle w:val="单元格样式2"/>
            </w:pPr>
            <w:r>
              <w:t xml:space="preserve">占地补偿协议及评估报告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是否按照占地协议及评估报告支付土地补偿款</w:t>
            </w:r>
          </w:p>
        </w:tc>
        <w:tc>
          <w:tcPr>
            <w:tcW w:w="5386" w:type="dxa"/>
            <w:vAlign w:val="center"/>
          </w:tcPr>
          <w:p>
            <w:pPr>
              <w:pStyle w:val="单元格样式2"/>
            </w:pPr>
            <w:r>
              <w:t xml:space="preserve">签订占地协议的，按照占地协议支付；有评估报告的按照评估报告予以支付</w:t>
            </w:r>
          </w:p>
        </w:tc>
        <w:tc>
          <w:tcPr>
            <w:tcW w:w="2268" w:type="dxa"/>
            <w:vAlign w:val="center"/>
          </w:tcPr>
          <w:p>
            <w:pPr>
              <w:pStyle w:val="单元格样式2"/>
            </w:pPr>
            <w:r>
              <w:t xml:space="preserve">是</w:t>
            </w:r>
          </w:p>
        </w:tc>
        <w:tc>
          <w:tcPr>
            <w:tcW w:w="1276" w:type="dxa"/>
            <w:vAlign w:val="center"/>
          </w:tcPr>
          <w:p>
            <w:pPr>
              <w:pStyle w:val="单元格样式2"/>
            </w:pPr>
            <w:r>
              <w:t xml:space="preserve">占地补偿协议及评估报告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土地补偿款发放时间</w:t>
            </w:r>
          </w:p>
        </w:tc>
        <w:tc>
          <w:tcPr>
            <w:tcW w:w="5386" w:type="dxa"/>
            <w:vAlign w:val="center"/>
          </w:tcPr>
          <w:p>
            <w:pPr>
              <w:pStyle w:val="单元格样式2"/>
            </w:pPr>
            <w:r>
              <w:t xml:space="preserve">土地补偿款是否准时发放到被占地农户手中</w:t>
            </w:r>
          </w:p>
        </w:tc>
        <w:tc>
          <w:tcPr>
            <w:tcW w:w="2268" w:type="dxa"/>
            <w:vAlign w:val="center"/>
          </w:tcPr>
          <w:p>
            <w:pPr>
              <w:pStyle w:val="单元格样式2"/>
            </w:pPr>
            <w:r>
              <w:t xml:space="preserve">准时发放到农户手中</w:t>
            </w:r>
          </w:p>
        </w:tc>
        <w:tc>
          <w:tcPr>
            <w:tcW w:w="1276" w:type="dxa"/>
            <w:vAlign w:val="center"/>
          </w:tcPr>
          <w:p>
            <w:pPr>
              <w:pStyle w:val="单元格样式2"/>
            </w:pPr>
            <w:r>
              <w:t xml:space="preserve">准时发放补偿</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土地补偿款发放额度</w:t>
            </w:r>
          </w:p>
        </w:tc>
        <w:tc>
          <w:tcPr>
            <w:tcW w:w="5386" w:type="dxa"/>
            <w:vAlign w:val="center"/>
          </w:tcPr>
          <w:p>
            <w:pPr>
              <w:pStyle w:val="单元格样式2"/>
            </w:pPr>
            <w:r>
              <w:t xml:space="preserve">是否足额给付土地补偿款</w:t>
            </w:r>
          </w:p>
        </w:tc>
        <w:tc>
          <w:tcPr>
            <w:tcW w:w="2268" w:type="dxa"/>
            <w:vAlign w:val="center"/>
          </w:tcPr>
          <w:p>
            <w:pPr>
              <w:pStyle w:val="单元格样式2"/>
            </w:pPr>
            <w:r>
              <w:t xml:space="preserve">≤5105万元</w:t>
            </w:r>
          </w:p>
        </w:tc>
        <w:tc>
          <w:tcPr>
            <w:tcW w:w="1276" w:type="dxa"/>
            <w:vAlign w:val="center"/>
          </w:tcPr>
          <w:p>
            <w:pPr>
              <w:pStyle w:val="单元格样式2"/>
            </w:pPr>
            <w:r>
              <w:t xml:space="preserve">占地补偿协议及评估报告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被占地农户基本经济收益</w:t>
            </w:r>
          </w:p>
        </w:tc>
        <w:tc>
          <w:tcPr>
            <w:tcW w:w="5386" w:type="dxa"/>
            <w:vAlign w:val="center"/>
          </w:tcPr>
          <w:p>
            <w:pPr>
              <w:pStyle w:val="单元格样式2"/>
            </w:pPr>
            <w:r>
              <w:t xml:space="preserve">被占地农户是否收到补偿款</w:t>
            </w:r>
          </w:p>
        </w:tc>
        <w:tc>
          <w:tcPr>
            <w:tcW w:w="2268" w:type="dxa"/>
            <w:vAlign w:val="center"/>
          </w:tcPr>
          <w:p>
            <w:pPr>
              <w:pStyle w:val="单元格样式2"/>
            </w:pPr>
            <w:r>
              <w:t xml:space="preserve">尽快拨付</w:t>
            </w:r>
          </w:p>
        </w:tc>
        <w:tc>
          <w:tcPr>
            <w:tcW w:w="1276" w:type="dxa"/>
            <w:vAlign w:val="center"/>
          </w:tcPr>
          <w:p>
            <w:pPr>
              <w:pStyle w:val="单元格样式2"/>
            </w:pPr>
            <w:r>
              <w:t xml:space="preserve">足额发放补偿</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发放土地补偿款，保障被占地农户合法效益</w:t>
            </w:r>
          </w:p>
        </w:tc>
        <w:tc>
          <w:tcPr>
            <w:tcW w:w="5386" w:type="dxa"/>
            <w:vAlign w:val="center"/>
          </w:tcPr>
          <w:p>
            <w:pPr>
              <w:pStyle w:val="单元格样式2"/>
            </w:pPr>
            <w:r>
              <w:t xml:space="preserve">被占地农户是否收到补偿款</w:t>
            </w:r>
          </w:p>
        </w:tc>
        <w:tc>
          <w:tcPr>
            <w:tcW w:w="2268" w:type="dxa"/>
            <w:vAlign w:val="center"/>
          </w:tcPr>
          <w:p>
            <w:pPr>
              <w:pStyle w:val="单元格样式2"/>
            </w:pPr>
            <w:r>
              <w:t xml:space="preserve">是</w:t>
            </w:r>
          </w:p>
        </w:tc>
        <w:tc>
          <w:tcPr>
            <w:tcW w:w="1276" w:type="dxa"/>
            <w:vAlign w:val="center"/>
          </w:tcPr>
          <w:p>
            <w:pPr>
              <w:pStyle w:val="单元格样式2"/>
            </w:pPr>
            <w:r>
              <w:t xml:space="preserve">足额发放补偿</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被占地农户满意</w:t>
            </w:r>
          </w:p>
        </w:tc>
        <w:tc>
          <w:tcPr>
            <w:tcW w:w="5386" w:type="dxa"/>
            <w:vAlign w:val="center"/>
          </w:tcPr>
          <w:p>
            <w:pPr>
              <w:pStyle w:val="单元格样式2"/>
            </w:pPr>
            <w:r>
              <w:t xml:space="preserve">被占地农户是否满意</w:t>
            </w:r>
          </w:p>
        </w:tc>
        <w:tc>
          <w:tcPr>
            <w:tcW w:w="2268" w:type="dxa"/>
            <w:vAlign w:val="center"/>
          </w:tcPr>
          <w:p>
            <w:pPr>
              <w:pStyle w:val="单元格样式2"/>
            </w:pPr>
            <w:r>
              <w:t xml:space="preserve">满意</w:t>
            </w:r>
          </w:p>
        </w:tc>
        <w:tc>
          <w:tcPr>
            <w:tcW w:w="1276" w:type="dxa"/>
            <w:vAlign w:val="center"/>
          </w:tcPr>
          <w:p>
            <w:pPr>
              <w:pStyle w:val="单元格样式2"/>
            </w:pPr>
            <w:r>
              <w:t xml:space="preserve">足额准时发放补偿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4、长安路、发展路(机场路-空港大街)、空港大街基础设施项目工程绩效目标表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13018418SYU9W1MSBXOL2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长安路、发展路(机场路-空港大街)、空港大街基础设施项目工程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用于支付发展路（机场路-空港大街）、空港大街基础设施项目建设资金，进一步完善开发区路网，提升道路排水能力，改善园区环境和形象，促进开发区经济发展。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31.80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1.顺利完成发展路（机场路-空港大街）、空港大街基础设施项目建设，进一步完善开发区路网，提升道路排水能力，改善园区环境和形象，促进开发区经济发展。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涉及基础设施工程数量</w:t>
            </w:r>
          </w:p>
        </w:tc>
        <w:tc>
          <w:tcPr>
            <w:tcW w:w="2268" w:type="dxa"/>
            <w:vAlign w:val="center"/>
          </w:tcPr>
          <w:p>
            <w:pPr>
              <w:pStyle w:val="单元格样式2"/>
            </w:pPr>
            <w:r>
              <w:t xml:space="preserve">2个</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项目完成进度</w:t>
            </w:r>
          </w:p>
        </w:tc>
        <w:tc>
          <w:tcPr>
            <w:tcW w:w="5386" w:type="dxa"/>
            <w:vAlign w:val="center"/>
          </w:tcPr>
          <w:p>
            <w:pPr>
              <w:pStyle w:val="单元格样式2"/>
            </w:pPr>
            <w:r>
              <w:t xml:space="preserve">是否全部完工</w:t>
            </w:r>
          </w:p>
        </w:tc>
        <w:tc>
          <w:tcPr>
            <w:tcW w:w="2268" w:type="dxa"/>
            <w:vAlign w:val="center"/>
          </w:tcPr>
          <w:p>
            <w:pPr>
              <w:pStyle w:val="单元格样式2"/>
            </w:pPr>
            <w:r>
              <w:t xml:space="preserve">是</w:t>
            </w:r>
          </w:p>
        </w:tc>
        <w:tc>
          <w:tcPr>
            <w:tcW w:w="1276" w:type="dxa"/>
            <w:vAlign w:val="center"/>
          </w:tcPr>
          <w:p>
            <w:pPr>
              <w:pStyle w:val="单元格样式2"/>
            </w:pPr>
            <w:r>
              <w:t xml:space="preserve">竣工验收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企业使用情况</w:t>
            </w:r>
          </w:p>
        </w:tc>
        <w:tc>
          <w:tcPr>
            <w:tcW w:w="5386" w:type="dxa"/>
            <w:vAlign w:val="center"/>
          </w:tcPr>
          <w:p>
            <w:pPr>
              <w:pStyle w:val="单元格样式2"/>
            </w:pPr>
            <w:r>
              <w:t xml:space="preserve">是否满足企业使用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得到广大群众、企业的充分认可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群众、企业满意度</w:t>
            </w:r>
          </w:p>
        </w:tc>
        <w:tc>
          <w:tcPr>
            <w:tcW w:w="5386" w:type="dxa"/>
            <w:vAlign w:val="center"/>
          </w:tcPr>
          <w:p>
            <w:pPr>
              <w:pStyle w:val="单元格样式2"/>
            </w:pPr>
            <w:r>
              <w:t xml:space="preserve">群众、企业对基础设施建设服务满意度调查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5、长青路（机场路-空港大街）工程绩效目标表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13018418TILVB13Q4SAMW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长青路（机场路-空港大街）工程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用于支付长青路（机场路-空港大街）工程建设资金，进一步完善开发区路网，改善交通状况，提升园区环境和形象，促进开发区经济发展。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59.98</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1.顺利完成长青路（机场路-空港大街）工程建设，进一步完善开发区路网，改善交通状况，提升园区环境和形象，促进开发区经济发展。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涉及基础设施工程数量</w:t>
            </w:r>
          </w:p>
        </w:tc>
        <w:tc>
          <w:tcPr>
            <w:tcW w:w="2268" w:type="dxa"/>
            <w:vAlign w:val="center"/>
          </w:tcPr>
          <w:p>
            <w:pPr>
              <w:pStyle w:val="单元格样式2"/>
            </w:pPr>
            <w:r>
              <w:t xml:space="preserve">1个</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项目完成进度</w:t>
            </w:r>
          </w:p>
        </w:tc>
        <w:tc>
          <w:tcPr>
            <w:tcW w:w="5386" w:type="dxa"/>
            <w:vAlign w:val="center"/>
          </w:tcPr>
          <w:p>
            <w:pPr>
              <w:pStyle w:val="单元格样式2"/>
            </w:pPr>
            <w:r>
              <w:t xml:space="preserve">是否全部完工</w:t>
            </w:r>
          </w:p>
        </w:tc>
        <w:tc>
          <w:tcPr>
            <w:tcW w:w="2268" w:type="dxa"/>
            <w:vAlign w:val="center"/>
          </w:tcPr>
          <w:p>
            <w:pPr>
              <w:pStyle w:val="单元格样式2"/>
            </w:pPr>
            <w:r>
              <w:t xml:space="preserve">是</w:t>
            </w:r>
          </w:p>
        </w:tc>
        <w:tc>
          <w:tcPr>
            <w:tcW w:w="1276" w:type="dxa"/>
            <w:vAlign w:val="center"/>
          </w:tcPr>
          <w:p>
            <w:pPr>
              <w:pStyle w:val="单元格样式2"/>
            </w:pPr>
            <w:r>
              <w:t xml:space="preserve">竣工验收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企业使用情况</w:t>
            </w:r>
          </w:p>
        </w:tc>
        <w:tc>
          <w:tcPr>
            <w:tcW w:w="5386" w:type="dxa"/>
            <w:vAlign w:val="center"/>
          </w:tcPr>
          <w:p>
            <w:pPr>
              <w:pStyle w:val="单元格样式2"/>
            </w:pPr>
            <w:r>
              <w:t xml:space="preserve">是否满足企业使用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得到广大群众、企业的充分认可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群众、企业满意度</w:t>
            </w:r>
          </w:p>
        </w:tc>
        <w:tc>
          <w:tcPr>
            <w:tcW w:w="5386" w:type="dxa"/>
            <w:vAlign w:val="center"/>
          </w:tcPr>
          <w:p>
            <w:pPr>
              <w:pStyle w:val="单元格样式2"/>
            </w:pPr>
            <w:r>
              <w:t xml:space="preserve">群众、企业对基础设施建设服务满意度调查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6、河北新乐经济开发区高端制造孵化中心配套保障性租赁住房项目绩效目标表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13018422D000000069933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河北新乐经济开发区高端制造孵化中心配套保障性租赁住房项目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用于支付河北新乐经济开发区高端制造孵化中心配套保障性租赁住房项目资金。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2200.00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1.建成河北新乐经济开发区高端制造孵化中心配套保障性租赁住房项目，提高新乐市人居环境，提高城市品位，进一步促进新乐市经济的发展。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保障性租赁住房</w:t>
            </w:r>
          </w:p>
        </w:tc>
        <w:tc>
          <w:tcPr>
            <w:tcW w:w="5386" w:type="dxa"/>
            <w:vAlign w:val="center"/>
          </w:tcPr>
          <w:p>
            <w:pPr>
              <w:pStyle w:val="单元格样式2"/>
            </w:pPr>
            <w:r>
              <w:t xml:space="preserve">是否按合同约定支付相关资金</w:t>
            </w:r>
          </w:p>
        </w:tc>
        <w:tc>
          <w:tcPr>
            <w:tcW w:w="2268" w:type="dxa"/>
            <w:vAlign w:val="center"/>
          </w:tcPr>
          <w:p>
            <w:pPr>
              <w:pStyle w:val="单元格样式2"/>
            </w:pPr>
            <w:r>
              <w:t xml:space="preserve">1栋</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是否按合同约定进度金额支付相关资金</w:t>
            </w:r>
          </w:p>
        </w:tc>
        <w:tc>
          <w:tcPr>
            <w:tcW w:w="2268" w:type="dxa"/>
            <w:vAlign w:val="center"/>
          </w:tcPr>
          <w:p>
            <w:pPr>
              <w:pStyle w:val="单元格样式2"/>
            </w:pPr>
            <w:r>
              <w:t xml:space="preserve">是</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是否再合同约定时间内完成</w:t>
            </w:r>
          </w:p>
        </w:tc>
        <w:tc>
          <w:tcPr>
            <w:tcW w:w="2268" w:type="dxa"/>
            <w:vAlign w:val="center"/>
          </w:tcPr>
          <w:p>
            <w:pPr>
              <w:pStyle w:val="单元格样式2"/>
            </w:pPr>
            <w:r>
              <w:t xml:space="preserve">是</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建设成本</w:t>
            </w:r>
          </w:p>
        </w:tc>
        <w:tc>
          <w:tcPr>
            <w:tcW w:w="5386" w:type="dxa"/>
            <w:vAlign w:val="center"/>
          </w:tcPr>
          <w:p>
            <w:pPr>
              <w:pStyle w:val="单元格样式2"/>
            </w:pPr>
            <w:r>
              <w:t xml:space="preserve">是否控制在合同约定金额内</w:t>
            </w:r>
          </w:p>
        </w:tc>
        <w:tc>
          <w:tcPr>
            <w:tcW w:w="2268" w:type="dxa"/>
            <w:vAlign w:val="center"/>
          </w:tcPr>
          <w:p>
            <w:pPr>
              <w:pStyle w:val="单元格样式2"/>
            </w:pPr>
            <w:r>
              <w:t xml:space="preserve">≤2200万元</w:t>
            </w:r>
          </w:p>
        </w:tc>
        <w:tc>
          <w:tcPr>
            <w:tcW w:w="1276" w:type="dxa"/>
            <w:vAlign w:val="center"/>
          </w:tcPr>
          <w:p>
            <w:pPr>
              <w:pStyle w:val="单元格样式2"/>
            </w:pPr>
            <w:r>
              <w:t xml:space="preserve">工程竣工决算报告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拉动经济增长</w:t>
            </w:r>
          </w:p>
        </w:tc>
        <w:tc>
          <w:tcPr>
            <w:tcW w:w="5386" w:type="dxa"/>
            <w:vAlign w:val="center"/>
          </w:tcPr>
          <w:p>
            <w:pPr>
              <w:pStyle w:val="单元格样式2"/>
            </w:pPr>
            <w:r>
              <w:t xml:space="preserve">是否对社会经济发展的影响</w:t>
            </w:r>
          </w:p>
        </w:tc>
        <w:tc>
          <w:tcPr>
            <w:tcW w:w="2268" w:type="dxa"/>
            <w:vAlign w:val="center"/>
          </w:tcPr>
          <w:p>
            <w:pPr>
              <w:pStyle w:val="单元格样式2"/>
            </w:pPr>
            <w:r>
              <w:t xml:space="preserve">是</w:t>
            </w:r>
          </w:p>
        </w:tc>
        <w:tc>
          <w:tcPr>
            <w:tcW w:w="1276" w:type="dxa"/>
            <w:vAlign w:val="center"/>
          </w:tcPr>
          <w:p>
            <w:pPr>
              <w:pStyle w:val="单元格样式2"/>
            </w:pPr>
            <w:r>
              <w:t xml:space="preserve">项目组验收意见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建成保障性租赁住房，补齐公共服务配套功能设施短板</w:t>
            </w:r>
          </w:p>
        </w:tc>
        <w:tc>
          <w:tcPr>
            <w:tcW w:w="5386" w:type="dxa"/>
            <w:vAlign w:val="center"/>
          </w:tcPr>
          <w:p>
            <w:pPr>
              <w:pStyle w:val="单元格样式2"/>
            </w:pPr>
            <w:r>
              <w:t xml:space="preserve">是否提高公共服务功能</w:t>
            </w:r>
          </w:p>
        </w:tc>
        <w:tc>
          <w:tcPr>
            <w:tcW w:w="2268" w:type="dxa"/>
            <w:vAlign w:val="center"/>
          </w:tcPr>
          <w:p>
            <w:pPr>
              <w:pStyle w:val="单元格样式2"/>
            </w:pPr>
            <w:r>
              <w:t xml:space="preserve">是</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受益对象满意度</w:t>
            </w:r>
          </w:p>
        </w:tc>
        <w:tc>
          <w:tcPr>
            <w:tcW w:w="5386" w:type="dxa"/>
            <w:vAlign w:val="center"/>
          </w:tcPr>
          <w:p>
            <w:pPr>
              <w:pStyle w:val="单元格样式2"/>
            </w:pPr>
            <w:r>
              <w:t xml:space="preserve">是否对居住环境及配套功能满意</w:t>
            </w:r>
          </w:p>
        </w:tc>
        <w:tc>
          <w:tcPr>
            <w:tcW w:w="2268" w:type="dxa"/>
            <w:vAlign w:val="center"/>
          </w:tcPr>
          <w:p>
            <w:pPr>
              <w:pStyle w:val="单元格样式2"/>
            </w:pPr>
            <w:r>
              <w:t xml:space="preserve">≥98%</w:t>
            </w:r>
          </w:p>
        </w:tc>
        <w:tc>
          <w:tcPr>
            <w:tcW w:w="1276" w:type="dxa"/>
            <w:vAlign w:val="center"/>
          </w:tcPr>
          <w:p>
            <w:pPr>
              <w:pStyle w:val="单元格样式2"/>
            </w:pPr>
            <w:r>
              <w:t xml:space="preserve">社会调查统计报告</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7、河北新乐经济开发区供热管网二期项目绩效目标表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13018423XMVAR9QQLLG6U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河北新乐经济开发区供热管网二期项目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用于支付供热管网二期项目建设资金，促进新乐经济开发区生态环境改善，人民健康水平提高，促进工业生产，改善投资环境。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2400.00</w:t>
            </w:r>
          </w:p>
        </w:tc>
        <w:tc>
          <w:tcPr>
            <w:tcW w:w="2551" w:type="dxa"/>
            <w:vAlign w:val="center"/>
          </w:tcPr>
          <w:p>
            <w:pPr>
              <w:pStyle w:val="单元格样式3"/>
            </w:pPr>
            <w:r>
              <w:t xml:space="preserve">4800.00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1.完成供热管网二期项目的建设，促进新乐经济开发区生态环境改善，人民健康水平提高，促进工业生产，改善投资环境。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可研报告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是否按时完工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合同约定和实际情况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可研报告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社会影响情况</w:t>
            </w:r>
          </w:p>
        </w:tc>
        <w:tc>
          <w:tcPr>
            <w:tcW w:w="5386" w:type="dxa"/>
            <w:vAlign w:val="center"/>
          </w:tcPr>
          <w:p>
            <w:pPr>
              <w:pStyle w:val="单元格样式2"/>
            </w:pPr>
            <w:r>
              <w:t xml:space="preserve">是否促进开发区生态环境改善，促进工业生产，改善投资环境</w:t>
            </w:r>
          </w:p>
        </w:tc>
        <w:tc>
          <w:tcPr>
            <w:tcW w:w="2268" w:type="dxa"/>
            <w:vAlign w:val="center"/>
          </w:tcPr>
          <w:p>
            <w:pPr>
              <w:pStyle w:val="单元格样式2"/>
            </w:pPr>
            <w:r>
              <w:t xml:space="preserve">是</w:t>
            </w:r>
          </w:p>
        </w:tc>
        <w:tc>
          <w:tcPr>
            <w:tcW w:w="1276" w:type="dxa"/>
            <w:vAlign w:val="center"/>
          </w:tcPr>
          <w:p>
            <w:pPr>
              <w:pStyle w:val="单元格样式2"/>
            </w:pPr>
            <w:r>
              <w:t xml:space="preserve">根据项目实际情况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持续使用情况</w:t>
            </w:r>
          </w:p>
        </w:tc>
        <w:tc>
          <w:tcPr>
            <w:tcW w:w="5386" w:type="dxa"/>
            <w:vAlign w:val="center"/>
          </w:tcPr>
          <w:p>
            <w:pPr>
              <w:pStyle w:val="单元格样式2"/>
            </w:pPr>
            <w:r>
              <w:t xml:space="preserve">完成后是否持续使用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根据项目实际情况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8、河北新乐开发区道路建设项目绩效目标表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1301841661P4LP3G7847C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河北新乐开发区道路建设项目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用于支付长青路（空港大街-经四街）道路建设资金，进一步完善开发区路网，改善交通状况，提升园区形象。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70.00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1.按照市政府工作安排，完成长青路（空港大街-经四街）道路的建设，进一步完善开发区路网，改善交通状况，提升园区形象。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是否按时完工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合同约定和实际情况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社会影响情况</w:t>
            </w:r>
          </w:p>
        </w:tc>
        <w:tc>
          <w:tcPr>
            <w:tcW w:w="5386" w:type="dxa"/>
            <w:vAlign w:val="center"/>
          </w:tcPr>
          <w:p>
            <w:pPr>
              <w:pStyle w:val="单元格样式2"/>
            </w:pPr>
            <w:r>
              <w:t xml:space="preserve">是否得到广大群众、企业的认可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持续使用情况</w:t>
            </w:r>
          </w:p>
        </w:tc>
        <w:tc>
          <w:tcPr>
            <w:tcW w:w="5386" w:type="dxa"/>
            <w:vAlign w:val="center"/>
          </w:tcPr>
          <w:p>
            <w:pPr>
              <w:pStyle w:val="单元格样式2"/>
            </w:pPr>
            <w:r>
              <w:t xml:space="preserve">建成后是否持续使用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9、河北新乐开发区建新街南延建设项目绩效目标表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130184191WEWI4GOVMBNE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河北新乐开发区建新街南延建设项目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262.97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262.97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用于支付建新街南延建设项目资金，拓宽路网结构，为周边企业居民出行提供便利，进一步完善开发区基础设施建设。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132.00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262.97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1.用于拓宽路网结构，为周边企业居民出行提供便利，进一步完善开发区基础设施建设。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是否对周边居民及企业提供便利</w:t>
            </w:r>
          </w:p>
        </w:tc>
        <w:tc>
          <w:tcPr>
            <w:tcW w:w="2268" w:type="dxa"/>
            <w:vAlign w:val="center"/>
          </w:tcPr>
          <w:p>
            <w:pPr>
              <w:pStyle w:val="单元格样式2"/>
            </w:pPr>
            <w:r>
              <w:t xml:space="preserve">是</w:t>
            </w:r>
          </w:p>
        </w:tc>
        <w:tc>
          <w:tcPr>
            <w:tcW w:w="1276" w:type="dxa"/>
            <w:vAlign w:val="center"/>
          </w:tcPr>
          <w:p>
            <w:pPr>
              <w:pStyle w:val="单元格样式2"/>
            </w:pPr>
            <w:r>
              <w:t xml:space="preserve">实地调查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影响年限</w:t>
            </w:r>
          </w:p>
        </w:tc>
        <w:tc>
          <w:tcPr>
            <w:tcW w:w="2268" w:type="dxa"/>
            <w:vAlign w:val="center"/>
          </w:tcPr>
          <w:p>
            <w:pPr>
              <w:pStyle w:val="单元格样式2"/>
            </w:pPr>
            <w:r>
              <w:t xml:space="preserve">≥10年</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周边企业居民满意度</w:t>
            </w:r>
          </w:p>
        </w:tc>
        <w:tc>
          <w:tcPr>
            <w:tcW w:w="2268" w:type="dxa"/>
            <w:vAlign w:val="center"/>
          </w:tcPr>
          <w:p>
            <w:pPr>
              <w:pStyle w:val="单元格样式2"/>
            </w:pPr>
            <w:r>
              <w:t xml:space="preserve">≥95%</w:t>
            </w:r>
          </w:p>
        </w:tc>
        <w:tc>
          <w:tcPr>
            <w:tcW w:w="1276" w:type="dxa"/>
            <w:vAlign w:val="center"/>
          </w:tcPr>
          <w:p>
            <w:pPr>
              <w:pStyle w:val="单元格样式2"/>
            </w:pPr>
            <w:r>
              <w:t xml:space="preserve">实地调查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10、新乐110kV鲜虞站10千伏孵化园线路土建工程绩效目标表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13018423KZHWW1AP6PVGY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新乐110kV鲜虞站10千伏孵化园线路土建工程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用于支付新乐110kV鲜虞站10千伏孵化园线路土建工程款。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29.53</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1.顺利完成新乐110kV鲜虞站10千伏孵化园线路土建工程，保障高端装备制造孵化园用电需求。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实际成本金额</w:t>
            </w:r>
          </w:p>
        </w:tc>
        <w:tc>
          <w:tcPr>
            <w:tcW w:w="2268" w:type="dxa"/>
            <w:vAlign w:val="center"/>
          </w:tcPr>
          <w:p>
            <w:pPr>
              <w:pStyle w:val="单元格样式2"/>
            </w:pPr>
            <w:r>
              <w:t xml:space="preserve">≤200万元</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保障孵化园用电需求</w:t>
            </w:r>
          </w:p>
        </w:tc>
        <w:tc>
          <w:tcPr>
            <w:tcW w:w="5386" w:type="dxa"/>
            <w:vAlign w:val="center"/>
          </w:tcPr>
          <w:p>
            <w:pPr>
              <w:pStyle w:val="单元格样式2"/>
            </w:pPr>
            <w:r>
              <w:t xml:space="preserve">是否保障孵化园用电需求</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w:t>
            </w:r>
          </w:p>
        </w:tc>
        <w:tc>
          <w:tcPr>
            <w:tcW w:w="5386" w:type="dxa"/>
            <w:vAlign w:val="center"/>
          </w:tcPr>
          <w:p>
            <w:pPr>
              <w:pStyle w:val="单元格样式2"/>
            </w:pPr>
            <w:r>
              <w:t xml:space="preserve">是否可持续使用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项目方满意度</w:t>
            </w:r>
          </w:p>
        </w:tc>
        <w:tc>
          <w:tcPr>
            <w:tcW w:w="5386" w:type="dxa"/>
            <w:vAlign w:val="center"/>
          </w:tcPr>
          <w:p>
            <w:pPr>
              <w:pStyle w:val="单元格样式2"/>
            </w:pPr>
            <w:r>
              <w:t xml:space="preserve">落地项目方对项目建设服务满意度调查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11、新乐开发区兴业街等道路雨污分流改造工程绩效目标表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130184226AH8WCU9NI3SX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新乐开发区兴业街等道路雨污分流改造工程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用于兴业街等道路雨污分流改造工作资金支出，保障白洋淀上游流域生态环境治理和保护。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1.顺利完成兴业街等道路雨污分流改造工作，保障白洋淀上游流域生态环境治理和保护。</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开发区企业道路排水情况</w:t>
            </w:r>
          </w:p>
        </w:tc>
        <w:tc>
          <w:tcPr>
            <w:tcW w:w="5386" w:type="dxa"/>
            <w:vAlign w:val="center"/>
          </w:tcPr>
          <w:p>
            <w:pPr>
              <w:pStyle w:val="单元格样式2"/>
            </w:pPr>
            <w:r>
              <w:t xml:space="preserve">完成雨污分流后保证开发区企业、道路排水需求率</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长期使用情况</w:t>
            </w:r>
          </w:p>
        </w:tc>
        <w:tc>
          <w:tcPr>
            <w:tcW w:w="5386" w:type="dxa"/>
            <w:vAlign w:val="center"/>
          </w:tcPr>
          <w:p>
            <w:pPr>
              <w:pStyle w:val="单元格样式2"/>
            </w:pPr>
            <w:r>
              <w:t xml:space="preserve">是否正常长期使用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企业对开发区排水管网满意度调查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12、兴华街雨水提升泵站及管网工程绩效目标表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130184197IO6QDBCSCVW6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兴华街雨水提升泵站及管网工程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用于支付兴华街雨水提升泵站及管网工程建设资金，提升开发区兴华街雨水管网的排水能力。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34.60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1.按照市政府工作安排和领导批示，完成兴华街雨水提升泵站及管网工程的建设，提升开发区兴华街雨水管网的排水能力。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是否按时完工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合同约定和实际情况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社会影响情况</w:t>
            </w:r>
          </w:p>
        </w:tc>
        <w:tc>
          <w:tcPr>
            <w:tcW w:w="5386" w:type="dxa"/>
            <w:vAlign w:val="center"/>
          </w:tcPr>
          <w:p>
            <w:pPr>
              <w:pStyle w:val="单元格样式2"/>
            </w:pPr>
            <w:r>
              <w:t xml:space="preserve">是否得到广大群众、企业的认可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持续使用情况</w:t>
            </w:r>
          </w:p>
        </w:tc>
        <w:tc>
          <w:tcPr>
            <w:tcW w:w="5386" w:type="dxa"/>
            <w:vAlign w:val="center"/>
          </w:tcPr>
          <w:p>
            <w:pPr>
              <w:pStyle w:val="单元格样式2"/>
            </w:pPr>
            <w:r>
              <w:t xml:space="preserve">建成后是否持续使用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13、招商服务中心和政务服务中心建设工程绩效目标表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1301842336VYM674BGIA3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招商服务中心和政务服务中心建设工程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用于招商服务中心和政务服务中心建设工程资金支付，保障招商引资，促进项目落地。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141.58</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1.按照市政府工作安排，实施了招商服务中心和政务服务中心建设工程，保障招商引资，促进项目落地，服务项目建设。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实际成本金额</w:t>
            </w:r>
          </w:p>
        </w:tc>
        <w:tc>
          <w:tcPr>
            <w:tcW w:w="2268" w:type="dxa"/>
            <w:vAlign w:val="center"/>
          </w:tcPr>
          <w:p>
            <w:pPr>
              <w:pStyle w:val="单元格样式2"/>
            </w:pPr>
            <w:r>
              <w:t xml:space="preserve">≤700万元</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使用保障率</w:t>
            </w:r>
          </w:p>
        </w:tc>
        <w:tc>
          <w:tcPr>
            <w:tcW w:w="5386" w:type="dxa"/>
            <w:vAlign w:val="center"/>
          </w:tcPr>
          <w:p>
            <w:pPr>
              <w:pStyle w:val="单元格样式2"/>
            </w:pPr>
            <w:r>
              <w:t xml:space="preserve">招商服务中心和政务服务中心是否满足使用率</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建成后持续利用、使用情况</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河北新乐经济开发区管理委员会本级上年末固定资产金额为677.35万元（详见下表）。本年度拟购置固定资产总额为0.00万元，已按要求列入政府采购预算，详见政府采购预算表。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976001河北新乐经济开发区管理委员会本级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677.35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1151.87</w:t>
            </w:r>
          </w:p>
        </w:tc>
        <w:tc>
          <w:tcPr>
            <w:tcW w:w="2835" w:type="dxa"/>
            <w:vAlign w:val="center"/>
          </w:tcPr>
          <w:p>
            <w:pPr>
              <w:pStyle w:val="单元格样式4"/>
            </w:pPr>
            <w:r>
              <w:t xml:space="preserve">316.50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2.10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97.93</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260.82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2026-03-05T16:27:35Z</dcterms:created>
  <dcterms:modified xsi:type="dcterms:W3CDTF">2026-03-05T16:27:35Z</dcterms:modified>
</cp:coreProperties>
</file>