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36</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37</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1349.29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1097.80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5754.49</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89.77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37.66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1873.46</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124.06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7103.78</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14977.24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7873.46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14977.24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14977.24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14977.24</w:t>
            </w:r>
          </w:p>
        </w:tc>
        <w:tc>
          <w:tcPr>
            <w:tcW w:w="1134" w:type="dxa"/>
            <w:vAlign w:val="center"/>
          </w:tcPr>
          <w:p>
            <w:pPr>
              <w:pStyle w:val="单元格样式7"/>
            </w:pPr>
            <w:r>
              <w:t xml:space="preserve">7103.78</w:t>
            </w:r>
          </w:p>
        </w:tc>
        <w:tc>
          <w:tcPr>
            <w:tcW w:w="1134" w:type="dxa"/>
            <w:vAlign w:val="center"/>
          </w:tcPr>
          <w:p>
            <w:pPr>
              <w:pStyle w:val="单元格样式7"/>
            </w:pPr>
            <w:r>
              <w:t xml:space="preserve">7103.78</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7873.46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r>
              <w:t xml:space="preserve">1097.80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89.77</w:t>
            </w:r>
          </w:p>
        </w:tc>
        <w:tc>
          <w:tcPr>
            <w:tcW w:w="1134" w:type="dxa"/>
            <w:vAlign w:val="center"/>
          </w:tcPr>
          <w:p>
            <w:pPr>
              <w:pStyle w:val="单元格样式4"/>
            </w:pPr>
            <w:r>
              <w:t xml:space="preserve">89.77</w:t>
            </w:r>
          </w:p>
        </w:tc>
        <w:tc>
          <w:tcPr>
            <w:tcW w:w="1134" w:type="dxa"/>
            <w:vAlign w:val="center"/>
          </w:tcPr>
          <w:p>
            <w:pPr>
              <w:pStyle w:val="单元格样式4"/>
            </w:pPr>
            <w:r>
              <w:t xml:space="preserve">89.77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83.68</w:t>
            </w:r>
          </w:p>
        </w:tc>
        <w:tc>
          <w:tcPr>
            <w:tcW w:w="1134" w:type="dxa"/>
            <w:vAlign w:val="center"/>
          </w:tcPr>
          <w:p>
            <w:pPr>
              <w:pStyle w:val="单元格样式4"/>
            </w:pPr>
            <w:r>
              <w:t xml:space="preserve">83.68</w:t>
            </w:r>
          </w:p>
        </w:tc>
        <w:tc>
          <w:tcPr>
            <w:tcW w:w="1134" w:type="dxa"/>
            <w:vAlign w:val="center"/>
          </w:tcPr>
          <w:p>
            <w:pPr>
              <w:pStyle w:val="单元格样式4"/>
            </w:pPr>
            <w:r>
              <w:t xml:space="preserve">83.68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r>
              <w:t xml:space="preserve">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80.97</w:t>
            </w:r>
          </w:p>
        </w:tc>
        <w:tc>
          <w:tcPr>
            <w:tcW w:w="1134" w:type="dxa"/>
            <w:vAlign w:val="center"/>
          </w:tcPr>
          <w:p>
            <w:pPr>
              <w:pStyle w:val="单元格样式4"/>
            </w:pPr>
            <w:r>
              <w:t xml:space="preserve">80.97</w:t>
            </w:r>
          </w:p>
        </w:tc>
        <w:tc>
          <w:tcPr>
            <w:tcW w:w="1134" w:type="dxa"/>
            <w:vAlign w:val="center"/>
          </w:tcPr>
          <w:p>
            <w:pPr>
              <w:pStyle w:val="单元格样式4"/>
            </w:pPr>
            <w:r>
              <w:t xml:space="preserve">80.97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r>
              <w:t xml:space="preserve">6.09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r>
              <w:t xml:space="preserve">37.66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1873.46</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21203</w:t>
            </w:r>
          </w:p>
        </w:tc>
        <w:tc>
          <w:tcPr>
            <w:tcW w:w="1559" w:type="dxa"/>
            <w:vAlign w:val="center"/>
          </w:tcPr>
          <w:p>
            <w:pPr>
              <w:pStyle w:val="单元格样式2"/>
            </w:pPr>
            <w:r>
              <w:t xml:space="preserve">城乡社区公共设施</w:t>
            </w:r>
          </w:p>
        </w:tc>
        <w:tc>
          <w:tcPr>
            <w:tcW w:w="1134" w:type="dxa"/>
            <w:vAlign w:val="center"/>
          </w:tcPr>
          <w:p>
            <w:pPr>
              <w:pStyle w:val="单元格样式4"/>
            </w:pPr>
            <w:r>
              <w:t xml:space="preserve">873.46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2120399</w:t>
            </w:r>
          </w:p>
        </w:tc>
        <w:tc>
          <w:tcPr>
            <w:tcW w:w="1559" w:type="dxa"/>
            <w:vAlign w:val="center"/>
          </w:tcPr>
          <w:p>
            <w:pPr>
              <w:pStyle w:val="单元格样式2"/>
            </w:pPr>
            <w:r>
              <w:t xml:space="preserve">其他城乡社区公共设施支出</w:t>
            </w:r>
          </w:p>
        </w:tc>
        <w:tc>
          <w:tcPr>
            <w:tcW w:w="1134" w:type="dxa"/>
            <w:vAlign w:val="center"/>
          </w:tcPr>
          <w:p>
            <w:pPr>
              <w:pStyle w:val="单元格样式4"/>
            </w:pPr>
            <w:r>
              <w:t xml:space="preserve">873.46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873.46</w:t>
            </w: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2120803</w:t>
            </w:r>
          </w:p>
        </w:tc>
        <w:tc>
          <w:tcPr>
            <w:tcW w:w="1559" w:type="dxa"/>
            <w:vAlign w:val="center"/>
          </w:tcPr>
          <w:p>
            <w:pPr>
              <w:pStyle w:val="单元格样式2"/>
            </w:pPr>
            <w:r>
              <w:t xml:space="preserve">城市建设支出</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r>
              <w:t xml:space="preserve">1000.00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r>
              <w:t xml:space="preserve">124.06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11754.49</w:t>
            </w:r>
          </w:p>
        </w:tc>
        <w:tc>
          <w:tcPr>
            <w:tcW w:w="1134" w:type="dxa"/>
            <w:vAlign w:val="center"/>
          </w:tcPr>
          <w:p>
            <w:pPr>
              <w:pStyle w:val="单元格样式4"/>
            </w:pPr>
            <w:r>
              <w:t xml:space="preserve">4754.49</w:t>
            </w:r>
          </w:p>
        </w:tc>
        <w:tc>
          <w:tcPr>
            <w:tcW w:w="1134" w:type="dxa"/>
            <w:vAlign w:val="center"/>
          </w:tcPr>
          <w:p>
            <w:pPr>
              <w:pStyle w:val="单元格样式4"/>
            </w:pPr>
            <w:r>
              <w:t xml:space="preserve">4754.49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7000.00</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14977.24</w:t>
            </w:r>
          </w:p>
        </w:tc>
        <w:tc>
          <w:tcPr>
            <w:tcW w:w="1361" w:type="dxa"/>
            <w:vAlign w:val="center"/>
          </w:tcPr>
          <w:p>
            <w:pPr>
              <w:pStyle w:val="单元格样式7"/>
            </w:pPr>
            <w:r>
              <w:t xml:space="preserve">1328.18</w:t>
            </w:r>
          </w:p>
        </w:tc>
        <w:tc>
          <w:tcPr>
            <w:tcW w:w="1361" w:type="dxa"/>
            <w:vAlign w:val="center"/>
          </w:tcPr>
          <w:p>
            <w:pPr>
              <w:pStyle w:val="单元格样式7"/>
            </w:pPr>
            <w:r>
              <w:t xml:space="preserve">13649.06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1097.80</w:t>
            </w:r>
          </w:p>
        </w:tc>
        <w:tc>
          <w:tcPr>
            <w:tcW w:w="1361" w:type="dxa"/>
            <w:vAlign w:val="center"/>
          </w:tcPr>
          <w:p>
            <w:pPr>
              <w:pStyle w:val="单元格样式4"/>
            </w:pPr>
            <w:r>
              <w:t xml:space="preserve">1076.69</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89.77</w:t>
            </w:r>
          </w:p>
        </w:tc>
        <w:tc>
          <w:tcPr>
            <w:tcW w:w="1361" w:type="dxa"/>
            <w:vAlign w:val="center"/>
          </w:tcPr>
          <w:p>
            <w:pPr>
              <w:pStyle w:val="单元格样式4"/>
            </w:pPr>
            <w:r>
              <w:t xml:space="preserve">89.77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83.68</w:t>
            </w:r>
          </w:p>
        </w:tc>
        <w:tc>
          <w:tcPr>
            <w:tcW w:w="1361" w:type="dxa"/>
            <w:vAlign w:val="center"/>
          </w:tcPr>
          <w:p>
            <w:pPr>
              <w:pStyle w:val="单元格样式4"/>
            </w:pPr>
            <w:r>
              <w:t xml:space="preserve">83.68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2.71</w:t>
            </w:r>
          </w:p>
        </w:tc>
        <w:tc>
          <w:tcPr>
            <w:tcW w:w="1361" w:type="dxa"/>
            <w:vAlign w:val="center"/>
          </w:tcPr>
          <w:p>
            <w:pPr>
              <w:pStyle w:val="单元格样式4"/>
            </w:pPr>
            <w:r>
              <w:t xml:space="preserve">2.71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80.97</w:t>
            </w:r>
          </w:p>
        </w:tc>
        <w:tc>
          <w:tcPr>
            <w:tcW w:w="1361" w:type="dxa"/>
            <w:vAlign w:val="center"/>
          </w:tcPr>
          <w:p>
            <w:pPr>
              <w:pStyle w:val="单元格样式4"/>
            </w:pPr>
            <w:r>
              <w:t xml:space="preserve">80.97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6.09</w:t>
            </w:r>
          </w:p>
        </w:tc>
        <w:tc>
          <w:tcPr>
            <w:tcW w:w="1361" w:type="dxa"/>
            <w:vAlign w:val="center"/>
          </w:tcPr>
          <w:p>
            <w:pPr>
              <w:pStyle w:val="单元格样式4"/>
            </w:pPr>
            <w:r>
              <w:t xml:space="preserve">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6.09</w:t>
            </w:r>
          </w:p>
        </w:tc>
        <w:tc>
          <w:tcPr>
            <w:tcW w:w="1361" w:type="dxa"/>
            <w:vAlign w:val="center"/>
          </w:tcPr>
          <w:p>
            <w:pPr>
              <w:pStyle w:val="单元格样式4"/>
            </w:pPr>
            <w:r>
              <w:t xml:space="preserve">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37.66</w:t>
            </w:r>
          </w:p>
        </w:tc>
        <w:tc>
          <w:tcPr>
            <w:tcW w:w="1361" w:type="dxa"/>
            <w:vAlign w:val="center"/>
          </w:tcPr>
          <w:p>
            <w:pPr>
              <w:pStyle w:val="单元格样式4"/>
            </w:pPr>
            <w:r>
              <w:t xml:space="preserve">37.66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1873.46</w:t>
            </w:r>
          </w:p>
        </w:tc>
        <w:tc>
          <w:tcPr>
            <w:tcW w:w="1361" w:type="dxa"/>
            <w:vAlign w:val="center"/>
          </w:tcPr>
          <w:p>
            <w:pPr>
              <w:pStyle w:val="单元格样式4"/>
            </w:pPr>
          </w:p>
        </w:tc>
        <w:tc>
          <w:tcPr>
            <w:tcW w:w="1361" w:type="dxa"/>
            <w:vAlign w:val="center"/>
          </w:tcPr>
          <w:p>
            <w:pPr>
              <w:pStyle w:val="单元格样式4"/>
            </w:pPr>
            <w:r>
              <w:t xml:space="preserve">1873.46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r>
              <w:t xml:space="preserve">873.46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r>
              <w:t xml:space="preserve">1000.00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124.06</w:t>
            </w:r>
          </w:p>
        </w:tc>
        <w:tc>
          <w:tcPr>
            <w:tcW w:w="1361" w:type="dxa"/>
            <w:vAlign w:val="center"/>
          </w:tcPr>
          <w:p>
            <w:pPr>
              <w:pStyle w:val="单元格样式4"/>
            </w:pPr>
            <w:r>
              <w:t xml:space="preserve">124.06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r>
              <w:t xml:space="preserve">11754.49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1349.29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1097.80</w:t>
            </w:r>
          </w:p>
        </w:tc>
        <w:tc>
          <w:tcPr>
            <w:tcW w:w="1474" w:type="dxa"/>
            <w:vAlign w:val="center"/>
          </w:tcPr>
          <w:p>
            <w:pPr>
              <w:pStyle w:val="单元格样式4"/>
            </w:pPr>
            <w:r>
              <w:t xml:space="preserve">1097.80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5754.49</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89.77</w:t>
            </w:r>
          </w:p>
        </w:tc>
        <w:tc>
          <w:tcPr>
            <w:tcW w:w="1474" w:type="dxa"/>
            <w:vAlign w:val="center"/>
          </w:tcPr>
          <w:p>
            <w:pPr>
              <w:pStyle w:val="单元格样式4"/>
            </w:pPr>
            <w:r>
              <w:t xml:space="preserve">89.77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37.66</w:t>
            </w:r>
          </w:p>
        </w:tc>
        <w:tc>
          <w:tcPr>
            <w:tcW w:w="1474" w:type="dxa"/>
            <w:vAlign w:val="center"/>
          </w:tcPr>
          <w:p>
            <w:pPr>
              <w:pStyle w:val="单元格样式4"/>
            </w:pPr>
            <w:r>
              <w:t xml:space="preserve">37.66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1873.46</w:t>
            </w:r>
          </w:p>
        </w:tc>
        <w:tc>
          <w:tcPr>
            <w:tcW w:w="1474" w:type="dxa"/>
            <w:vAlign w:val="center"/>
          </w:tcPr>
          <w:p>
            <w:pPr>
              <w:pStyle w:val="单元格样式4"/>
            </w:pPr>
            <w:r>
              <w:t xml:space="preserve">873.46</w:t>
            </w:r>
          </w:p>
        </w:tc>
        <w:tc>
          <w:tcPr>
            <w:tcW w:w="1474" w:type="dxa"/>
            <w:vAlign w:val="center"/>
          </w:tcPr>
          <w:p>
            <w:pPr>
              <w:pStyle w:val="单元格样式4"/>
            </w:pPr>
            <w:r>
              <w:t xml:space="preserve">1000.00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124.06</w:t>
            </w:r>
          </w:p>
        </w:tc>
        <w:tc>
          <w:tcPr>
            <w:tcW w:w="1474" w:type="dxa"/>
            <w:vAlign w:val="center"/>
          </w:tcPr>
          <w:p>
            <w:pPr>
              <w:pStyle w:val="单元格样式4"/>
            </w:pPr>
            <w:r>
              <w:t xml:space="preserve">124.06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11754.49</w:t>
            </w:r>
          </w:p>
        </w:tc>
        <w:tc>
          <w:tcPr>
            <w:tcW w:w="1474" w:type="dxa"/>
            <w:vAlign w:val="center"/>
          </w:tcPr>
          <w:p>
            <w:pPr>
              <w:pStyle w:val="单元格样式4"/>
            </w:pPr>
          </w:p>
        </w:tc>
        <w:tc>
          <w:tcPr>
            <w:tcW w:w="1474" w:type="dxa"/>
            <w:vAlign w:val="center"/>
          </w:tcPr>
          <w:p>
            <w:pPr>
              <w:pStyle w:val="单元格样式4"/>
            </w:pPr>
            <w:r>
              <w:t xml:space="preserve">11754.49</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7103.78</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14977.24</w:t>
            </w:r>
          </w:p>
        </w:tc>
        <w:tc>
          <w:tcPr>
            <w:tcW w:w="1474" w:type="dxa"/>
            <w:vAlign w:val="center"/>
          </w:tcPr>
          <w:p>
            <w:pPr>
              <w:pStyle w:val="单元格样式7"/>
            </w:pPr>
            <w:r>
              <w:t xml:space="preserve">2222.75</w:t>
            </w:r>
          </w:p>
        </w:tc>
        <w:tc>
          <w:tcPr>
            <w:tcW w:w="1474" w:type="dxa"/>
            <w:vAlign w:val="center"/>
          </w:tcPr>
          <w:p>
            <w:pPr>
              <w:pStyle w:val="单元格样式7"/>
            </w:pPr>
            <w:r>
              <w:t xml:space="preserve">12754.49</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7873.46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873.46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7000.00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14977.24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14977.24</w:t>
            </w:r>
          </w:p>
        </w:tc>
        <w:tc>
          <w:tcPr>
            <w:tcW w:w="1474" w:type="dxa"/>
            <w:vAlign w:val="center"/>
          </w:tcPr>
          <w:p>
            <w:pPr>
              <w:pStyle w:val="单元格样式7"/>
            </w:pPr>
            <w:r>
              <w:t xml:space="preserve">2222.75</w:t>
            </w:r>
          </w:p>
        </w:tc>
        <w:tc>
          <w:tcPr>
            <w:tcW w:w="1474" w:type="dxa"/>
            <w:vAlign w:val="center"/>
          </w:tcPr>
          <w:p>
            <w:pPr>
              <w:pStyle w:val="单元格样式7"/>
            </w:pPr>
            <w:r>
              <w:t xml:space="preserve">12754.49</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2222.75</w:t>
            </w:r>
          </w:p>
        </w:tc>
        <w:tc>
          <w:tcPr>
            <w:tcW w:w="2551" w:type="dxa"/>
            <w:vAlign w:val="center"/>
          </w:tcPr>
          <w:p>
            <w:pPr>
              <w:pStyle w:val="单元格样式7"/>
            </w:pPr>
            <w:r>
              <w:t xml:space="preserve">1328.18</w:t>
            </w:r>
          </w:p>
        </w:tc>
        <w:tc>
          <w:tcPr>
            <w:tcW w:w="2551" w:type="dxa"/>
            <w:vAlign w:val="center"/>
          </w:tcPr>
          <w:p>
            <w:pPr>
              <w:pStyle w:val="单元格样式7"/>
            </w:pPr>
            <w:r>
              <w:t xml:space="preserve">894.57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1097.80</w:t>
            </w:r>
          </w:p>
        </w:tc>
        <w:tc>
          <w:tcPr>
            <w:tcW w:w="2551" w:type="dxa"/>
            <w:vAlign w:val="center"/>
          </w:tcPr>
          <w:p>
            <w:pPr>
              <w:pStyle w:val="单元格样式4"/>
            </w:pPr>
            <w:r>
              <w:t xml:space="preserve">1076.69</w:t>
            </w:r>
          </w:p>
        </w:tc>
        <w:tc>
          <w:tcPr>
            <w:tcW w:w="2551" w:type="dxa"/>
            <w:vAlign w:val="center"/>
          </w:tcPr>
          <w:p>
            <w:pPr>
              <w:pStyle w:val="单元格样式4"/>
            </w:pPr>
            <w:r>
              <w:t xml:space="preserve">21.11</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89.77</w:t>
            </w:r>
          </w:p>
        </w:tc>
        <w:tc>
          <w:tcPr>
            <w:tcW w:w="2551" w:type="dxa"/>
            <w:vAlign w:val="center"/>
          </w:tcPr>
          <w:p>
            <w:pPr>
              <w:pStyle w:val="单元格样式4"/>
            </w:pPr>
            <w:r>
              <w:t xml:space="preserve">89.77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83.68</w:t>
            </w:r>
          </w:p>
        </w:tc>
        <w:tc>
          <w:tcPr>
            <w:tcW w:w="2551" w:type="dxa"/>
            <w:vAlign w:val="center"/>
          </w:tcPr>
          <w:p>
            <w:pPr>
              <w:pStyle w:val="单元格样式4"/>
            </w:pPr>
            <w:r>
              <w:t xml:space="preserve">83.68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80.97</w:t>
            </w:r>
          </w:p>
        </w:tc>
        <w:tc>
          <w:tcPr>
            <w:tcW w:w="2551" w:type="dxa"/>
            <w:vAlign w:val="center"/>
          </w:tcPr>
          <w:p>
            <w:pPr>
              <w:pStyle w:val="单元格样式4"/>
            </w:pPr>
            <w:r>
              <w:t xml:space="preserve">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21203</w:t>
            </w:r>
          </w:p>
        </w:tc>
        <w:tc>
          <w:tcPr>
            <w:tcW w:w="4535" w:type="dxa"/>
            <w:vAlign w:val="center"/>
          </w:tcPr>
          <w:p>
            <w:pPr>
              <w:pStyle w:val="单元格样式2"/>
            </w:pPr>
            <w:r>
              <w:t xml:space="preserve">城乡社区公共设施</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2120399</w:t>
            </w:r>
          </w:p>
        </w:tc>
        <w:tc>
          <w:tcPr>
            <w:tcW w:w="4535" w:type="dxa"/>
            <w:vAlign w:val="center"/>
          </w:tcPr>
          <w:p>
            <w:pPr>
              <w:pStyle w:val="单元格样式2"/>
            </w:pPr>
            <w:r>
              <w:t xml:space="preserve">其他城乡社区公共设施支出</w:t>
            </w:r>
          </w:p>
        </w:tc>
        <w:tc>
          <w:tcPr>
            <w:tcW w:w="2551" w:type="dxa"/>
            <w:vAlign w:val="center"/>
          </w:tcPr>
          <w:p>
            <w:pPr>
              <w:pStyle w:val="单元格样式4"/>
            </w:pPr>
            <w:r>
              <w:t xml:space="preserve">873.46</w:t>
            </w:r>
          </w:p>
        </w:tc>
        <w:tc>
          <w:tcPr>
            <w:tcW w:w="2551" w:type="dxa"/>
            <w:vAlign w:val="center"/>
          </w:tcPr>
          <w:p>
            <w:pPr>
              <w:pStyle w:val="单元格样式4"/>
            </w:pPr>
          </w:p>
        </w:tc>
        <w:tc>
          <w:tcPr>
            <w:tcW w:w="2551" w:type="dxa"/>
            <w:vAlign w:val="center"/>
          </w:tcPr>
          <w:p>
            <w:pPr>
              <w:pStyle w:val="单元格样式4"/>
            </w:pPr>
            <w:r>
              <w:t xml:space="preserve">873.46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1328.18</w:t>
            </w:r>
          </w:p>
        </w:tc>
        <w:tc>
          <w:tcPr>
            <w:tcW w:w="2551" w:type="dxa"/>
            <w:vAlign w:val="center"/>
          </w:tcPr>
          <w:p>
            <w:pPr>
              <w:pStyle w:val="单元格样式7"/>
            </w:pPr>
            <w:r>
              <w:t xml:space="preserve">1273.60</w:t>
            </w:r>
          </w:p>
        </w:tc>
        <w:tc>
          <w:tcPr>
            <w:tcW w:w="2551" w:type="dxa"/>
            <w:vAlign w:val="center"/>
          </w:tcPr>
          <w:p>
            <w:pPr>
              <w:pStyle w:val="单元格样式7"/>
            </w:pPr>
            <w:r>
              <w:t xml:space="preserve">54.58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1270.89</w:t>
            </w:r>
          </w:p>
        </w:tc>
        <w:tc>
          <w:tcPr>
            <w:tcW w:w="2551" w:type="dxa"/>
            <w:vAlign w:val="center"/>
          </w:tcPr>
          <w:p>
            <w:pPr>
              <w:pStyle w:val="单元格样式4"/>
            </w:pPr>
            <w:r>
              <w:t xml:space="preserve">1270.89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847.80</w:t>
            </w:r>
          </w:p>
        </w:tc>
        <w:tc>
          <w:tcPr>
            <w:tcW w:w="2551" w:type="dxa"/>
            <w:vAlign w:val="center"/>
          </w:tcPr>
          <w:p>
            <w:pPr>
              <w:pStyle w:val="单元格样式4"/>
            </w:pPr>
            <w:r>
              <w:t xml:space="preserve">847.80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43.76</w:t>
            </w:r>
          </w:p>
        </w:tc>
        <w:tc>
          <w:tcPr>
            <w:tcW w:w="2551" w:type="dxa"/>
            <w:vAlign w:val="center"/>
          </w:tcPr>
          <w:p>
            <w:pPr>
              <w:pStyle w:val="单元格样式4"/>
            </w:pPr>
            <w:r>
              <w:t xml:space="preserve">43.76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130.55</w:t>
            </w:r>
          </w:p>
        </w:tc>
        <w:tc>
          <w:tcPr>
            <w:tcW w:w="2551" w:type="dxa"/>
            <w:vAlign w:val="center"/>
          </w:tcPr>
          <w:p>
            <w:pPr>
              <w:pStyle w:val="单元格样式4"/>
            </w:pPr>
            <w:r>
              <w:t xml:space="preserve">130.55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80.97</w:t>
            </w:r>
          </w:p>
        </w:tc>
        <w:tc>
          <w:tcPr>
            <w:tcW w:w="2551" w:type="dxa"/>
            <w:vAlign w:val="center"/>
          </w:tcPr>
          <w:p>
            <w:pPr>
              <w:pStyle w:val="单元格样式4"/>
            </w:pPr>
            <w:r>
              <w:t xml:space="preserve">80.97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37.66</w:t>
            </w:r>
          </w:p>
        </w:tc>
        <w:tc>
          <w:tcPr>
            <w:tcW w:w="2551" w:type="dxa"/>
            <w:vAlign w:val="center"/>
          </w:tcPr>
          <w:p>
            <w:pPr>
              <w:pStyle w:val="单元格样式4"/>
            </w:pPr>
            <w:r>
              <w:t xml:space="preserve">37.66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6.09</w:t>
            </w:r>
          </w:p>
        </w:tc>
        <w:tc>
          <w:tcPr>
            <w:tcW w:w="2551" w:type="dxa"/>
            <w:vAlign w:val="center"/>
          </w:tcPr>
          <w:p>
            <w:pPr>
              <w:pStyle w:val="单元格样式4"/>
            </w:pPr>
            <w:r>
              <w:t xml:space="preserve">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124.06</w:t>
            </w:r>
          </w:p>
        </w:tc>
        <w:tc>
          <w:tcPr>
            <w:tcW w:w="2551" w:type="dxa"/>
            <w:vAlign w:val="center"/>
          </w:tcPr>
          <w:p>
            <w:pPr>
              <w:pStyle w:val="单元格样式4"/>
            </w:pPr>
            <w:r>
              <w:t xml:space="preserve">124.06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54.58</w:t>
            </w:r>
          </w:p>
        </w:tc>
        <w:tc>
          <w:tcPr>
            <w:tcW w:w="2551" w:type="dxa"/>
            <w:vAlign w:val="center"/>
          </w:tcPr>
          <w:p>
            <w:pPr>
              <w:pStyle w:val="单元格样式4"/>
            </w:pPr>
          </w:p>
        </w:tc>
        <w:tc>
          <w:tcPr>
            <w:tcW w:w="2551" w:type="dxa"/>
            <w:vAlign w:val="center"/>
          </w:tcPr>
          <w:p>
            <w:pPr>
              <w:pStyle w:val="单元格样式4"/>
            </w:pPr>
            <w:r>
              <w:t xml:space="preserve">54.58</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4.85</w:t>
            </w:r>
          </w:p>
        </w:tc>
        <w:tc>
          <w:tcPr>
            <w:tcW w:w="2551" w:type="dxa"/>
            <w:vAlign w:val="center"/>
          </w:tcPr>
          <w:p>
            <w:pPr>
              <w:pStyle w:val="单元格样式4"/>
            </w:pPr>
          </w:p>
        </w:tc>
        <w:tc>
          <w:tcPr>
            <w:tcW w:w="2551" w:type="dxa"/>
            <w:vAlign w:val="center"/>
          </w:tcPr>
          <w:p>
            <w:pPr>
              <w:pStyle w:val="单元格样式4"/>
            </w:pPr>
            <w:r>
              <w:t xml:space="preserve">4.85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9.54</w:t>
            </w:r>
          </w:p>
        </w:tc>
        <w:tc>
          <w:tcPr>
            <w:tcW w:w="2551" w:type="dxa"/>
            <w:vAlign w:val="center"/>
          </w:tcPr>
          <w:p>
            <w:pPr>
              <w:pStyle w:val="单元格样式4"/>
            </w:pPr>
          </w:p>
        </w:tc>
        <w:tc>
          <w:tcPr>
            <w:tcW w:w="2551" w:type="dxa"/>
            <w:vAlign w:val="center"/>
          </w:tcPr>
          <w:p>
            <w:pPr>
              <w:pStyle w:val="单元格样式4"/>
            </w:pPr>
            <w:r>
              <w:t xml:space="preserve">9.54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5.77</w:t>
            </w:r>
          </w:p>
        </w:tc>
        <w:tc>
          <w:tcPr>
            <w:tcW w:w="2551" w:type="dxa"/>
            <w:vAlign w:val="center"/>
          </w:tcPr>
          <w:p>
            <w:pPr>
              <w:pStyle w:val="单元格样式4"/>
            </w:pPr>
          </w:p>
        </w:tc>
        <w:tc>
          <w:tcPr>
            <w:tcW w:w="2551" w:type="dxa"/>
            <w:vAlign w:val="center"/>
          </w:tcPr>
          <w:p>
            <w:pPr>
              <w:pStyle w:val="单元格样式4"/>
            </w:pPr>
            <w:r>
              <w:t xml:space="preserve">5.77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10.68</w:t>
            </w:r>
          </w:p>
        </w:tc>
        <w:tc>
          <w:tcPr>
            <w:tcW w:w="2551" w:type="dxa"/>
            <w:vAlign w:val="center"/>
          </w:tcPr>
          <w:p>
            <w:pPr>
              <w:pStyle w:val="单元格样式4"/>
            </w:pPr>
          </w:p>
        </w:tc>
        <w:tc>
          <w:tcPr>
            <w:tcW w:w="2551" w:type="dxa"/>
            <w:vAlign w:val="center"/>
          </w:tcPr>
          <w:p>
            <w:pPr>
              <w:pStyle w:val="单元格样式4"/>
            </w:pPr>
            <w:r>
              <w:t xml:space="preserve">10.68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19.41</w:t>
            </w:r>
          </w:p>
        </w:tc>
        <w:tc>
          <w:tcPr>
            <w:tcW w:w="2551" w:type="dxa"/>
            <w:vAlign w:val="center"/>
          </w:tcPr>
          <w:p>
            <w:pPr>
              <w:pStyle w:val="单元格样式4"/>
            </w:pPr>
          </w:p>
        </w:tc>
        <w:tc>
          <w:tcPr>
            <w:tcW w:w="2551" w:type="dxa"/>
            <w:vAlign w:val="center"/>
          </w:tcPr>
          <w:p>
            <w:pPr>
              <w:pStyle w:val="单元格样式4"/>
            </w:pPr>
            <w:r>
              <w:t xml:space="preserve">19.41</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2.71</w:t>
            </w:r>
          </w:p>
        </w:tc>
        <w:tc>
          <w:tcPr>
            <w:tcW w:w="2551" w:type="dxa"/>
            <w:vAlign w:val="center"/>
          </w:tcPr>
          <w:p>
            <w:pPr>
              <w:pStyle w:val="单元格样式4"/>
            </w:pPr>
            <w:r>
              <w:t xml:space="preserve">2.71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12754.49</w:t>
            </w:r>
          </w:p>
        </w:tc>
        <w:tc>
          <w:tcPr>
            <w:tcW w:w="2551" w:type="dxa"/>
            <w:vAlign w:val="center"/>
          </w:tcPr>
          <w:p>
            <w:pPr>
              <w:pStyle w:val="单元格样式7"/>
            </w:pPr>
          </w:p>
        </w:tc>
        <w:tc>
          <w:tcPr>
            <w:tcW w:w="2551" w:type="dxa"/>
            <w:vAlign w:val="center"/>
          </w:tcPr>
          <w:p>
            <w:pPr>
              <w:pStyle w:val="单元格样式7"/>
            </w:pPr>
            <w:r>
              <w:t xml:space="preserve">12754.49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2120803</w:t>
            </w:r>
          </w:p>
        </w:tc>
        <w:tc>
          <w:tcPr>
            <w:tcW w:w="4535" w:type="dxa"/>
            <w:vAlign w:val="center"/>
          </w:tcPr>
          <w:p>
            <w:pPr>
              <w:pStyle w:val="单元格样式2"/>
            </w:pPr>
            <w:r>
              <w:t xml:space="preserve">城市建设支出</w:t>
            </w:r>
          </w:p>
        </w:tc>
        <w:tc>
          <w:tcPr>
            <w:tcW w:w="2551" w:type="dxa"/>
            <w:vAlign w:val="center"/>
          </w:tcPr>
          <w:p>
            <w:pPr>
              <w:pStyle w:val="单元格样式4"/>
            </w:pPr>
            <w:r>
              <w:t xml:space="preserve">1000.00</w:t>
            </w:r>
          </w:p>
        </w:tc>
        <w:tc>
          <w:tcPr>
            <w:tcW w:w="2551" w:type="dxa"/>
            <w:vAlign w:val="center"/>
          </w:tcPr>
          <w:p>
            <w:pPr>
              <w:pStyle w:val="单元格样式4"/>
            </w:pPr>
          </w:p>
        </w:tc>
        <w:tc>
          <w:tcPr>
            <w:tcW w:w="2551" w:type="dxa"/>
            <w:vAlign w:val="center"/>
          </w:tcPr>
          <w:p>
            <w:pPr>
              <w:pStyle w:val="单元格样式4"/>
            </w:pPr>
            <w:r>
              <w:t xml:space="preserve">1000.00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11754.49</w:t>
            </w:r>
          </w:p>
        </w:tc>
        <w:tc>
          <w:tcPr>
            <w:tcW w:w="2551" w:type="dxa"/>
            <w:vAlign w:val="center"/>
          </w:tcPr>
          <w:p>
            <w:pPr>
              <w:pStyle w:val="单元格样式4"/>
            </w:pPr>
          </w:p>
        </w:tc>
        <w:tc>
          <w:tcPr>
            <w:tcW w:w="2551" w:type="dxa"/>
            <w:vAlign w:val="center"/>
          </w:tcPr>
          <w:p>
            <w:pPr>
              <w:pStyle w:val="单元格样式4"/>
            </w:pPr>
            <w:r>
              <w:t xml:space="preserve">11754.49</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河北新乐经济开发区管理委员会2026年部门预算信息公开情况说明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河北新乐经济开发区管理委员会2026年部门预算信息公开情况说明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按照《中华人民共和国预算法》、《地方预决算公开操作规程》和《关于进一步推进预算公开工作的实施意见》规定，现将河北新乐经济开发区管理委员会2026年部门预算公开如下：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根据《河北新乐经济开发区管理委员会职能配置、内设机构和人员编制规定》，河北新乐经济开发区管理委员会的主要职责是：</w:t>
      </w:r>
    </w:p>
    <w:p>
      <w:pPr>
        <w:pStyle w:val="插入文本样式-插入预算公开部门职责文件"/>
      </w:pPr>
      <w:r>
        <w:t xml:space="preserve">（1）负责辖区党的组织、思想、党风廉政建设和其他党务工作。</w:t>
      </w:r>
    </w:p>
    <w:p>
      <w:pPr>
        <w:pStyle w:val="插入文本样式-插入预算公开部门职责文件"/>
      </w:pPr>
      <w:r>
        <w:t xml:space="preserve">（2）负责宣传和精神文明建设工作。</w:t>
      </w:r>
    </w:p>
    <w:p>
      <w:pPr>
        <w:pStyle w:val="插入文本样式-插入预算公开部门职责文件"/>
      </w:pPr>
      <w:r>
        <w:t xml:space="preserve">（3）负责区内工会、共青团、妇联等群团工作。</w:t>
      </w:r>
    </w:p>
    <w:p>
      <w:pPr>
        <w:pStyle w:val="插入文本样式-插入预算公开部门职责文件"/>
      </w:pPr>
      <w:r>
        <w:t xml:space="preserve">（4）编制辖区的总体规划和经济发展规划，经批准后组织实施。</w:t>
      </w:r>
    </w:p>
    <w:p>
      <w:pPr>
        <w:pStyle w:val="插入文本样式-插入预算公开部门职责文件"/>
      </w:pPr>
      <w:r>
        <w:t xml:space="preserve">（5）编制辖区区域性城市发展规划、国土利用规划，经批准后组织实施。</w:t>
      </w:r>
    </w:p>
    <w:p>
      <w:pPr>
        <w:pStyle w:val="插入文本样式-插入预算公开部门职责文件"/>
      </w:pPr>
      <w:r>
        <w:t xml:space="preserve">（6）审核辖区固定资产投资项目。</w:t>
      </w:r>
    </w:p>
    <w:p>
      <w:pPr>
        <w:pStyle w:val="插入文本样式-插入预算公开部门职责文件"/>
      </w:pPr>
      <w:r>
        <w:t xml:space="preserve">（7）负责辖区基础设施、公用设施的建设与管理。</w:t>
      </w:r>
    </w:p>
    <w:p>
      <w:pPr>
        <w:pStyle w:val="插入文本样式-插入预算公开部门职责文件"/>
      </w:pPr>
      <w:r>
        <w:t xml:space="preserve">（8）负责招商引资和国内外经济技术合作工作，配合有关部门做好进出口贸易工作。</w:t>
      </w:r>
    </w:p>
    <w:p>
      <w:pPr>
        <w:pStyle w:val="插入文本样式-插入预算公开部门职责文件"/>
      </w:pPr>
      <w:r>
        <w:t xml:space="preserve">（9）负责区内环境保护和安全生产监督管理工作。</w:t>
      </w:r>
    </w:p>
    <w:p>
      <w:pPr>
        <w:pStyle w:val="插入文本样式-插入预算公开部门职责文件"/>
      </w:pPr>
      <w:r>
        <w:t xml:space="preserve">（10）负责开发区规划范围内的产业和基础设施建设项目、招商引资项目审批工作。</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河北新乐经济开发区管理委员会本级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副处（县）级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按照预算管理有关规定，目前部门预算的编制实行综合预算管理，即全部收入和支出都反映在预算中。河北新乐经济开发区管理委员会机关及所属事业单位的收支包含在部门预算中。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14977.24万元，其中：一般公共预算收入1349.29万元，基金预算收入5754.49万元，国有资本经营预算收入0.00万元，财政专户核拨收入0.00万元，单位资金收入0.00万元，上年结转结余7873.46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河北新乐经济开发区管理委员会年度部门预算中支出预算的总体情况。2026年支出预算14977.24万元，其中基本支出1328.18万元，包括人员经费1273.60万元和日常公用经费54.58万元；项目支出13649.06万元，主要为2022年第二批新增债券河北新乐经济开发区公共卫生应急产业园基础设施建设项目（结转25年）4754.49万元，河北新乐经济开发区供热管网二期项目4800万元，河北新乐经济开发区高端制造孵化中心配套保障性租赁住房项目2200万元等13个项目；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14977.24万元，较2025年预算增加5984.74万元，其中：基本支出增加121.05万元，主要为工资及各项社会保险调整基数，人员经费有所增加。项目支出增加5863.69万元，主要为专项债券资金结转金额增加。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2026年，我部门机关运行经费共计安排54.58万元，主要用于日常维修、办公用房水电费、办公用房取暖费、办公用房物业管理费等日常运行支出。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2.33万元，其中因公出国（境）费0.00万元；公务用车购置及运维费2.33万元（其中：公务用车购置费为0.00万元，公务用车运维费2.33万元)；公务接待费0.00万元。与2025年相比减少30.07万元，增减变化的主要原因是压减开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2026年是“十五五”规划的开局之年，也是开发区转型升级、跨越发展的关键一年。为确保“开局即决战、起步即冲刺”，推动开发区高质量发展，为全市经济“开门稳”“开门红”提供坚实支撑，工作核心围绕“目标、任务、项目”三张清单，抓重点、破难点、出亮点。</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1.招商引资“突破攻坚”行动。</w:t>
      </w:r>
    </w:p>
    <w:p>
      <w:pPr>
        <w:pStyle w:val="插入文本样式-插入职责分类绩效目标文件"/>
      </w:pPr>
      <w:r>
        <w:t xml:space="preserve">绩效目标：针对当前招商项目体量偏小、龙头不足的短板，我们将转变思路，实现模式突破，路径突破，目标突破。</w:t>
      </w:r>
    </w:p>
    <w:p>
      <w:pPr>
        <w:pStyle w:val="插入文本样式-插入职责分类绩效目标文件"/>
      </w:pPr>
      <w:r>
        <w:t xml:space="preserve">绩效指标：面对当前招商项目少、资金短缺等实际情况，探索与城投公司开展联合招商，围绕产业发展规划，按照“有什么、缺什么、引什么”思路，深入走访企业，按图索骥，跟进重点项目。</w:t>
      </w:r>
    </w:p>
    <w:p>
      <w:pPr>
        <w:pStyle w:val="插入文本样式-插入职责分类绩效目标文件"/>
      </w:pPr>
      <w:r>
        <w:t xml:space="preserve">2.项目建设“提速攻坚”行动。</w:t>
      </w:r>
    </w:p>
    <w:p>
      <w:pPr>
        <w:pStyle w:val="插入文本样式-插入职责分类绩效目标文件"/>
      </w:pPr>
      <w:r>
        <w:t xml:space="preserve">绩效目标：牢固树立“项目为王”理念，全力破解项目“落地慢、建设慢”难题。</w:t>
      </w:r>
    </w:p>
    <w:p>
      <w:pPr>
        <w:pStyle w:val="插入文本样式-插入职责分类绩效目标文件"/>
      </w:pPr>
      <w:r>
        <w:t xml:space="preserve">绩效指标：推行项目建设“施工图”管理，全力攻坚投产目标，“一对一”精准服务，逐个分析项目进展、存在难点堵点，建立问题台账，明确解决时限和责任人员，加快推进工程建设。</w:t>
      </w:r>
    </w:p>
    <w:p>
      <w:pPr>
        <w:pStyle w:val="插入文本样式-插入职责分类绩效目标文件"/>
      </w:pPr>
      <w:r>
        <w:t xml:space="preserve">3.产业升级“创新攻坚”行动。</w:t>
      </w:r>
    </w:p>
    <w:p>
      <w:pPr>
        <w:pStyle w:val="插入文本样式-插入职责分类绩效目标文件"/>
      </w:pPr>
      <w:r>
        <w:t xml:space="preserve">绩效目标：着力破解“整机强、部件弱”的产业结构矛盾。</w:t>
      </w:r>
    </w:p>
    <w:p>
      <w:pPr>
        <w:pStyle w:val="插入文本样式-插入职责分类绩效目标文件"/>
      </w:pPr>
      <w:r>
        <w:t xml:space="preserve">绩效指标：实施梯度培育，强化创新赋能，推动绿色转型，推广清洁生产技术，引导企业开展节能降耗、循环利用改造，推动传统产业绿色升级，培育绿色示范企业。</w:t>
      </w:r>
    </w:p>
    <w:p>
      <w:pPr>
        <w:pStyle w:val="插入文本样式-插入职责分类绩效目标文件"/>
      </w:pPr>
      <w:r>
        <w:t xml:space="preserve">4.承载能力“扩容攻坚”行动。</w:t>
      </w:r>
    </w:p>
    <w:p>
      <w:pPr>
        <w:pStyle w:val="插入文本样式-插入职责分类绩效目标文件"/>
      </w:pPr>
      <w:r>
        <w:t xml:space="preserve">绩效目标：为项目落地提供“等地”的优质空间。</w:t>
      </w:r>
    </w:p>
    <w:p>
      <w:pPr>
        <w:pStyle w:val="插入文本样式-插入职责分类绩效目标文件"/>
      </w:pPr>
      <w:r>
        <w:t xml:space="preserve">绩效指标：拓展物理空间，完善基础设施，强化设施维护，在基础设施日常维护管理和突发事件处理中，严格按照基础设施维护计划和处理方案进行操作，确保维护工作的高效性和经济可行性。</w:t>
      </w:r>
    </w:p>
    <w:p>
      <w:pPr>
        <w:pStyle w:val="插入文本样式-插入职责分类绩效目标文件"/>
      </w:pPr>
      <w:r>
        <w:t xml:space="preserve">5.营商环境“品牌攻坚”行动。</w:t>
      </w:r>
    </w:p>
    <w:p>
      <w:pPr>
        <w:pStyle w:val="插入文本样式-插入职责分类绩效目标文件"/>
      </w:pPr>
      <w:r>
        <w:t xml:space="preserve">绩效目标：打造比肩先进地区的“营商标杆”。</w:t>
      </w:r>
    </w:p>
    <w:p>
      <w:pPr>
        <w:pStyle w:val="插入文本样式-插入职责分类绩效目标文件"/>
      </w:pPr>
      <w:r>
        <w:t xml:space="preserve">绩效指标：擦亮服务品牌，强化要素保障，提升审批效率，精简申请材料，将关联性较强、同阶段办理的多个事项集成办理。</w:t>
      </w:r>
    </w:p>
    <w:p>
      <w:pPr>
        <w:pStyle w:val="插入文本样式-插入职责分类绩效目标文件"/>
      </w:pPr>
      <w:r>
        <w:t xml:space="preserve">6.底线工作“稳定攻坚”行动。</w:t>
      </w:r>
    </w:p>
    <w:p>
      <w:pPr>
        <w:pStyle w:val="插入文本样式-插入职责分类绩效目标文件"/>
      </w:pPr>
      <w:r>
        <w:t xml:space="preserve">绩效目标：抓牢安全生产，抓严环境保护，抓稳信访稳定。</w:t>
      </w:r>
    </w:p>
    <w:p>
      <w:pPr>
        <w:pStyle w:val="插入文本样式-插入职责分类绩效目标文件"/>
      </w:pPr>
      <w:r>
        <w:t xml:space="preserve">绩效指标：严格落实闭环式管理，完善隐患排查整改审核把关制度；紧盯企业废气、废水、固废排放关键环节，开展重点行业污染整治专项行动；进一步强化信访隐患排查制度， “过筛子”、“拉网式”排查各类信访矛盾纠纷及其隐患。</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1、完善制度建设，制定完善的预算绩效管理制度、资金管理办法、工作保障措施等，为全年预算绩效目标的实现奠定制度基础，不断释放发展活力，助力开发区增比进位。</w:t>
      </w:r>
    </w:p>
    <w:p>
      <w:pPr>
        <w:pStyle w:val="插入文本样式-插入实现年度发展规划目标的保障措施文件"/>
      </w:pPr>
      <w:r>
        <w:t xml:space="preserve">2、加强支出管理，编细编实预算，加快履行政府采购手续、尽快启动预算项目、及时支付预算资金。做到实现花钱必问效，确保财务工作与业务工作紧密衔接，确保绩效目标顺利实现。</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3、积极联系上级业务部门，加强宣传培训调研等工作，定期展开业务培训，提高本部门人员业务素质，加大宣传力度，强化预算绩效管理意识，促进预算绩效管理水平进一步提升，逐步提高开发区人员业务水平。</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1、2022年第二批新增债券河北新乐经济开发区公共卫生应急产业园基础设施建设项目（结转25年）绩效目标表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13018426P005239101777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2022年第二批新增债券河北新乐经济开发区公共卫生应急产业园基础设施建设项目（结转25年）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4754.49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4754.49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完善基础设施建设，提高城市建设水平</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2377.24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4754.49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1.完善基础设施建设，提高城市建设水平</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给水管网</w:t>
            </w:r>
          </w:p>
        </w:tc>
        <w:tc>
          <w:tcPr>
            <w:tcW w:w="2268" w:type="dxa"/>
            <w:vAlign w:val="center"/>
          </w:tcPr>
          <w:p>
            <w:pPr>
              <w:pStyle w:val="单元格样式2"/>
            </w:pPr>
            <w:r>
              <w:t xml:space="preserve">11条</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建设工程验收情况</w:t>
            </w:r>
          </w:p>
        </w:tc>
        <w:tc>
          <w:tcPr>
            <w:tcW w:w="2268" w:type="dxa"/>
            <w:vAlign w:val="center"/>
          </w:tcPr>
          <w:p>
            <w:pPr>
              <w:pStyle w:val="单元格样式2"/>
            </w:pPr>
            <w:r>
              <w:t xml:space="preserve">合格</w:t>
            </w:r>
          </w:p>
        </w:tc>
        <w:tc>
          <w:tcPr>
            <w:tcW w:w="1276" w:type="dxa"/>
            <w:vAlign w:val="center"/>
          </w:tcPr>
          <w:p>
            <w:pPr>
              <w:pStyle w:val="单元格样式2"/>
            </w:pPr>
            <w:r>
              <w:t xml:space="preserve">建筑工程质量验收统一标准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工程按时完成</w:t>
            </w:r>
          </w:p>
        </w:tc>
        <w:tc>
          <w:tcPr>
            <w:tcW w:w="2268" w:type="dxa"/>
            <w:vAlign w:val="center"/>
          </w:tcPr>
          <w:p>
            <w:pPr>
              <w:pStyle w:val="单元格样式2"/>
            </w:pPr>
            <w:r>
              <w:t xml:space="preserve">2023年12月</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成本控制情况</w:t>
            </w:r>
          </w:p>
        </w:tc>
        <w:tc>
          <w:tcPr>
            <w:tcW w:w="2268" w:type="dxa"/>
            <w:vAlign w:val="center"/>
          </w:tcPr>
          <w:p>
            <w:pPr>
              <w:pStyle w:val="单元格样式2"/>
            </w:pPr>
            <w:r>
              <w:t xml:space="preserve">≤100%</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广告收入</w:t>
            </w:r>
          </w:p>
        </w:tc>
        <w:tc>
          <w:tcPr>
            <w:tcW w:w="2268" w:type="dxa"/>
            <w:vAlign w:val="center"/>
          </w:tcPr>
          <w:p>
            <w:pPr>
              <w:pStyle w:val="单元格样式2"/>
            </w:pPr>
            <w:r>
              <w:t xml:space="preserve">800万元每年</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是否增加区域内就业情况</w:t>
            </w:r>
          </w:p>
        </w:tc>
        <w:tc>
          <w:tcPr>
            <w:tcW w:w="2268" w:type="dxa"/>
            <w:vAlign w:val="center"/>
          </w:tcPr>
          <w:p>
            <w:pPr>
              <w:pStyle w:val="单元格样式2"/>
            </w:pPr>
            <w:r>
              <w:t xml:space="preserve">是</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社会群众满意度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2、2026年本级支出-后勤保障人员经费绩效目标表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13018426P00529410008D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2026年本级支出-后勤保障人员经费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为保障单位工作正常运转，需申请后勤保障人员经费。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5.28</w:t>
            </w:r>
          </w:p>
        </w:tc>
        <w:tc>
          <w:tcPr>
            <w:tcW w:w="2835" w:type="dxa"/>
            <w:vAlign w:val="center"/>
          </w:tcPr>
          <w:p>
            <w:pPr>
              <w:pStyle w:val="单元格样式3"/>
            </w:pPr>
            <w:r>
              <w:t xml:space="preserve">10.56</w:t>
            </w:r>
          </w:p>
        </w:tc>
        <w:tc>
          <w:tcPr>
            <w:tcW w:w="2551" w:type="dxa"/>
            <w:vAlign w:val="center"/>
          </w:tcPr>
          <w:p>
            <w:pPr>
              <w:pStyle w:val="单元格样式3"/>
            </w:pPr>
            <w:r>
              <w:t xml:space="preserve">15.84</w:t>
            </w:r>
          </w:p>
        </w:tc>
        <w:tc>
          <w:tcPr>
            <w:tcW w:w="3544" w:type="dxa"/>
            <w:gridSpan w:val="2"/>
            <w:vAlign w:val="center"/>
          </w:tcPr>
          <w:p>
            <w:pPr>
              <w:pStyle w:val="单元格样式3"/>
            </w:pPr>
            <w:r>
              <w:t xml:space="preserve">21.11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1.为保障单位工作正常运转，需申请后勤保障人员经费。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人员数量</w:t>
            </w:r>
          </w:p>
        </w:tc>
        <w:tc>
          <w:tcPr>
            <w:tcW w:w="5386" w:type="dxa"/>
            <w:vAlign w:val="center"/>
          </w:tcPr>
          <w:p>
            <w:pPr>
              <w:pStyle w:val="单元格样式2"/>
            </w:pPr>
            <w:r>
              <w:t xml:space="preserve">保障人员数量</w:t>
            </w:r>
          </w:p>
        </w:tc>
        <w:tc>
          <w:tcPr>
            <w:tcW w:w="2268" w:type="dxa"/>
            <w:vAlign w:val="center"/>
          </w:tcPr>
          <w:p>
            <w:pPr>
              <w:pStyle w:val="单元格样式2"/>
            </w:pPr>
            <w:r>
              <w:t xml:space="preserve">4人</w:t>
            </w:r>
          </w:p>
        </w:tc>
        <w:tc>
          <w:tcPr>
            <w:tcW w:w="1276" w:type="dxa"/>
            <w:vAlign w:val="center"/>
          </w:tcPr>
          <w:p>
            <w:pPr>
              <w:pStyle w:val="单元格样式2"/>
            </w:pPr>
            <w:r>
              <w:t xml:space="preserve">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保障工作质量</w:t>
            </w:r>
          </w:p>
        </w:tc>
        <w:tc>
          <w:tcPr>
            <w:tcW w:w="5386" w:type="dxa"/>
            <w:vAlign w:val="center"/>
          </w:tcPr>
          <w:p>
            <w:pPr>
              <w:pStyle w:val="单元格样式2"/>
            </w:pPr>
            <w:r>
              <w:t xml:space="preserve">保障工作按质量完成</w:t>
            </w:r>
          </w:p>
        </w:tc>
        <w:tc>
          <w:tcPr>
            <w:tcW w:w="2268" w:type="dxa"/>
            <w:vAlign w:val="center"/>
          </w:tcPr>
          <w:p>
            <w:pPr>
              <w:pStyle w:val="单元格样式2"/>
            </w:pPr>
            <w:r>
              <w:t xml:space="preserve">符合工作质量要求</w:t>
            </w:r>
          </w:p>
        </w:tc>
        <w:tc>
          <w:tcPr>
            <w:tcW w:w="1276" w:type="dxa"/>
            <w:vAlign w:val="center"/>
          </w:tcPr>
          <w:p>
            <w:pPr>
              <w:pStyle w:val="单元格样式2"/>
            </w:pPr>
            <w:r>
              <w:t xml:space="preserve">规范标准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支付时效</w:t>
            </w:r>
          </w:p>
        </w:tc>
        <w:tc>
          <w:tcPr>
            <w:tcW w:w="5386" w:type="dxa"/>
            <w:vAlign w:val="center"/>
          </w:tcPr>
          <w:p>
            <w:pPr>
              <w:pStyle w:val="单元格样式2"/>
            </w:pPr>
            <w:r>
              <w:t xml:space="preserve">保障经费资金按时支出情况</w:t>
            </w:r>
          </w:p>
        </w:tc>
        <w:tc>
          <w:tcPr>
            <w:tcW w:w="2268" w:type="dxa"/>
            <w:vAlign w:val="center"/>
          </w:tcPr>
          <w:p>
            <w:pPr>
              <w:pStyle w:val="单元格样式2"/>
            </w:pPr>
            <w:r>
              <w:t xml:space="preserve">按要求及时支付</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完成工作所需资金</w:t>
            </w:r>
          </w:p>
        </w:tc>
        <w:tc>
          <w:tcPr>
            <w:tcW w:w="5386" w:type="dxa"/>
            <w:vAlign w:val="center"/>
          </w:tcPr>
          <w:p>
            <w:pPr>
              <w:pStyle w:val="单元格样式2"/>
            </w:pPr>
            <w:r>
              <w:t xml:space="preserve">实际资金支付情况</w:t>
            </w:r>
          </w:p>
        </w:tc>
        <w:tc>
          <w:tcPr>
            <w:tcW w:w="2268" w:type="dxa"/>
            <w:vAlign w:val="center"/>
          </w:tcPr>
          <w:p>
            <w:pPr>
              <w:pStyle w:val="单元格样式2"/>
            </w:pPr>
            <w:r>
              <w:t xml:space="preserve">≤211133元</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持续发挥作用期限</w:t>
            </w:r>
          </w:p>
        </w:tc>
        <w:tc>
          <w:tcPr>
            <w:tcW w:w="5386" w:type="dxa"/>
            <w:vAlign w:val="center"/>
          </w:tcPr>
          <w:p>
            <w:pPr>
              <w:pStyle w:val="单元格样式2"/>
            </w:pPr>
            <w:r>
              <w:t xml:space="preserve">对单位的保障工作持续发挥作用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保障工作顺利开展</w:t>
            </w:r>
          </w:p>
        </w:tc>
        <w:tc>
          <w:tcPr>
            <w:tcW w:w="5386" w:type="dxa"/>
            <w:vAlign w:val="center"/>
          </w:tcPr>
          <w:p>
            <w:pPr>
              <w:pStyle w:val="单元格样式2"/>
            </w:pPr>
            <w:r>
              <w:t xml:space="preserve">保障工作顺利开展</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满意</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3、2026年本级支出-征占地补偿5105万元绩效目标表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13018426P00522210100U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2026年本级支出-征占地补偿5105万元</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按照占地补偿协议及评估报告，按标准准时足额补偿款。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5105.00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1.按照占地补偿协议及评估报告，按标准准时足额补偿到位，避免发生纠纷，让被占地农户满意。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土地补偿款发放数额</w:t>
            </w:r>
          </w:p>
        </w:tc>
        <w:tc>
          <w:tcPr>
            <w:tcW w:w="5386" w:type="dxa"/>
            <w:vAlign w:val="center"/>
          </w:tcPr>
          <w:p>
            <w:pPr>
              <w:pStyle w:val="单元格样式2"/>
            </w:pPr>
            <w:r>
              <w:t xml:space="preserve">应付的土地补偿款是否全额支付</w:t>
            </w:r>
          </w:p>
        </w:tc>
        <w:tc>
          <w:tcPr>
            <w:tcW w:w="2268" w:type="dxa"/>
            <w:vAlign w:val="center"/>
          </w:tcPr>
          <w:p>
            <w:pPr>
              <w:pStyle w:val="单元格样式2"/>
            </w:pPr>
            <w:r>
              <w:t xml:space="preserve">全额支付</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是否按照占地协议及评估报告支付土地补偿款</w:t>
            </w:r>
          </w:p>
        </w:tc>
        <w:tc>
          <w:tcPr>
            <w:tcW w:w="5386" w:type="dxa"/>
            <w:vAlign w:val="center"/>
          </w:tcPr>
          <w:p>
            <w:pPr>
              <w:pStyle w:val="单元格样式2"/>
            </w:pPr>
            <w:r>
              <w:t xml:space="preserve">签订占地协议的，按照占地协议支付；有评估报告的按照评估报告予以支付</w:t>
            </w:r>
          </w:p>
        </w:tc>
        <w:tc>
          <w:tcPr>
            <w:tcW w:w="2268" w:type="dxa"/>
            <w:vAlign w:val="center"/>
          </w:tcPr>
          <w:p>
            <w:pPr>
              <w:pStyle w:val="单元格样式2"/>
            </w:pPr>
            <w:r>
              <w:t xml:space="preserve">是</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土地补偿款发放时间</w:t>
            </w:r>
          </w:p>
        </w:tc>
        <w:tc>
          <w:tcPr>
            <w:tcW w:w="5386" w:type="dxa"/>
            <w:vAlign w:val="center"/>
          </w:tcPr>
          <w:p>
            <w:pPr>
              <w:pStyle w:val="单元格样式2"/>
            </w:pPr>
            <w:r>
              <w:t xml:space="preserve">土地补偿款是否准时发放到被占地农户手中</w:t>
            </w:r>
          </w:p>
        </w:tc>
        <w:tc>
          <w:tcPr>
            <w:tcW w:w="2268" w:type="dxa"/>
            <w:vAlign w:val="center"/>
          </w:tcPr>
          <w:p>
            <w:pPr>
              <w:pStyle w:val="单元格样式2"/>
            </w:pPr>
            <w:r>
              <w:t xml:space="preserve">准时发放到农户手中</w:t>
            </w:r>
          </w:p>
        </w:tc>
        <w:tc>
          <w:tcPr>
            <w:tcW w:w="1276" w:type="dxa"/>
            <w:vAlign w:val="center"/>
          </w:tcPr>
          <w:p>
            <w:pPr>
              <w:pStyle w:val="单元格样式2"/>
            </w:pPr>
            <w:r>
              <w:t xml:space="preserve">准时发放补偿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土地补偿款发放额度</w:t>
            </w:r>
          </w:p>
        </w:tc>
        <w:tc>
          <w:tcPr>
            <w:tcW w:w="5386" w:type="dxa"/>
            <w:vAlign w:val="center"/>
          </w:tcPr>
          <w:p>
            <w:pPr>
              <w:pStyle w:val="单元格样式2"/>
            </w:pPr>
            <w:r>
              <w:t xml:space="preserve">是否足额给付土地补偿款</w:t>
            </w:r>
          </w:p>
        </w:tc>
        <w:tc>
          <w:tcPr>
            <w:tcW w:w="2268" w:type="dxa"/>
            <w:vAlign w:val="center"/>
          </w:tcPr>
          <w:p>
            <w:pPr>
              <w:pStyle w:val="单元格样式2"/>
            </w:pPr>
            <w:r>
              <w:t xml:space="preserve">≤5105万元</w:t>
            </w:r>
          </w:p>
        </w:tc>
        <w:tc>
          <w:tcPr>
            <w:tcW w:w="1276" w:type="dxa"/>
            <w:vAlign w:val="center"/>
          </w:tcPr>
          <w:p>
            <w:pPr>
              <w:pStyle w:val="单元格样式2"/>
            </w:pPr>
            <w:r>
              <w:t xml:space="preserve">占地补偿协议及评估报告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被占地农户基本经济收益</w:t>
            </w:r>
          </w:p>
        </w:tc>
        <w:tc>
          <w:tcPr>
            <w:tcW w:w="5386" w:type="dxa"/>
            <w:vAlign w:val="center"/>
          </w:tcPr>
          <w:p>
            <w:pPr>
              <w:pStyle w:val="单元格样式2"/>
            </w:pPr>
            <w:r>
              <w:t xml:space="preserve">被占地农户是否收到补偿款</w:t>
            </w:r>
          </w:p>
        </w:tc>
        <w:tc>
          <w:tcPr>
            <w:tcW w:w="2268" w:type="dxa"/>
            <w:vAlign w:val="center"/>
          </w:tcPr>
          <w:p>
            <w:pPr>
              <w:pStyle w:val="单元格样式2"/>
            </w:pPr>
            <w:r>
              <w:t xml:space="preserve">尽快拨付</w:t>
            </w:r>
          </w:p>
        </w:tc>
        <w:tc>
          <w:tcPr>
            <w:tcW w:w="1276" w:type="dxa"/>
            <w:vAlign w:val="center"/>
          </w:tcPr>
          <w:p>
            <w:pPr>
              <w:pStyle w:val="单元格样式2"/>
            </w:pPr>
            <w:r>
              <w:t xml:space="preserve">足额发放补偿</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发放土地补偿款，保障被占地农户合法效益</w:t>
            </w:r>
          </w:p>
        </w:tc>
        <w:tc>
          <w:tcPr>
            <w:tcW w:w="5386" w:type="dxa"/>
            <w:vAlign w:val="center"/>
          </w:tcPr>
          <w:p>
            <w:pPr>
              <w:pStyle w:val="单元格样式2"/>
            </w:pPr>
            <w:r>
              <w:t xml:space="preserve">被占地农户是否收到补偿款</w:t>
            </w:r>
          </w:p>
        </w:tc>
        <w:tc>
          <w:tcPr>
            <w:tcW w:w="2268" w:type="dxa"/>
            <w:vAlign w:val="center"/>
          </w:tcPr>
          <w:p>
            <w:pPr>
              <w:pStyle w:val="单元格样式2"/>
            </w:pPr>
            <w:r>
              <w:t xml:space="preserve">是</w:t>
            </w:r>
          </w:p>
        </w:tc>
        <w:tc>
          <w:tcPr>
            <w:tcW w:w="1276" w:type="dxa"/>
            <w:vAlign w:val="center"/>
          </w:tcPr>
          <w:p>
            <w:pPr>
              <w:pStyle w:val="单元格样式2"/>
            </w:pPr>
            <w:r>
              <w:t xml:space="preserve">足额发放补偿</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被占地农户满意</w:t>
            </w:r>
          </w:p>
        </w:tc>
        <w:tc>
          <w:tcPr>
            <w:tcW w:w="5386" w:type="dxa"/>
            <w:vAlign w:val="center"/>
          </w:tcPr>
          <w:p>
            <w:pPr>
              <w:pStyle w:val="单元格样式2"/>
            </w:pPr>
            <w:r>
              <w:t xml:space="preserve">被占地农户是否满意</w:t>
            </w:r>
          </w:p>
        </w:tc>
        <w:tc>
          <w:tcPr>
            <w:tcW w:w="2268" w:type="dxa"/>
            <w:vAlign w:val="center"/>
          </w:tcPr>
          <w:p>
            <w:pPr>
              <w:pStyle w:val="单元格样式2"/>
            </w:pPr>
            <w:r>
              <w:t xml:space="preserve">满意</w:t>
            </w:r>
          </w:p>
        </w:tc>
        <w:tc>
          <w:tcPr>
            <w:tcW w:w="1276" w:type="dxa"/>
            <w:vAlign w:val="center"/>
          </w:tcPr>
          <w:p>
            <w:pPr>
              <w:pStyle w:val="单元格样式2"/>
            </w:pPr>
            <w:r>
              <w:t xml:space="preserve">足额准时发放补偿</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4、长安路、发展路(机场路-空港大街)、空港大街基础设施项目工程绩效目标表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13018418SYU9W1MSBXOL2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长安路、发展路(机场路-空港大街)、空港大街基础设施项目工程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用于支付发展路（机场路-空港大街）、空港大街基础设施项目建设资金，进一步完善开发区路网，提升道路排水能力，改善园区环境和形象，促进开发区经济发展。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31.80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1.顺利完成发展路（机场路-空港大街）、空港大街基础设施项目建设，进一步完善开发区路网，提升道路排水能力，改善园区环境和形象，促进开发区经济发展。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涉及基础设施工程数量</w:t>
            </w:r>
          </w:p>
        </w:tc>
        <w:tc>
          <w:tcPr>
            <w:tcW w:w="2268" w:type="dxa"/>
            <w:vAlign w:val="center"/>
          </w:tcPr>
          <w:p>
            <w:pPr>
              <w:pStyle w:val="单元格样式2"/>
            </w:pPr>
            <w:r>
              <w:t xml:space="preserve">2个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项目完成进度</w:t>
            </w:r>
          </w:p>
        </w:tc>
        <w:tc>
          <w:tcPr>
            <w:tcW w:w="5386" w:type="dxa"/>
            <w:vAlign w:val="center"/>
          </w:tcPr>
          <w:p>
            <w:pPr>
              <w:pStyle w:val="单元格样式2"/>
            </w:pPr>
            <w:r>
              <w:t xml:space="preserve">是否全部完工</w:t>
            </w:r>
          </w:p>
        </w:tc>
        <w:tc>
          <w:tcPr>
            <w:tcW w:w="2268" w:type="dxa"/>
            <w:vAlign w:val="center"/>
          </w:tcPr>
          <w:p>
            <w:pPr>
              <w:pStyle w:val="单元格样式2"/>
            </w:pPr>
            <w:r>
              <w:t xml:space="preserve">是</w:t>
            </w:r>
          </w:p>
        </w:tc>
        <w:tc>
          <w:tcPr>
            <w:tcW w:w="1276" w:type="dxa"/>
            <w:vAlign w:val="center"/>
          </w:tcPr>
          <w:p>
            <w:pPr>
              <w:pStyle w:val="单元格样式2"/>
            </w:pPr>
            <w:r>
              <w:t xml:space="preserve">竣工验收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企业使用情况</w:t>
            </w:r>
          </w:p>
        </w:tc>
        <w:tc>
          <w:tcPr>
            <w:tcW w:w="5386" w:type="dxa"/>
            <w:vAlign w:val="center"/>
          </w:tcPr>
          <w:p>
            <w:pPr>
              <w:pStyle w:val="单元格样式2"/>
            </w:pPr>
            <w:r>
              <w:t xml:space="preserve">是否满足企业使用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得到广大群众、企业的充分认可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群众、企业满意度</w:t>
            </w:r>
          </w:p>
        </w:tc>
        <w:tc>
          <w:tcPr>
            <w:tcW w:w="5386" w:type="dxa"/>
            <w:vAlign w:val="center"/>
          </w:tcPr>
          <w:p>
            <w:pPr>
              <w:pStyle w:val="单元格样式2"/>
            </w:pPr>
            <w:r>
              <w:t xml:space="preserve">群众、企业对基础设施建设服务满意度调查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5、长青路（机场路-空港大街）工程绩效目标表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13018418TILVB13Q4SAMW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长青路（机场路-空港大街）工程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59.98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59.98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用于支付长青路（机场路-空港大街）工程建设资金，进一步完善开发区路网，改善交通状况，提升园区环境和形象，促进开发区经济发展。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59.98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1.顺利完成长青路（机场路-空港大街）工程建设，进一步完善开发区路网，改善交通状况，提升园区环境和形象，促进开发区经济发展。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涉及基础设施工程数量</w:t>
            </w:r>
          </w:p>
        </w:tc>
        <w:tc>
          <w:tcPr>
            <w:tcW w:w="2268" w:type="dxa"/>
            <w:vAlign w:val="center"/>
          </w:tcPr>
          <w:p>
            <w:pPr>
              <w:pStyle w:val="单元格样式2"/>
            </w:pPr>
            <w:r>
              <w:t xml:space="preserve">1个</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项目完成进度</w:t>
            </w:r>
          </w:p>
        </w:tc>
        <w:tc>
          <w:tcPr>
            <w:tcW w:w="5386" w:type="dxa"/>
            <w:vAlign w:val="center"/>
          </w:tcPr>
          <w:p>
            <w:pPr>
              <w:pStyle w:val="单元格样式2"/>
            </w:pPr>
            <w:r>
              <w:t xml:space="preserve">是否全部完工</w:t>
            </w:r>
          </w:p>
        </w:tc>
        <w:tc>
          <w:tcPr>
            <w:tcW w:w="2268" w:type="dxa"/>
            <w:vAlign w:val="center"/>
          </w:tcPr>
          <w:p>
            <w:pPr>
              <w:pStyle w:val="单元格样式2"/>
            </w:pPr>
            <w:r>
              <w:t xml:space="preserve">是</w:t>
            </w:r>
          </w:p>
        </w:tc>
        <w:tc>
          <w:tcPr>
            <w:tcW w:w="1276" w:type="dxa"/>
            <w:vAlign w:val="center"/>
          </w:tcPr>
          <w:p>
            <w:pPr>
              <w:pStyle w:val="单元格样式2"/>
            </w:pPr>
            <w:r>
              <w:t xml:space="preserve">竣工验收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企业使用情况</w:t>
            </w:r>
          </w:p>
        </w:tc>
        <w:tc>
          <w:tcPr>
            <w:tcW w:w="5386" w:type="dxa"/>
            <w:vAlign w:val="center"/>
          </w:tcPr>
          <w:p>
            <w:pPr>
              <w:pStyle w:val="单元格样式2"/>
            </w:pPr>
            <w:r>
              <w:t xml:space="preserve">是否满足企业使用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得到广大群众、企业的充分认可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群众、企业满意度</w:t>
            </w:r>
          </w:p>
        </w:tc>
        <w:tc>
          <w:tcPr>
            <w:tcW w:w="5386" w:type="dxa"/>
            <w:vAlign w:val="center"/>
          </w:tcPr>
          <w:p>
            <w:pPr>
              <w:pStyle w:val="单元格样式2"/>
            </w:pPr>
            <w:r>
              <w:t xml:space="preserve">群众、企业对基础设施建设服务满意度调查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测算标准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6、河北新乐经济开发区高端制造孵化中心配套保障性租赁住房项目绩效目标表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13018422D000000069933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河北新乐经济开发区高端制造孵化中心配套保障性租赁住房项目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用于支付河北新乐经济开发区高端制造孵化中心配套保障性租赁住房项目资金。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2200.00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1.建成河北新乐经济开发区高端制造孵化中心配套保障性租赁住房项目，提高新乐市人居环境，提高城市品位，进一步促进新乐市经济的发展。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保障性租赁住房</w:t>
            </w:r>
          </w:p>
        </w:tc>
        <w:tc>
          <w:tcPr>
            <w:tcW w:w="5386" w:type="dxa"/>
            <w:vAlign w:val="center"/>
          </w:tcPr>
          <w:p>
            <w:pPr>
              <w:pStyle w:val="单元格样式2"/>
            </w:pPr>
            <w:r>
              <w:t xml:space="preserve">是否按合同约定支付相关资金</w:t>
            </w:r>
          </w:p>
        </w:tc>
        <w:tc>
          <w:tcPr>
            <w:tcW w:w="2268" w:type="dxa"/>
            <w:vAlign w:val="center"/>
          </w:tcPr>
          <w:p>
            <w:pPr>
              <w:pStyle w:val="单元格样式2"/>
            </w:pPr>
            <w:r>
              <w:t xml:space="preserve">1栋</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工程验收合格率</w:t>
            </w:r>
          </w:p>
        </w:tc>
        <w:tc>
          <w:tcPr>
            <w:tcW w:w="5386" w:type="dxa"/>
            <w:vAlign w:val="center"/>
          </w:tcPr>
          <w:p>
            <w:pPr>
              <w:pStyle w:val="单元格样式2"/>
            </w:pPr>
            <w:r>
              <w:t xml:space="preserve">是否按合同约定进度金额支付相关资金</w:t>
            </w:r>
          </w:p>
        </w:tc>
        <w:tc>
          <w:tcPr>
            <w:tcW w:w="2268" w:type="dxa"/>
            <w:vAlign w:val="center"/>
          </w:tcPr>
          <w:p>
            <w:pPr>
              <w:pStyle w:val="单元格样式2"/>
            </w:pPr>
            <w:r>
              <w:t xml:space="preserve">是</w:t>
            </w:r>
          </w:p>
        </w:tc>
        <w:tc>
          <w:tcPr>
            <w:tcW w:w="1276" w:type="dxa"/>
            <w:vAlign w:val="center"/>
          </w:tcPr>
          <w:p>
            <w:pPr>
              <w:pStyle w:val="单元格样式2"/>
            </w:pPr>
            <w:r>
              <w:t xml:space="preserve">验收报告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项目按期完成率</w:t>
            </w:r>
          </w:p>
        </w:tc>
        <w:tc>
          <w:tcPr>
            <w:tcW w:w="5386" w:type="dxa"/>
            <w:vAlign w:val="center"/>
          </w:tcPr>
          <w:p>
            <w:pPr>
              <w:pStyle w:val="单元格样式2"/>
            </w:pPr>
            <w:r>
              <w:t xml:space="preserve">是否再合同约定时间内完成</w:t>
            </w:r>
          </w:p>
        </w:tc>
        <w:tc>
          <w:tcPr>
            <w:tcW w:w="2268" w:type="dxa"/>
            <w:vAlign w:val="center"/>
          </w:tcPr>
          <w:p>
            <w:pPr>
              <w:pStyle w:val="单元格样式2"/>
            </w:pPr>
            <w:r>
              <w:t xml:space="preserve">是</w:t>
            </w:r>
          </w:p>
        </w:tc>
        <w:tc>
          <w:tcPr>
            <w:tcW w:w="1276" w:type="dxa"/>
            <w:vAlign w:val="center"/>
          </w:tcPr>
          <w:p>
            <w:pPr>
              <w:pStyle w:val="单元格样式2"/>
            </w:pPr>
            <w:r>
              <w:t xml:space="preserve">合同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建设成本</w:t>
            </w:r>
          </w:p>
        </w:tc>
        <w:tc>
          <w:tcPr>
            <w:tcW w:w="5386" w:type="dxa"/>
            <w:vAlign w:val="center"/>
          </w:tcPr>
          <w:p>
            <w:pPr>
              <w:pStyle w:val="单元格样式2"/>
            </w:pPr>
            <w:r>
              <w:t xml:space="preserve">是否控制在合同约定金额内</w:t>
            </w:r>
          </w:p>
        </w:tc>
        <w:tc>
          <w:tcPr>
            <w:tcW w:w="2268" w:type="dxa"/>
            <w:vAlign w:val="center"/>
          </w:tcPr>
          <w:p>
            <w:pPr>
              <w:pStyle w:val="单元格样式2"/>
            </w:pPr>
            <w:r>
              <w:t xml:space="preserve">≤2200万元</w:t>
            </w:r>
          </w:p>
        </w:tc>
        <w:tc>
          <w:tcPr>
            <w:tcW w:w="1276" w:type="dxa"/>
            <w:vAlign w:val="center"/>
          </w:tcPr>
          <w:p>
            <w:pPr>
              <w:pStyle w:val="单元格样式2"/>
            </w:pPr>
            <w:r>
              <w:t xml:space="preserve">工程竣工决算报告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拉动经济增长</w:t>
            </w:r>
          </w:p>
        </w:tc>
        <w:tc>
          <w:tcPr>
            <w:tcW w:w="5386" w:type="dxa"/>
            <w:vAlign w:val="center"/>
          </w:tcPr>
          <w:p>
            <w:pPr>
              <w:pStyle w:val="单元格样式2"/>
            </w:pPr>
            <w:r>
              <w:t xml:space="preserve">是否对社会经济发展的影响</w:t>
            </w:r>
          </w:p>
        </w:tc>
        <w:tc>
          <w:tcPr>
            <w:tcW w:w="2268" w:type="dxa"/>
            <w:vAlign w:val="center"/>
          </w:tcPr>
          <w:p>
            <w:pPr>
              <w:pStyle w:val="单元格样式2"/>
            </w:pPr>
            <w:r>
              <w:t xml:space="preserve">是</w:t>
            </w:r>
          </w:p>
        </w:tc>
        <w:tc>
          <w:tcPr>
            <w:tcW w:w="1276" w:type="dxa"/>
            <w:vAlign w:val="center"/>
          </w:tcPr>
          <w:p>
            <w:pPr>
              <w:pStyle w:val="单元格样式2"/>
            </w:pPr>
            <w:r>
              <w:t xml:space="preserve">项目组验收意见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建成保障性租赁住房，补齐公共服务配套功能设施短板</w:t>
            </w:r>
          </w:p>
        </w:tc>
        <w:tc>
          <w:tcPr>
            <w:tcW w:w="5386" w:type="dxa"/>
            <w:vAlign w:val="center"/>
          </w:tcPr>
          <w:p>
            <w:pPr>
              <w:pStyle w:val="单元格样式2"/>
            </w:pPr>
            <w:r>
              <w:t xml:space="preserve">是否提高公共服务功能</w:t>
            </w:r>
          </w:p>
        </w:tc>
        <w:tc>
          <w:tcPr>
            <w:tcW w:w="2268" w:type="dxa"/>
            <w:vAlign w:val="center"/>
          </w:tcPr>
          <w:p>
            <w:pPr>
              <w:pStyle w:val="单元格样式2"/>
            </w:pPr>
            <w:r>
              <w:t xml:space="preserve">是</w:t>
            </w:r>
          </w:p>
        </w:tc>
        <w:tc>
          <w:tcPr>
            <w:tcW w:w="1276" w:type="dxa"/>
            <w:vAlign w:val="center"/>
          </w:tcPr>
          <w:p>
            <w:pPr>
              <w:pStyle w:val="单元格样式2"/>
            </w:pPr>
            <w:r>
              <w:t xml:space="preserve">项目可行性研究报告</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受益对象满意度</w:t>
            </w:r>
          </w:p>
        </w:tc>
        <w:tc>
          <w:tcPr>
            <w:tcW w:w="5386" w:type="dxa"/>
            <w:vAlign w:val="center"/>
          </w:tcPr>
          <w:p>
            <w:pPr>
              <w:pStyle w:val="单元格样式2"/>
            </w:pPr>
            <w:r>
              <w:t xml:space="preserve">是否对居住环境及配套功能满意</w:t>
            </w:r>
          </w:p>
        </w:tc>
        <w:tc>
          <w:tcPr>
            <w:tcW w:w="2268" w:type="dxa"/>
            <w:vAlign w:val="center"/>
          </w:tcPr>
          <w:p>
            <w:pPr>
              <w:pStyle w:val="单元格样式2"/>
            </w:pPr>
            <w:r>
              <w:t xml:space="preserve">≥98%</w:t>
            </w:r>
          </w:p>
        </w:tc>
        <w:tc>
          <w:tcPr>
            <w:tcW w:w="1276" w:type="dxa"/>
            <w:vAlign w:val="center"/>
          </w:tcPr>
          <w:p>
            <w:pPr>
              <w:pStyle w:val="单元格样式2"/>
            </w:pPr>
            <w:r>
              <w:t xml:space="preserve">社会调查统计报告</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7、河北新乐经济开发区供热管网二期项目绩效目标表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13018423XMVAR9QQLLG6U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河北新乐经济开发区供热管网二期项目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用于支付供热管网二期项目建设资金，促进新乐经济开发区生态环境改善，人民健康水平提高，促进工业生产，改善投资环境。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2400.00</w:t>
            </w:r>
          </w:p>
        </w:tc>
        <w:tc>
          <w:tcPr>
            <w:tcW w:w="2551" w:type="dxa"/>
            <w:vAlign w:val="center"/>
          </w:tcPr>
          <w:p>
            <w:pPr>
              <w:pStyle w:val="单元格样式3"/>
            </w:pPr>
            <w:r>
              <w:t xml:space="preserve">4800.00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1.完成供热管网二期项目的建设，促进新乐经济开发区生态环境改善，人民健康水平提高，促进工业生产，改善投资环境。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≥95%</w:t>
            </w:r>
          </w:p>
        </w:tc>
        <w:tc>
          <w:tcPr>
            <w:tcW w:w="1276" w:type="dxa"/>
            <w:vAlign w:val="center"/>
          </w:tcPr>
          <w:p>
            <w:pPr>
              <w:pStyle w:val="单元格样式2"/>
            </w:pPr>
            <w:r>
              <w:t xml:space="preserve">可研报告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可研报告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是否促进开发区生态环境改善，促进工业生产，改善投资环境</w:t>
            </w:r>
          </w:p>
        </w:tc>
        <w:tc>
          <w:tcPr>
            <w:tcW w:w="2268" w:type="dxa"/>
            <w:vAlign w:val="center"/>
          </w:tcPr>
          <w:p>
            <w:pPr>
              <w:pStyle w:val="单元格样式2"/>
            </w:pPr>
            <w:r>
              <w:t xml:space="preserve">是</w:t>
            </w:r>
          </w:p>
        </w:tc>
        <w:tc>
          <w:tcPr>
            <w:tcW w:w="1276" w:type="dxa"/>
            <w:vAlign w:val="center"/>
          </w:tcPr>
          <w:p>
            <w:pPr>
              <w:pStyle w:val="单元格样式2"/>
            </w:pPr>
            <w:r>
              <w:t xml:space="preserve">根据项目实际情况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完成后是否持续使用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根据项目实际情况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8、河北新乐开发区道路建设项目绩效目标表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1301841661P4LP3G7847C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河北新乐开发区道路建设项目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用于支付长青路（空港大街-经四街）道路建设资金，进一步完善开发区路网，改善交通状况，提升园区形象。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70.00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1.按照市政府工作安排，完成长青路（空港大街-经四街）道路的建设，进一步完善开发区路网，改善交通状况，提升园区形象。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是否得到广大群众、企业的认可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建成后是否持续使用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9、河北新乐开发区建新街南延建设项目绩效目标表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130184191WEWI4GOVMBNE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河北新乐开发区建新街南延建设项目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262.97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262.97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用于支付建新街南延建设项目资金，拓宽路网结构，为周边企业居民出行提供便利，进一步完善开发区基础设施建设。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132.00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262.97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1.用于拓宽路网结构，为周边企业居民出行提供便利，进一步完善开发区基础设施建设。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数量指标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时效指标</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成本指标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是否对周边居民及企业提供便利</w:t>
            </w:r>
          </w:p>
        </w:tc>
        <w:tc>
          <w:tcPr>
            <w:tcW w:w="2268" w:type="dxa"/>
            <w:vAlign w:val="center"/>
          </w:tcPr>
          <w:p>
            <w:pPr>
              <w:pStyle w:val="单元格样式2"/>
            </w:pPr>
            <w:r>
              <w:t xml:space="preserve">是</w:t>
            </w:r>
          </w:p>
        </w:tc>
        <w:tc>
          <w:tcPr>
            <w:tcW w:w="1276" w:type="dxa"/>
            <w:vAlign w:val="center"/>
          </w:tcPr>
          <w:p>
            <w:pPr>
              <w:pStyle w:val="单元格样式2"/>
            </w:pPr>
            <w:r>
              <w:t xml:space="preserve">实地调查</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影响年限</w:t>
            </w:r>
          </w:p>
        </w:tc>
        <w:tc>
          <w:tcPr>
            <w:tcW w:w="2268" w:type="dxa"/>
            <w:vAlign w:val="center"/>
          </w:tcPr>
          <w:p>
            <w:pPr>
              <w:pStyle w:val="单元格样式2"/>
            </w:pPr>
            <w:r>
              <w:t xml:space="preserve">≥10年</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周边企业居民满意度</w:t>
            </w:r>
          </w:p>
        </w:tc>
        <w:tc>
          <w:tcPr>
            <w:tcW w:w="2268" w:type="dxa"/>
            <w:vAlign w:val="center"/>
          </w:tcPr>
          <w:p>
            <w:pPr>
              <w:pStyle w:val="单元格样式2"/>
            </w:pPr>
            <w:r>
              <w:t xml:space="preserve">≥95%</w:t>
            </w:r>
          </w:p>
        </w:tc>
        <w:tc>
          <w:tcPr>
            <w:tcW w:w="1276" w:type="dxa"/>
            <w:vAlign w:val="center"/>
          </w:tcPr>
          <w:p>
            <w:pPr>
              <w:pStyle w:val="单元格样式2"/>
            </w:pPr>
            <w:r>
              <w:t xml:space="preserve">实地调查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10、新乐110kV鲜虞站10千伏孵化园线路土建工程绩效目标表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13018423KZHWW1AP6PVGY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新乐110kV鲜虞站10千伏孵化园线路土建工程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用于支付新乐110kV鲜虞站10千伏孵化园线路土建工程款。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29.53</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1.顺利完成新乐110kV鲜虞站10千伏孵化园线路土建工程，保障高端装备制造孵化园用电需求。</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实际成本金额</w:t>
            </w:r>
          </w:p>
        </w:tc>
        <w:tc>
          <w:tcPr>
            <w:tcW w:w="2268" w:type="dxa"/>
            <w:vAlign w:val="center"/>
          </w:tcPr>
          <w:p>
            <w:pPr>
              <w:pStyle w:val="单元格样式2"/>
            </w:pPr>
            <w:r>
              <w:t xml:space="preserve">≤200万元</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保障孵化园用电需求</w:t>
            </w:r>
          </w:p>
        </w:tc>
        <w:tc>
          <w:tcPr>
            <w:tcW w:w="5386" w:type="dxa"/>
            <w:vAlign w:val="center"/>
          </w:tcPr>
          <w:p>
            <w:pPr>
              <w:pStyle w:val="单元格样式2"/>
            </w:pPr>
            <w:r>
              <w:t xml:space="preserve">是否保障孵化园用电需求</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可持续使用</w:t>
            </w:r>
          </w:p>
        </w:tc>
        <w:tc>
          <w:tcPr>
            <w:tcW w:w="5386" w:type="dxa"/>
            <w:vAlign w:val="center"/>
          </w:tcPr>
          <w:p>
            <w:pPr>
              <w:pStyle w:val="单元格样式2"/>
            </w:pPr>
            <w:r>
              <w:t xml:space="preserve">是否可持续使用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项目方满意度</w:t>
            </w:r>
          </w:p>
        </w:tc>
        <w:tc>
          <w:tcPr>
            <w:tcW w:w="5386" w:type="dxa"/>
            <w:vAlign w:val="center"/>
          </w:tcPr>
          <w:p>
            <w:pPr>
              <w:pStyle w:val="单元格样式2"/>
            </w:pPr>
            <w:r>
              <w:t xml:space="preserve">落地项目方对项目建设服务满意度调查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11、新乐开发区兴业街等道路雨污分流改造工程绩效目标表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130184226AH8WCU9NI3SX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新乐开发区兴业街等道路雨污分流改造工程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用于兴业街等道路雨污分流改造工作资金支出，保障白洋淀上游流域生态环境治理和保护。</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100.00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1.顺利完成兴业街等道路雨污分流改造工作，保障白洋淀上游流域生态环境治理和保护。</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工程施工质量</w:t>
            </w:r>
          </w:p>
        </w:tc>
        <w:tc>
          <w:tcPr>
            <w:tcW w:w="5386" w:type="dxa"/>
            <w:vAlign w:val="center"/>
          </w:tcPr>
          <w:p>
            <w:pPr>
              <w:pStyle w:val="单元格样式2"/>
            </w:pPr>
            <w:r>
              <w:t xml:space="preserve">工程质量是否符合规范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开发区企业道路排水情况</w:t>
            </w:r>
          </w:p>
        </w:tc>
        <w:tc>
          <w:tcPr>
            <w:tcW w:w="5386" w:type="dxa"/>
            <w:vAlign w:val="center"/>
          </w:tcPr>
          <w:p>
            <w:pPr>
              <w:pStyle w:val="单元格样式2"/>
            </w:pPr>
            <w:r>
              <w:t xml:space="preserve">完成雨污分流后保证开发区企业、道路排水需求率</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长期使用情况</w:t>
            </w:r>
          </w:p>
        </w:tc>
        <w:tc>
          <w:tcPr>
            <w:tcW w:w="5386" w:type="dxa"/>
            <w:vAlign w:val="center"/>
          </w:tcPr>
          <w:p>
            <w:pPr>
              <w:pStyle w:val="单元格样式2"/>
            </w:pPr>
            <w:r>
              <w:t xml:space="preserve">是否正常长期使用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企业满意度</w:t>
            </w:r>
          </w:p>
        </w:tc>
        <w:tc>
          <w:tcPr>
            <w:tcW w:w="5386" w:type="dxa"/>
            <w:vAlign w:val="center"/>
          </w:tcPr>
          <w:p>
            <w:pPr>
              <w:pStyle w:val="单元格样式2"/>
            </w:pPr>
            <w:r>
              <w:t xml:space="preserve">企业对开发区排水管网满意度调查</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12、兴华街雨水提升泵站及管网工程绩效目标表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130184197IO6QDBCSCVW6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兴华街雨水提升泵站及管网工程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34.60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34.60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用于支付兴华街雨水提升泵站及管网工程建设资金，提升开发区兴华街雨水管网的排水能力。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34.60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1.按照市政府工作安排和领导批示，完成兴华街雨水提升泵站及管网工程的建设，提升开发区兴华街雨水管网的排水能力。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是否按时完工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合同约定和实际情况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实际成本占计划成本的比率</w:t>
            </w:r>
          </w:p>
        </w:tc>
        <w:tc>
          <w:tcPr>
            <w:tcW w:w="2268" w:type="dxa"/>
            <w:vAlign w:val="center"/>
          </w:tcPr>
          <w:p>
            <w:pPr>
              <w:pStyle w:val="单元格样式2"/>
            </w:pPr>
            <w:r>
              <w:t xml:space="preserve">≤100%</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社会影响情况</w:t>
            </w:r>
          </w:p>
        </w:tc>
        <w:tc>
          <w:tcPr>
            <w:tcW w:w="5386" w:type="dxa"/>
            <w:vAlign w:val="center"/>
          </w:tcPr>
          <w:p>
            <w:pPr>
              <w:pStyle w:val="单元格样式2"/>
            </w:pPr>
            <w:r>
              <w:t xml:space="preserve">是否得到广大群众、企业的认可</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持续使用情况</w:t>
            </w:r>
          </w:p>
        </w:tc>
        <w:tc>
          <w:tcPr>
            <w:tcW w:w="5386" w:type="dxa"/>
            <w:vAlign w:val="center"/>
          </w:tcPr>
          <w:p>
            <w:pPr>
              <w:pStyle w:val="单元格样式2"/>
            </w:pPr>
            <w:r>
              <w:t xml:space="preserve">建成后是否持续使用</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13、招商服务中心和政务服务中心建设工程绩效目标表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1301842336VYM674BGIA3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招商服务中心和政务服务中心建设工程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141.58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141.58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用于招商服务中心和政务服务中心建设工程资金支付，保障招商引资，促进项目落地。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141.58</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1.按照市政府工作安排，实施了招商服务中心和政务服务中心建设工程，保障招商引资，促进项目落地，服务项目建设。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工程完成率</w:t>
            </w:r>
          </w:p>
        </w:tc>
        <w:tc>
          <w:tcPr>
            <w:tcW w:w="5386" w:type="dxa"/>
            <w:vAlign w:val="center"/>
          </w:tcPr>
          <w:p>
            <w:pPr>
              <w:pStyle w:val="单元格样式2"/>
            </w:pPr>
            <w:r>
              <w:t xml:space="preserve">实际完成工程量占计划完成工程量的比率</w:t>
            </w:r>
          </w:p>
        </w:tc>
        <w:tc>
          <w:tcPr>
            <w:tcW w:w="2268" w:type="dxa"/>
            <w:vAlign w:val="center"/>
          </w:tcPr>
          <w:p>
            <w:pPr>
              <w:pStyle w:val="单元格样式2"/>
            </w:pPr>
            <w:r>
              <w:t xml:space="preserve">≥98%</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施工质量</w:t>
            </w:r>
          </w:p>
        </w:tc>
        <w:tc>
          <w:tcPr>
            <w:tcW w:w="5386" w:type="dxa"/>
            <w:vAlign w:val="center"/>
          </w:tcPr>
          <w:p>
            <w:pPr>
              <w:pStyle w:val="单元格样式2"/>
            </w:pPr>
            <w:r>
              <w:t xml:space="preserve">质量是否符合规范</w:t>
            </w:r>
          </w:p>
        </w:tc>
        <w:tc>
          <w:tcPr>
            <w:tcW w:w="2268" w:type="dxa"/>
            <w:vAlign w:val="center"/>
          </w:tcPr>
          <w:p>
            <w:pPr>
              <w:pStyle w:val="单元格样式2"/>
            </w:pPr>
            <w:r>
              <w:t xml:space="preserve">是</w:t>
            </w:r>
          </w:p>
        </w:tc>
        <w:tc>
          <w:tcPr>
            <w:tcW w:w="1276" w:type="dxa"/>
            <w:vAlign w:val="center"/>
          </w:tcPr>
          <w:p>
            <w:pPr>
              <w:pStyle w:val="单元格样式2"/>
            </w:pPr>
            <w:r>
              <w:t xml:space="preserve">行业标准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完成进度</w:t>
            </w:r>
          </w:p>
        </w:tc>
        <w:tc>
          <w:tcPr>
            <w:tcW w:w="5386" w:type="dxa"/>
            <w:vAlign w:val="center"/>
          </w:tcPr>
          <w:p>
            <w:pPr>
              <w:pStyle w:val="单元格样式2"/>
            </w:pPr>
            <w:r>
              <w:t xml:space="preserve">是否在合同约定时间内完工</w:t>
            </w:r>
          </w:p>
        </w:tc>
        <w:tc>
          <w:tcPr>
            <w:tcW w:w="2268" w:type="dxa"/>
            <w:vAlign w:val="center"/>
          </w:tcPr>
          <w:p>
            <w:pPr>
              <w:pStyle w:val="单元格样式2"/>
            </w:pPr>
            <w:r>
              <w:t xml:space="preserve">是</w:t>
            </w:r>
          </w:p>
        </w:tc>
        <w:tc>
          <w:tcPr>
            <w:tcW w:w="1276" w:type="dxa"/>
            <w:vAlign w:val="center"/>
          </w:tcPr>
          <w:p>
            <w:pPr>
              <w:pStyle w:val="单元格样式2"/>
            </w:pPr>
            <w:r>
              <w:t xml:space="preserve">合同约定</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实际成本金额</w:t>
            </w:r>
          </w:p>
        </w:tc>
        <w:tc>
          <w:tcPr>
            <w:tcW w:w="2268" w:type="dxa"/>
            <w:vAlign w:val="center"/>
          </w:tcPr>
          <w:p>
            <w:pPr>
              <w:pStyle w:val="单元格样式2"/>
            </w:pPr>
            <w:r>
              <w:t xml:space="preserve">≤700万元</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使用保障率</w:t>
            </w:r>
          </w:p>
        </w:tc>
        <w:tc>
          <w:tcPr>
            <w:tcW w:w="5386" w:type="dxa"/>
            <w:vAlign w:val="center"/>
          </w:tcPr>
          <w:p>
            <w:pPr>
              <w:pStyle w:val="单元格样式2"/>
            </w:pPr>
            <w:r>
              <w:t xml:space="preserve">招商服务中心和政务服务中心是否满足使用率</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综合利用率</w:t>
            </w:r>
          </w:p>
        </w:tc>
        <w:tc>
          <w:tcPr>
            <w:tcW w:w="5386" w:type="dxa"/>
            <w:vAlign w:val="center"/>
          </w:tcPr>
          <w:p>
            <w:pPr>
              <w:pStyle w:val="单元格样式2"/>
            </w:pPr>
            <w:r>
              <w:t xml:space="preserve">建成后持续利用、使用情况</w:t>
            </w:r>
          </w:p>
        </w:tc>
        <w:tc>
          <w:tcPr>
            <w:tcW w:w="2268" w:type="dxa"/>
            <w:vAlign w:val="center"/>
          </w:tcPr>
          <w:p>
            <w:pPr>
              <w:pStyle w:val="单元格样式2"/>
            </w:pPr>
            <w:r>
              <w:t xml:space="preserve">是</w:t>
            </w:r>
          </w:p>
        </w:tc>
        <w:tc>
          <w:tcPr>
            <w:tcW w:w="1276" w:type="dxa"/>
            <w:vAlign w:val="center"/>
          </w:tcPr>
          <w:p>
            <w:pPr>
              <w:pStyle w:val="单元格样式2"/>
            </w:pPr>
            <w:r>
              <w:t xml:space="preserve">测算标准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开发区企业、项目满意度</w:t>
            </w:r>
          </w:p>
        </w:tc>
        <w:tc>
          <w:tcPr>
            <w:tcW w:w="5386" w:type="dxa"/>
            <w:vAlign w:val="center"/>
          </w:tcPr>
          <w:p>
            <w:pPr>
              <w:pStyle w:val="单元格样式2"/>
            </w:pPr>
            <w:r>
              <w:t xml:space="preserve">开发区企业、项目满意度</w:t>
            </w:r>
          </w:p>
        </w:tc>
        <w:tc>
          <w:tcPr>
            <w:tcW w:w="2268" w:type="dxa"/>
            <w:vAlign w:val="center"/>
          </w:tcPr>
          <w:p>
            <w:pPr>
              <w:pStyle w:val="单元格样式2"/>
            </w:pPr>
            <w:r>
              <w:t xml:space="preserve">≥95%</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河北新乐经济开发区管理委员会（含所属单位）上年末固定资产金额为677.35万元（详见下表）。本年度拟购置固定资产总额为0.00万元，已按要求列入政府采购预算，详见政府采购预算表。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976河北新乐经济开发区管理委员会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677.35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1151.87</w:t>
            </w:r>
          </w:p>
        </w:tc>
        <w:tc>
          <w:tcPr>
            <w:tcW w:w="2835" w:type="dxa"/>
            <w:vAlign w:val="center"/>
          </w:tcPr>
          <w:p>
            <w:pPr>
              <w:pStyle w:val="单元格样式4"/>
            </w:pPr>
            <w:r>
              <w:t xml:space="preserve">316.50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2.10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1</w:t>
            </w:r>
          </w:p>
        </w:tc>
        <w:tc>
          <w:tcPr>
            <w:tcW w:w="2835" w:type="dxa"/>
            <w:vAlign w:val="center"/>
          </w:tcPr>
          <w:p>
            <w:pPr>
              <w:pStyle w:val="单元格样式4"/>
            </w:pPr>
            <w:r>
              <w:t xml:space="preserve">97.93</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w:t>
            </w:r>
          </w:p>
        </w:tc>
        <w:tc>
          <w:tcPr>
            <w:tcW w:w="2835" w:type="dxa"/>
            <w:vAlign w:val="center"/>
          </w:tcPr>
          <w:p>
            <w:pPr>
              <w:pStyle w:val="单元格样式4"/>
            </w:pPr>
            <w:r>
              <w:t xml:space="preserve">260.82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2026-03-05T16:26:31Z</dcterms:created>
  <dcterms:modified xsi:type="dcterms:W3CDTF">2026-03-05T16:26:31Z</dcterms:modified>
</cp:coreProperties>
</file>