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84731D">
      <w:pPr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hint="eastAsia" w:ascii="Times New Roman" w:hAnsi="Times New Roman" w:eastAsia="方正小标宋_GBK" w:cs="Times New Roman"/>
          <w:sz w:val="52"/>
          <w:szCs w:val="52"/>
          <w:lang w:eastAsia="zh-CN"/>
        </w:rPr>
        <w:t>2026年</w:t>
      </w:r>
      <w:r>
        <w:rPr>
          <w:rFonts w:hint="eastAsia" w:ascii="Times New Roman" w:hAnsi="Times New Roman" w:eastAsia="方正小标宋_GBK" w:cs="Times New Roman"/>
          <w:sz w:val="52"/>
          <w:szCs w:val="52"/>
        </w:rPr>
        <w:t>政府</w:t>
      </w:r>
      <w:r>
        <w:rPr>
          <w:rFonts w:ascii="Times New Roman" w:hAnsi="Times New Roman" w:eastAsia="方正小标宋_GBK" w:cs="Times New Roman"/>
          <w:sz w:val="52"/>
          <w:szCs w:val="52"/>
        </w:rPr>
        <w:t>预算公开</w:t>
      </w:r>
      <w:r>
        <w:rPr>
          <w:rFonts w:hint="eastAsia" w:ascii="Times New Roman" w:hAnsi="Times New Roman" w:eastAsia="方正小标宋_GBK" w:cs="Times New Roman"/>
          <w:sz w:val="52"/>
          <w:szCs w:val="52"/>
        </w:rPr>
        <w:t>目录</w:t>
      </w:r>
    </w:p>
    <w:p w14:paraId="6F4B0090">
      <w:pPr>
        <w:spacing w:line="380" w:lineRule="exact"/>
        <w:jc w:val="center"/>
        <w:rPr>
          <w:rFonts w:ascii="Times New Roman" w:hAnsi="Times New Roman" w:eastAsia="方正小标宋_GBK" w:cs="Times New Roman"/>
          <w:sz w:val="36"/>
          <w:szCs w:val="36"/>
        </w:rPr>
      </w:pPr>
    </w:p>
    <w:p w14:paraId="211E9DCD"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§1   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 xml:space="preserve"> 新乐市关于2025年市预算执行情况和2026年市预算（草案）的报告（</w:t>
      </w:r>
      <w:r>
        <w:rPr>
          <w:rFonts w:hint="eastAsia" w:ascii="Times New Roman" w:hAnsi="Times New Roman" w:eastAsia="楷体" w:cs="Times New Roman"/>
          <w:b w:val="0"/>
          <w:bCs/>
          <w:color w:val="auto"/>
          <w:highlight w:val="none"/>
          <w:shd w:val="clear" w:color="auto" w:fill="auto"/>
          <w:lang w:eastAsia="zh-CN"/>
        </w:rPr>
        <w:t>2026年2月2日在新乐市第七届人民代表大会第七次会议上</w:t>
      </w:r>
      <w:r>
        <w:rPr>
          <w:rFonts w:hint="eastAsia" w:ascii="Times New Roman" w:hAnsi="Times New Roman" w:eastAsia="方正仿宋_GBK" w:cs="Times New Roman"/>
          <w:sz w:val="32"/>
          <w:szCs w:val="32"/>
          <w:highlight w:val="none"/>
          <w:lang w:val="en-US" w:eastAsia="zh-CN"/>
        </w:rPr>
        <w:t>）</w:t>
      </w:r>
    </w:p>
    <w:p w14:paraId="7C04E109">
      <w:pPr>
        <w:adjustRightInd w:val="0"/>
        <w:snapToGrid w:val="0"/>
        <w:spacing w:line="580" w:lineRule="exact"/>
        <w:ind w:firstLine="643" w:firstLineChars="200"/>
        <w:rPr>
          <w:rFonts w:ascii="Times New Roman" w:hAnsi="Times New Roman" w:eastAsia="方正仿宋_GBK" w:cs="Times New Roman"/>
          <w:b/>
          <w:bCs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公开报表</w:t>
      </w:r>
    </w:p>
    <w:p w14:paraId="54C7282D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</w:rPr>
        <w:t>一般公共预算收入表</w:t>
      </w:r>
    </w:p>
    <w:p w14:paraId="33EA58BA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</w:rPr>
        <w:t>一般公共预算支出表</w:t>
      </w:r>
    </w:p>
    <w:p w14:paraId="3061EE6A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-3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一般公共预算本级支出功能分类表</w:t>
      </w:r>
    </w:p>
    <w:p w14:paraId="0DA40695"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-4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一般公共预算本级基本支出经济分类表</w:t>
      </w:r>
    </w:p>
    <w:p w14:paraId="2BCAA627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w w:val="95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-5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</w:t>
      </w:r>
      <w:r>
        <w:rPr>
          <w:rFonts w:ascii="Times New Roman" w:hAnsi="Times New Roman" w:eastAsia="方正仿宋_GBK" w:cs="Times New Roman"/>
          <w:w w:val="95"/>
          <w:sz w:val="32"/>
          <w:szCs w:val="32"/>
        </w:rPr>
        <w:t>一般公共预算税收返还、</w:t>
      </w:r>
      <w:r>
        <w:rPr>
          <w:rFonts w:hint="eastAsia" w:ascii="Times New Roman" w:hAnsi="Times New Roman" w:eastAsia="方正仿宋_GBK" w:cs="Times New Roman"/>
          <w:w w:val="95"/>
          <w:sz w:val="32"/>
          <w:szCs w:val="32"/>
        </w:rPr>
        <w:t>一般性</w:t>
      </w:r>
      <w:r>
        <w:rPr>
          <w:rFonts w:ascii="Times New Roman" w:hAnsi="Times New Roman" w:eastAsia="方正仿宋_GBK" w:cs="Times New Roman"/>
          <w:w w:val="95"/>
          <w:sz w:val="32"/>
          <w:szCs w:val="32"/>
        </w:rPr>
        <w:t>转移支付分地区安排情况表</w:t>
      </w:r>
    </w:p>
    <w:p w14:paraId="208D0E73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w w:val="95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-6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</w:t>
      </w:r>
      <w:r>
        <w:rPr>
          <w:rFonts w:ascii="Times New Roman" w:hAnsi="Times New Roman" w:eastAsia="方正仿宋_GBK" w:cs="Times New Roman"/>
          <w:w w:val="95"/>
          <w:sz w:val="32"/>
          <w:szCs w:val="32"/>
        </w:rPr>
        <w:t>一般公共预算税收返还、</w:t>
      </w:r>
      <w:r>
        <w:rPr>
          <w:rFonts w:hint="eastAsia" w:ascii="Times New Roman" w:hAnsi="Times New Roman" w:eastAsia="方正仿宋_GBK" w:cs="Times New Roman"/>
          <w:w w:val="95"/>
          <w:sz w:val="32"/>
          <w:szCs w:val="32"/>
        </w:rPr>
        <w:t>一般性</w:t>
      </w:r>
      <w:r>
        <w:rPr>
          <w:rFonts w:ascii="Times New Roman" w:hAnsi="Times New Roman" w:eastAsia="方正仿宋_GBK" w:cs="Times New Roman"/>
          <w:w w:val="95"/>
          <w:sz w:val="32"/>
          <w:szCs w:val="32"/>
        </w:rPr>
        <w:t>转移支付分</w:t>
      </w:r>
      <w:r>
        <w:rPr>
          <w:rFonts w:hint="eastAsia" w:ascii="Times New Roman" w:hAnsi="Times New Roman" w:eastAsia="方正仿宋_GBK" w:cs="Times New Roman"/>
          <w:w w:val="95"/>
          <w:sz w:val="32"/>
          <w:szCs w:val="32"/>
          <w:lang w:val="en-US" w:eastAsia="zh-CN"/>
        </w:rPr>
        <w:t>项目</w:t>
      </w:r>
      <w:r>
        <w:rPr>
          <w:rFonts w:ascii="Times New Roman" w:hAnsi="Times New Roman" w:eastAsia="方正仿宋_GBK" w:cs="Times New Roman"/>
          <w:w w:val="95"/>
          <w:sz w:val="32"/>
          <w:szCs w:val="32"/>
        </w:rPr>
        <w:t>安排情况表</w:t>
      </w:r>
    </w:p>
    <w:p w14:paraId="6BCD7654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w w:val="95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-7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</w:t>
      </w:r>
      <w:r>
        <w:rPr>
          <w:rFonts w:ascii="Times New Roman" w:hAnsi="Times New Roman" w:eastAsia="方正仿宋_GBK" w:cs="Times New Roman"/>
          <w:sz w:val="32"/>
          <w:szCs w:val="32"/>
        </w:rPr>
        <w:t>一般公共预算专项转移支付分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地区</w:t>
      </w:r>
      <w:r>
        <w:rPr>
          <w:rFonts w:ascii="Times New Roman" w:hAnsi="Times New Roman" w:eastAsia="方正仿宋_GBK" w:cs="Times New Roman"/>
          <w:sz w:val="32"/>
          <w:szCs w:val="32"/>
        </w:rPr>
        <w:t>安排情况表</w:t>
      </w:r>
    </w:p>
    <w:p w14:paraId="3752220A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-8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</w:t>
      </w:r>
      <w:r>
        <w:rPr>
          <w:rFonts w:ascii="Times New Roman" w:hAnsi="Times New Roman" w:eastAsia="方正仿宋_GBK" w:cs="Times New Roman"/>
          <w:sz w:val="32"/>
          <w:szCs w:val="32"/>
        </w:rPr>
        <w:t>一般公共预算专项转移支付分项目安排情况表</w:t>
      </w:r>
    </w:p>
    <w:p w14:paraId="6F6E76CE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-9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</w:t>
      </w:r>
      <w:r>
        <w:rPr>
          <w:rFonts w:ascii="Times New Roman" w:hAnsi="Times New Roman" w:eastAsia="方正仿宋_GBK" w:cs="Times New Roman"/>
          <w:sz w:val="32"/>
          <w:szCs w:val="32"/>
        </w:rPr>
        <w:t>政府性基金预算收入表</w:t>
      </w:r>
    </w:p>
    <w:p w14:paraId="4FCCD949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0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政府性基金预算支出表</w:t>
      </w:r>
    </w:p>
    <w:p w14:paraId="46F691E3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1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</w:t>
      </w:r>
      <w:r>
        <w:rPr>
          <w:rFonts w:ascii="Times New Roman" w:hAnsi="Times New Roman" w:eastAsia="方正仿宋_GBK" w:cs="Times New Roman"/>
          <w:sz w:val="32"/>
          <w:szCs w:val="32"/>
        </w:rPr>
        <w:t>政府性基金预算本级支出表</w:t>
      </w:r>
    </w:p>
    <w:p w14:paraId="510411E1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政府性基金预算专项转移支付分地区安排情况表</w:t>
      </w:r>
    </w:p>
    <w:p w14:paraId="16C9AD29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3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政府性基金预算专项转移支付分项目安排情况表</w:t>
      </w:r>
    </w:p>
    <w:p w14:paraId="0D1E7D68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4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国有资本经营预算收入表</w:t>
      </w:r>
    </w:p>
    <w:p w14:paraId="5A05B489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5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国有资本经营预算支出表</w:t>
      </w:r>
    </w:p>
    <w:p w14:paraId="3289DEE0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6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国有资本经营预算本级支出表</w:t>
      </w:r>
    </w:p>
    <w:p w14:paraId="5A6A3B58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7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国有资本经营预算专项转移支付分地区安排情况表</w:t>
      </w:r>
    </w:p>
    <w:p w14:paraId="7EB4C922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8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国有资本经营预算专项转移支付分项目安排情况表</w:t>
      </w:r>
    </w:p>
    <w:p w14:paraId="24803762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9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社会保险基金预算收入表</w:t>
      </w:r>
    </w:p>
    <w:p w14:paraId="14EC7578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20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ascii="Times New Roman" w:hAnsi="Times New Roman" w:eastAsia="方正仿宋_GBK" w:cs="Times New Roman"/>
          <w:sz w:val="32"/>
          <w:szCs w:val="32"/>
        </w:rPr>
        <w:t>社会保险基金预算支出表</w:t>
      </w:r>
    </w:p>
    <w:p w14:paraId="02A1411A"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2025年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地方政府债务限额及余额预算情况表</w:t>
      </w:r>
    </w:p>
    <w:p w14:paraId="75612780"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2025年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地方政府一般债务余额情况表</w:t>
      </w:r>
    </w:p>
    <w:p w14:paraId="7E2ED4FD"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  2025年地方政府专项债务余额情况表</w:t>
      </w:r>
    </w:p>
    <w:p w14:paraId="7E075AA0"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  地方政府债券发行及还本付息情况表</w:t>
      </w:r>
    </w:p>
    <w:p w14:paraId="3C22E6D0"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  2026年地方政府债务限额提前下达情况表</w:t>
      </w:r>
    </w:p>
    <w:p w14:paraId="49EB6E0C"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6  2026年使用新增地方政府债务资金安排表</w:t>
      </w:r>
    </w:p>
    <w:p w14:paraId="179B8E33">
      <w:pPr>
        <w:adjustRightInd w:val="0"/>
        <w:snapToGrid w:val="0"/>
        <w:spacing w:line="58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27  2026年地方政府再融资债券分月发行安排表</w:t>
      </w:r>
    </w:p>
    <w:p w14:paraId="16EC5B8F">
      <w:pPr>
        <w:adjustRightInd w:val="0"/>
        <w:snapToGrid w:val="0"/>
        <w:spacing w:line="580" w:lineRule="exact"/>
        <w:ind w:firstLine="643" w:firstLineChars="200"/>
        <w:rPr>
          <w:rFonts w:hint="eastAsia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公开事项说明</w:t>
      </w:r>
    </w:p>
    <w:p w14:paraId="35649AC5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3</w:t>
      </w:r>
      <w:r>
        <w:rPr>
          <w:rFonts w:ascii="Times New Roman" w:hAnsi="Times New Roman" w:eastAsia="方正仿宋_GBK" w:cs="Times New Roman"/>
          <w:sz w:val="32"/>
          <w:szCs w:val="32"/>
        </w:rPr>
        <w:t>-1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三公经费安排情况说明</w:t>
      </w:r>
    </w:p>
    <w:p w14:paraId="3732AAAF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3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2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举借债务情况说明</w:t>
      </w:r>
    </w:p>
    <w:p w14:paraId="6358868E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3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3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财政转移支付安排情况说明</w:t>
      </w:r>
    </w:p>
    <w:p w14:paraId="3DAB4AFA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3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4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本级政府采购情况说明</w:t>
      </w:r>
    </w:p>
    <w:p w14:paraId="31B25807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3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5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绩效预算工作开展情况说明</w:t>
      </w:r>
    </w:p>
    <w:p w14:paraId="16F3D393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3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6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重大政策和重点项目等绩效目标</w:t>
      </w:r>
    </w:p>
    <w:p w14:paraId="405293F7">
      <w:pPr>
        <w:adjustRightInd w:val="0"/>
        <w:snapToGrid w:val="0"/>
        <w:spacing w:line="58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§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3</w:t>
      </w:r>
      <w:r>
        <w:rPr>
          <w:rFonts w:ascii="Times New Roman" w:hAnsi="Times New Roman" w:eastAsia="方正仿宋_GBK" w:cs="Times New Roman"/>
          <w:sz w:val="32"/>
          <w:szCs w:val="32"/>
        </w:rPr>
        <w:t>-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  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其他重要事项的解释说明</w:t>
      </w:r>
    </w:p>
    <w:sectPr>
      <w:pgSz w:w="11906" w:h="16838"/>
      <w:pgMar w:top="1871" w:right="1304" w:bottom="175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TlhOWI2YTk5OWFkNDMwYjNhZmJjMWU1MWRmNmRkNTkifQ=="/>
  </w:docVars>
  <w:rsids>
    <w:rsidRoot w:val="00A61619"/>
    <w:rsid w:val="00000994"/>
    <w:rsid w:val="00003A32"/>
    <w:rsid w:val="00010984"/>
    <w:rsid w:val="00024359"/>
    <w:rsid w:val="00065463"/>
    <w:rsid w:val="000702EA"/>
    <w:rsid w:val="00096491"/>
    <w:rsid w:val="000A6581"/>
    <w:rsid w:val="000B0A1D"/>
    <w:rsid w:val="000D1A4C"/>
    <w:rsid w:val="000F65FF"/>
    <w:rsid w:val="00126AFE"/>
    <w:rsid w:val="00134A40"/>
    <w:rsid w:val="00154949"/>
    <w:rsid w:val="00182329"/>
    <w:rsid w:val="001E2818"/>
    <w:rsid w:val="0021328D"/>
    <w:rsid w:val="002234BA"/>
    <w:rsid w:val="00262CA7"/>
    <w:rsid w:val="00263B76"/>
    <w:rsid w:val="002723FF"/>
    <w:rsid w:val="00272606"/>
    <w:rsid w:val="0032741C"/>
    <w:rsid w:val="00345588"/>
    <w:rsid w:val="0039450D"/>
    <w:rsid w:val="003C76F1"/>
    <w:rsid w:val="0040348C"/>
    <w:rsid w:val="0041060F"/>
    <w:rsid w:val="004226B8"/>
    <w:rsid w:val="00433A50"/>
    <w:rsid w:val="004514E0"/>
    <w:rsid w:val="00451802"/>
    <w:rsid w:val="004852F4"/>
    <w:rsid w:val="004B4F53"/>
    <w:rsid w:val="004B621A"/>
    <w:rsid w:val="004E27F0"/>
    <w:rsid w:val="004E47AD"/>
    <w:rsid w:val="004F0542"/>
    <w:rsid w:val="00503C24"/>
    <w:rsid w:val="005217D0"/>
    <w:rsid w:val="005220EB"/>
    <w:rsid w:val="00522A10"/>
    <w:rsid w:val="00533DEE"/>
    <w:rsid w:val="00571D97"/>
    <w:rsid w:val="00581016"/>
    <w:rsid w:val="005A4DD2"/>
    <w:rsid w:val="005C3CE7"/>
    <w:rsid w:val="005D2E76"/>
    <w:rsid w:val="005D5D4E"/>
    <w:rsid w:val="005E6CA3"/>
    <w:rsid w:val="005F5DCD"/>
    <w:rsid w:val="006323A1"/>
    <w:rsid w:val="00637A7F"/>
    <w:rsid w:val="00692D69"/>
    <w:rsid w:val="006E2B8F"/>
    <w:rsid w:val="00713697"/>
    <w:rsid w:val="00713E30"/>
    <w:rsid w:val="00723B3A"/>
    <w:rsid w:val="00733901"/>
    <w:rsid w:val="007550E1"/>
    <w:rsid w:val="00782B6E"/>
    <w:rsid w:val="007D0B6F"/>
    <w:rsid w:val="0080224F"/>
    <w:rsid w:val="0083458D"/>
    <w:rsid w:val="0084411C"/>
    <w:rsid w:val="008511B9"/>
    <w:rsid w:val="00864FCE"/>
    <w:rsid w:val="008771E5"/>
    <w:rsid w:val="008A42DA"/>
    <w:rsid w:val="009015EB"/>
    <w:rsid w:val="0095088D"/>
    <w:rsid w:val="009D1452"/>
    <w:rsid w:val="00A52ED7"/>
    <w:rsid w:val="00A61619"/>
    <w:rsid w:val="00A72D74"/>
    <w:rsid w:val="00AD146A"/>
    <w:rsid w:val="00AF6B10"/>
    <w:rsid w:val="00B13473"/>
    <w:rsid w:val="00B13A2E"/>
    <w:rsid w:val="00B84A35"/>
    <w:rsid w:val="00BF3DAF"/>
    <w:rsid w:val="00C06A1F"/>
    <w:rsid w:val="00C17B55"/>
    <w:rsid w:val="00C709BB"/>
    <w:rsid w:val="00CD47B4"/>
    <w:rsid w:val="00D15BE2"/>
    <w:rsid w:val="00D175FE"/>
    <w:rsid w:val="00D65405"/>
    <w:rsid w:val="00D66E26"/>
    <w:rsid w:val="00D75486"/>
    <w:rsid w:val="00D76798"/>
    <w:rsid w:val="00DA1AE3"/>
    <w:rsid w:val="00DA3FC6"/>
    <w:rsid w:val="00E77F53"/>
    <w:rsid w:val="00E84C3E"/>
    <w:rsid w:val="00ED21AF"/>
    <w:rsid w:val="00EE053A"/>
    <w:rsid w:val="00EF3863"/>
    <w:rsid w:val="00F011E9"/>
    <w:rsid w:val="00F22D43"/>
    <w:rsid w:val="00F60BEB"/>
    <w:rsid w:val="00F634B5"/>
    <w:rsid w:val="00F7095E"/>
    <w:rsid w:val="00FA50F7"/>
    <w:rsid w:val="00FC38F9"/>
    <w:rsid w:val="00FD0C10"/>
    <w:rsid w:val="00FE360C"/>
    <w:rsid w:val="00FF0EEF"/>
    <w:rsid w:val="0F87782E"/>
    <w:rsid w:val="1AFB2AB1"/>
    <w:rsid w:val="30BB7479"/>
    <w:rsid w:val="35607678"/>
    <w:rsid w:val="37DB20D9"/>
    <w:rsid w:val="38B97EEB"/>
    <w:rsid w:val="3B2E1625"/>
    <w:rsid w:val="42EA588F"/>
    <w:rsid w:val="43FE4E88"/>
    <w:rsid w:val="44DB14A6"/>
    <w:rsid w:val="4C75759B"/>
    <w:rsid w:val="4DE30BA3"/>
    <w:rsid w:val="51045BDC"/>
    <w:rsid w:val="578024A6"/>
    <w:rsid w:val="5C0802C2"/>
    <w:rsid w:val="5DBB54B4"/>
    <w:rsid w:val="62757B26"/>
    <w:rsid w:val="6F700014"/>
    <w:rsid w:val="786A251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2</Pages>
  <Words>607</Words>
  <Characters>755</Characters>
  <Lines>3</Lines>
  <Paragraphs>1</Paragraphs>
  <TotalTime>25</TotalTime>
  <ScaleCrop>false</ScaleCrop>
  <LinksUpToDate>false</LinksUpToDate>
  <CharactersWithSpaces>840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2016-05-22T11:32:00Z</dcterms:created>
  <dc:creator>[预算局][李宏儒]</dc:creator>
  <cp:lastModifiedBy>Administrator</cp:lastModifiedBy>
  <cp:lastPrinted>2016-06-03T08:08:00Z</cp:lastPrinted>
  <dcterms:modified xsi:type="dcterms:W3CDTF">2026-03-06T02:38:07Z</dcterms:modified>
  <cp:revision>69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189B95E36BFC486DA6D8000086AEC45E</vt:lpwstr>
  </property>
</Properties>
</file>