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sz w:val="44"/>
          <w:highlight w:val="none"/>
        </w:rPr>
      </w:pPr>
      <w:bookmarkStart w:id="2" w:name="_GoBack"/>
      <w:bookmarkEnd w:id="2"/>
      <w:r>
        <w:rPr>
          <w:rFonts w:hint="eastAsia" w:ascii="方正小标宋_GBK" w:hAnsi="Times New Roman" w:eastAsia="方正小标宋_GBK" w:cs="Times New Roman"/>
          <w:sz w:val="44"/>
          <w:highlight w:val="none"/>
        </w:rPr>
        <w:t>新乐市财政局</w:t>
      </w:r>
    </w:p>
    <w:p>
      <w:pPr>
        <w:adjustRightInd w:val="0"/>
        <w:snapToGrid w:val="0"/>
        <w:jc w:val="center"/>
        <w:rPr>
          <w:rFonts w:hint="eastAsia" w:ascii="方正小标宋_GBK" w:hAnsi="Times New Roman" w:eastAsia="方正小标宋_GBK" w:cs="Times New Roman"/>
          <w:sz w:val="44"/>
          <w:highlight w:val="none"/>
        </w:rPr>
      </w:pPr>
      <w:r>
        <w:rPr>
          <w:rFonts w:hint="eastAsia" w:ascii="方正小标宋_GBK" w:hAnsi="Times New Roman" w:eastAsia="方正小标宋_GBK" w:cs="Times New Roman"/>
          <w:sz w:val="44"/>
          <w:highlight w:val="none"/>
        </w:rPr>
        <w:t>201</w:t>
      </w:r>
      <w:r>
        <w:rPr>
          <w:rFonts w:hint="eastAsia" w:ascii="方正小标宋_GBK" w:hAnsi="Times New Roman" w:eastAsia="方正小标宋_GBK" w:cs="Times New Roman"/>
          <w:sz w:val="44"/>
          <w:highlight w:val="none"/>
          <w:lang w:val="en-US" w:eastAsia="zh-CN"/>
        </w:rPr>
        <w:t>9</w:t>
      </w:r>
      <w:r>
        <w:rPr>
          <w:rFonts w:hint="eastAsia" w:ascii="方正小标宋_GBK" w:hAnsi="Times New Roman" w:eastAsia="方正小标宋_GBK" w:cs="Times New Roman"/>
          <w:sz w:val="44"/>
          <w:highlight w:val="none"/>
        </w:rPr>
        <w:t>年</w:t>
      </w:r>
      <w:r>
        <w:rPr>
          <w:rFonts w:hint="eastAsia" w:ascii="方正小标宋_GBK" w:eastAsia="方正小标宋_GBK"/>
          <w:sz w:val="44"/>
          <w:highlight w:val="none"/>
        </w:rPr>
        <w:t>部门预算信息公开情况说明</w:t>
      </w:r>
    </w:p>
    <w:p>
      <w:pPr>
        <w:keepNext w:val="0"/>
        <w:keepLines w:val="0"/>
        <w:pageBreakBefore w:val="0"/>
        <w:kinsoku/>
        <w:wordWrap/>
        <w:overflowPunct/>
        <w:topLinePunct w:val="0"/>
        <w:bidi w:val="0"/>
        <w:snapToGrid/>
        <w:spacing w:line="500" w:lineRule="exact"/>
        <w:jc w:val="center"/>
        <w:rPr>
          <w:rFonts w:hint="eastAsia" w:ascii="宋体" w:hAnsi="宋体" w:cs="宋体"/>
          <w:color w:val="000000"/>
          <w:sz w:val="32"/>
          <w:szCs w:val="32"/>
        </w:rPr>
      </w:pPr>
    </w:p>
    <w:p>
      <w:pPr>
        <w:ind w:firstLine="627" w:firstLineChars="196"/>
        <w:rPr>
          <w:rFonts w:hint="eastAsia" w:eastAsia="方正仿宋_GBK"/>
          <w:sz w:val="28"/>
          <w:highlight w:val="none"/>
          <w:lang w:val="en-US" w:eastAsia="zh-CN"/>
        </w:rPr>
      </w:pPr>
      <w:r>
        <w:rPr>
          <w:rFonts w:hint="eastAsia" w:ascii="仿宋" w:hAnsi="仿宋" w:eastAsia="仿宋" w:cs="仿宋"/>
          <w:color w:val="000000"/>
          <w:sz w:val="32"/>
          <w:szCs w:val="32"/>
        </w:rPr>
        <w:t xml:space="preserve"> </w:t>
      </w:r>
      <w:r>
        <w:rPr>
          <w:rFonts w:hint="eastAsia" w:ascii="仿宋" w:hAnsi="仿宋" w:eastAsia="仿宋" w:cs="仿宋"/>
          <w:color w:val="000000"/>
          <w:sz w:val="28"/>
          <w:szCs w:val="28"/>
        </w:rPr>
        <w:t xml:space="preserve"> </w:t>
      </w:r>
      <w:r>
        <w:rPr>
          <w:rFonts w:hint="eastAsia" w:eastAsia="方正仿宋_GBK"/>
          <w:sz w:val="28"/>
          <w:highlight w:val="none"/>
          <w:lang w:val="en-US" w:eastAsia="zh-CN"/>
        </w:rPr>
        <w:t>按照《中华人民共和国预算法》、《地方预决算公开操作规程》和《河北省省级预算公开办法》规定，现将新乐市财政局</w:t>
      </w:r>
    </w:p>
    <w:p>
      <w:pPr>
        <w:rPr>
          <w:rFonts w:hint="eastAsia" w:ascii="仿宋" w:hAnsi="仿宋" w:eastAsia="仿宋" w:cs="仿宋"/>
          <w:color w:val="000000"/>
          <w:sz w:val="28"/>
          <w:szCs w:val="28"/>
        </w:rPr>
      </w:pPr>
      <w:r>
        <w:rPr>
          <w:rFonts w:hint="eastAsia" w:eastAsia="方正仿宋_GBK"/>
          <w:sz w:val="28"/>
          <w:highlight w:val="none"/>
          <w:lang w:val="en-US" w:eastAsia="zh-CN"/>
        </w:rPr>
        <w:t>2019年部门预算公开如下：</w:t>
      </w:r>
    </w:p>
    <w:p>
      <w:pPr>
        <w:keepNext w:val="0"/>
        <w:keepLines w:val="0"/>
        <w:pageBreakBefore w:val="0"/>
        <w:kinsoku/>
        <w:wordWrap/>
        <w:overflowPunct/>
        <w:topLinePunct w:val="0"/>
        <w:bidi w:val="0"/>
        <w:snapToGrid/>
        <w:spacing w:before="156" w:beforeLines="50" w:after="156" w:afterLines="50" w:line="500" w:lineRule="exact"/>
        <w:ind w:firstLine="640" w:firstLineChars="200"/>
        <w:jc w:val="left"/>
        <w:outlineLvl w:val="2"/>
        <w:rPr>
          <w:rFonts w:hint="eastAsia" w:ascii="黑体" w:hAnsi="黑体" w:eastAsia="黑体" w:cs="Times New Roman"/>
          <w:sz w:val="32"/>
        </w:rPr>
      </w:pPr>
      <w:r>
        <w:rPr>
          <w:rFonts w:hint="eastAsia" w:ascii="黑体" w:hAnsi="黑体" w:eastAsia="黑体" w:cs="Times New Roman"/>
          <w:sz w:val="32"/>
        </w:rPr>
        <w:t>一、部门职责及机构设置情况</w:t>
      </w:r>
    </w:p>
    <w:p>
      <w:pPr>
        <w:keepNext w:val="0"/>
        <w:keepLines w:val="0"/>
        <w:pageBreakBefore w:val="0"/>
        <w:kinsoku/>
        <w:wordWrap/>
        <w:overflowPunct/>
        <w:topLinePunct w:val="0"/>
        <w:bidi w:val="0"/>
        <w:snapToGrid/>
        <w:spacing w:line="500" w:lineRule="exact"/>
        <w:ind w:firstLine="643" w:firstLineChars="200"/>
        <w:jc w:val="left"/>
        <w:rPr>
          <w:rFonts w:hint="eastAsia" w:ascii="Times New Roman" w:hAnsi="Times New Roman" w:eastAsia="方正仿宋_GBK" w:cs="Times New Roman"/>
          <w:sz w:val="28"/>
          <w:highlight w:val="none"/>
          <w:lang w:val="en-US" w:eastAsia="zh-CN"/>
        </w:rPr>
      </w:pPr>
      <w:r>
        <w:rPr>
          <w:rFonts w:hint="eastAsia" w:ascii="方正楷体_GBK" w:hAnsi="Times New Roman" w:eastAsia="方正楷体_GBK" w:cs="Times New Roman"/>
          <w:b/>
          <w:sz w:val="32"/>
          <w:lang w:val="en-US" w:eastAsia="zh-CN"/>
        </w:rPr>
        <w:t>部门职责</w:t>
      </w:r>
      <w:r>
        <w:rPr>
          <w:rFonts w:hint="eastAsia" w:ascii="Times New Roman" w:hAnsi="Times New Roman" w:eastAsia="方正仿宋_GBK" w:cs="Times New Roman"/>
          <w:sz w:val="28"/>
          <w:highlight w:val="none"/>
          <w:lang w:val="en-US" w:eastAsia="zh-CN"/>
        </w:rPr>
        <w:t>：</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仿宋" w:hAnsi="仿宋" w:eastAsia="仿宋" w:cs="仿宋"/>
          <w:sz w:val="28"/>
          <w:szCs w:val="28"/>
          <w:highlight w:val="none"/>
        </w:rPr>
        <w:t>（</w:t>
      </w:r>
      <w:r>
        <w:rPr>
          <w:rFonts w:hint="eastAsia" w:ascii="Times New Roman" w:hAnsi="Times New Roman" w:eastAsia="方正仿宋_GBK" w:cs="Times New Roman"/>
          <w:sz w:val="28"/>
          <w:highlight w:val="none"/>
          <w:lang w:val="en-US" w:eastAsia="zh-CN"/>
        </w:rPr>
        <w:t>一）拟定财税发展战略、规划和改革方案并组织实施；分析预测宏观形势，参与制定各项宏观经济政策，提出运用财税政策实施宏观调控和综合平衡社会财力的建议；拟定市与乡（镇、街道），国家与企业的分配政策，完善鼓励公益事业发展的财税政策。</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（二）起草财政、预算、财务、会计管理的地方性法规草案，制定有关规章制度并监督实施。</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三）承担财政预算管理的责任。负责编制年度市本级预决算草案并组织执行，汇编全市年度预决算草案；受市政府委托，向市人民代表大会报告全市和市本级财政预算及其执行情况，向市人大常委会报告决算；组织制定经费开支标准、定额，负责审核批复部门（单位）的年度预决算。</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（四）承担财政体制管理的责任。拟订县乡（镇、街道）财政管理体制，完善地方转移支付制度。</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（五）承担财政国库管理的责任。组织制定国库管理制度、国库集中收付制度并组织实施，指导和监督市本级国库业务，按规定开展国库现金管理。</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（六）负责政府非税收入和政府性基金管理，按规定管理行政事业性收费；管理财政票据；贯彻实施彩票管理政策，参与制定彩票管理有关办法，参与管理彩票市场，按规定管理彩票资金。</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七）负责组织起草地方性税收法规草案、实施细则和税收政策调整方案；提出上级授权税目税率调整、减免和地方税收政策等重大事项的建议，对地方承担出口退税事务实施监管，监督检查税收政策的执行情况。</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（八）负责制定行政事业单位国有资产管理规章制度，对全市行政事业单位国有资产进行监督管理。</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九）负责办理和监督全市财政经济发展支出、市政府投资项目的财政拨款，参与拟定全市建设投资的有关方案，制定基本建设财务制度；负责有关政策性补贴和专项储备资金财政管理；承担财政投资评审管理工作。</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（十）会同有关部门管理和监督全市财政社会保障、就业及医疗卫生支出，会同有关部门拟订社会保障资金（基金）的财务管理制度，编制社会保障预决算草案。</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一）负责管理市政府的国内外债权、债务。执行国家外债管理政策，拟订具体实施办法；根据有关规定，做好外国政府贷款、国际金融组织贷款的对外谈判与磋商工作；负责财政预算内行政、事业单位和社会团体的非贸易外汇管理；受市政府委托会同有关部门处理涉及财政、债务等方面的涉外事务。</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（十二）拟订政府采购相关制度和办法，负责政府采购工作的监督管理，承担全市行政、事业单位公务车辆编制管理工作。</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（十三）负责管理全市会计工作，监督和规范会计行为，组织实施国家统一的会计制度。</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（十四）监督检查财税法规、政策的执行情况，依法查处违法违规行为；反映财政收支管理中的重大问题，提出加强财政管理的建议。</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（十五）负责组织、协调国税、地税等部门，加强税收综合治理。</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（十六）承办市政府交办的其他事项。</w:t>
      </w:r>
    </w:p>
    <w:p>
      <w:pPr>
        <w:keepNext w:val="0"/>
        <w:keepLines w:val="0"/>
        <w:pageBreakBefore w:val="0"/>
        <w:kinsoku/>
        <w:wordWrap/>
        <w:overflowPunct/>
        <w:topLinePunct w:val="0"/>
        <w:bidi w:val="0"/>
        <w:snapToGrid/>
        <w:spacing w:line="500" w:lineRule="exact"/>
        <w:ind w:firstLine="643" w:firstLineChars="200"/>
        <w:jc w:val="left"/>
        <w:rPr>
          <w:rFonts w:hint="eastAsia" w:ascii="仿宋" w:hAnsi="仿宋" w:eastAsia="仿宋" w:cs="仿宋"/>
          <w:color w:val="000000"/>
          <w:kern w:val="0"/>
          <w:sz w:val="28"/>
          <w:szCs w:val="28"/>
          <w:highlight w:val="none"/>
        </w:rPr>
      </w:pPr>
      <w:r>
        <w:rPr>
          <w:rFonts w:hint="eastAsia" w:ascii="方正楷体_GBK" w:hAnsi="Times New Roman" w:eastAsia="方正楷体_GBK" w:cs="Times New Roman"/>
          <w:b/>
          <w:sz w:val="32"/>
          <w:lang w:val="en-US" w:eastAsia="zh-CN"/>
        </w:rPr>
        <w:t>机构设置</w:t>
      </w:r>
      <w:r>
        <w:rPr>
          <w:rFonts w:hint="eastAsia" w:ascii="仿宋" w:hAnsi="仿宋" w:eastAsia="仿宋" w:cs="仿宋"/>
          <w:color w:val="000000"/>
          <w:kern w:val="0"/>
          <w:sz w:val="28"/>
          <w:szCs w:val="28"/>
          <w:highlight w:val="none"/>
        </w:rPr>
        <w:t>：</w:t>
      </w:r>
    </w:p>
    <w:p>
      <w:pPr>
        <w:keepNext w:val="0"/>
        <w:keepLines w:val="0"/>
        <w:pageBreakBefore w:val="0"/>
        <w:kinsoku/>
        <w:wordWrap/>
        <w:overflowPunct/>
        <w:topLinePunct w:val="0"/>
        <w:bidi w:val="0"/>
        <w:snapToGrid/>
        <w:spacing w:line="500" w:lineRule="exact"/>
        <w:jc w:val="center"/>
        <w:rPr>
          <w:rFonts w:hint="eastAsia" w:ascii="Times New Roman" w:hAnsi="Times New Roman" w:eastAsia="方正仿宋_GBK" w:cs="Times New Roman"/>
          <w:sz w:val="28"/>
          <w:highlight w:val="none"/>
          <w:lang w:val="en-US" w:eastAsia="zh-CN"/>
        </w:rPr>
      </w:pPr>
      <w:r>
        <w:rPr>
          <w:rFonts w:hint="eastAsia" w:ascii="方正小标宋_GBK" w:hAnsi="Times New Roman" w:eastAsia="方正小标宋_GBK" w:cs="Times New Roman"/>
          <w:sz w:val="32"/>
          <w:lang w:val="en-US" w:eastAsia="zh-CN"/>
        </w:rPr>
        <w:t>部门机构设置情况</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highlight w:val="none"/>
          <w:lang w:val="en-US" w:eastAsia="zh-CN"/>
        </w:rPr>
      </w:pPr>
    </w:p>
    <w:tbl>
      <w:tblPr>
        <w:tblStyle w:val="3"/>
        <w:tblW w:w="1434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584"/>
        <w:gridCol w:w="3585"/>
        <w:gridCol w:w="3585"/>
        <w:gridCol w:w="35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4"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单位名称</w:t>
            </w:r>
          </w:p>
        </w:tc>
        <w:tc>
          <w:tcPr>
            <w:tcW w:w="3585"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单位性质</w:t>
            </w:r>
          </w:p>
        </w:tc>
        <w:tc>
          <w:tcPr>
            <w:tcW w:w="3585"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单位规格</w:t>
            </w:r>
          </w:p>
        </w:tc>
        <w:tc>
          <w:tcPr>
            <w:tcW w:w="3586"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经济保障形式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584"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ind w:firstLine="560" w:firstLineChars="200"/>
              <w:jc w:val="center"/>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新乐市财政局</w:t>
            </w:r>
          </w:p>
        </w:tc>
        <w:tc>
          <w:tcPr>
            <w:tcW w:w="3585"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ind w:firstLine="560" w:firstLineChars="200"/>
              <w:jc w:val="center"/>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行政</w:t>
            </w:r>
          </w:p>
        </w:tc>
        <w:tc>
          <w:tcPr>
            <w:tcW w:w="3585"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ind w:firstLine="560" w:firstLineChars="200"/>
              <w:jc w:val="center"/>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正科级</w:t>
            </w:r>
          </w:p>
        </w:tc>
        <w:tc>
          <w:tcPr>
            <w:tcW w:w="3586" w:type="dxa"/>
            <w:tcBorders>
              <w:top w:val="single" w:color="auto" w:sz="4" w:space="0"/>
              <w:left w:val="single" w:color="auto" w:sz="4" w:space="0"/>
              <w:bottom w:val="single" w:color="auto" w:sz="4" w:space="0"/>
              <w:right w:val="single" w:color="auto" w:sz="4" w:space="0"/>
            </w:tcBorders>
          </w:tcPr>
          <w:p>
            <w:pPr>
              <w:keepNext w:val="0"/>
              <w:keepLines w:val="0"/>
              <w:pageBreakBefore w:val="0"/>
              <w:kinsoku/>
              <w:wordWrap/>
              <w:overflowPunct/>
              <w:topLinePunct w:val="0"/>
              <w:bidi w:val="0"/>
              <w:snapToGrid/>
              <w:spacing w:line="500" w:lineRule="exact"/>
              <w:ind w:firstLine="560" w:firstLineChars="200"/>
              <w:jc w:val="center"/>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财政拨款</w:t>
            </w:r>
          </w:p>
        </w:tc>
      </w:tr>
    </w:tbl>
    <w:p>
      <w:pPr>
        <w:keepNext w:val="0"/>
        <w:keepLines w:val="0"/>
        <w:pageBreakBefore w:val="0"/>
        <w:numPr>
          <w:ilvl w:val="0"/>
          <w:numId w:val="1"/>
        </w:numPr>
        <w:kinsoku/>
        <w:wordWrap/>
        <w:overflowPunct/>
        <w:topLinePunct w:val="0"/>
        <w:autoSpaceDE w:val="0"/>
        <w:autoSpaceDN w:val="0"/>
        <w:bidi w:val="0"/>
        <w:adjustRightInd w:val="0"/>
        <w:snapToGrid/>
        <w:spacing w:line="500" w:lineRule="exact"/>
        <w:ind w:firstLine="640" w:firstLineChars="200"/>
        <w:jc w:val="left"/>
        <w:rPr>
          <w:rFonts w:hint="eastAsia" w:ascii="黑体" w:hAnsi="黑体" w:eastAsia="黑体" w:cs="黑体"/>
          <w:b w:val="0"/>
          <w:bCs/>
          <w:color w:val="000000"/>
          <w:kern w:val="0"/>
          <w:sz w:val="28"/>
          <w:szCs w:val="28"/>
        </w:rPr>
      </w:pPr>
      <w:r>
        <w:rPr>
          <w:rFonts w:hint="eastAsia" w:ascii="黑体" w:hAnsi="黑体" w:eastAsia="黑体" w:cs="Times New Roman"/>
          <w:sz w:val="32"/>
        </w:rPr>
        <w:t>部门预算安排的总体情况</w:t>
      </w:r>
    </w:p>
    <w:p>
      <w:pPr>
        <w:keepNext w:val="0"/>
        <w:keepLines w:val="0"/>
        <w:pageBreakBefore w:val="0"/>
        <w:numPr>
          <w:ilvl w:val="0"/>
          <w:numId w:val="0"/>
        </w:numPr>
        <w:kinsoku/>
        <w:wordWrap/>
        <w:overflowPunct/>
        <w:topLinePunct w:val="0"/>
        <w:autoSpaceDE w:val="0"/>
        <w:autoSpaceDN w:val="0"/>
        <w:bidi w:val="0"/>
        <w:adjustRightInd w:val="0"/>
        <w:snapToGrid/>
        <w:spacing w:line="500" w:lineRule="exact"/>
        <w:ind w:firstLine="560" w:firstLineChars="200"/>
        <w:jc w:val="left"/>
        <w:rPr>
          <w:rFonts w:hint="eastAsia" w:ascii="仿宋" w:hAnsi="仿宋" w:eastAsia="仿宋" w:cs="仿宋"/>
          <w:color w:val="000000"/>
          <w:sz w:val="28"/>
          <w:szCs w:val="28"/>
        </w:rPr>
      </w:pPr>
      <w:r>
        <w:rPr>
          <w:rFonts w:hint="eastAsia" w:ascii="Times New Roman" w:hAnsi="Times New Roman" w:eastAsia="方正仿宋_GBK" w:cs="Times New Roman"/>
          <w:sz w:val="28"/>
          <w:highlight w:val="none"/>
          <w:lang w:val="en-US" w:eastAsia="zh-CN"/>
        </w:rPr>
        <w:t>按照预算管理有关规定，目前我市部门预算的编制实行综合预算制度，即全部收入和支出都反映的预算中。我部门及所属事业单位的收支包含在部门预算中。</w:t>
      </w:r>
    </w:p>
    <w:p>
      <w:pPr>
        <w:keepNext w:val="0"/>
        <w:keepLines w:val="0"/>
        <w:pageBreakBefore w:val="0"/>
        <w:widowControl/>
        <w:shd w:val="clear" w:color="auto" w:fill="FFFFFF"/>
        <w:kinsoku/>
        <w:wordWrap/>
        <w:overflowPunct/>
        <w:topLinePunct w:val="0"/>
        <w:bidi w:val="0"/>
        <w:snapToGrid/>
        <w:spacing w:line="500" w:lineRule="exact"/>
        <w:ind w:firstLine="280" w:firstLineChars="100"/>
        <w:rPr>
          <w:rFonts w:hint="eastAsia" w:ascii="Times New Roman" w:hAnsi="Times New Roman" w:eastAsia="方正仿宋_GBK" w:cs="Times New Roman"/>
          <w:sz w:val="28"/>
        </w:rPr>
      </w:pPr>
      <w:r>
        <w:rPr>
          <w:rFonts w:hint="eastAsia" w:ascii="仿宋" w:hAnsi="仿宋" w:eastAsia="仿宋" w:cs="仿宋"/>
          <w:color w:val="000000"/>
          <w:kern w:val="0"/>
          <w:sz w:val="28"/>
          <w:szCs w:val="28"/>
        </w:rPr>
        <w:t>　</w:t>
      </w:r>
      <w:r>
        <w:rPr>
          <w:rFonts w:hint="eastAsia" w:ascii="Times New Roman" w:hAnsi="Times New Roman" w:eastAsia="方正仿宋_GBK" w:cs="Times New Roman"/>
          <w:sz w:val="28"/>
        </w:rPr>
        <w:t>1、收入预算情况说明</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textAlignment w:val="auto"/>
        <w:rPr>
          <w:rFonts w:hint="eastAsia" w:ascii="仿宋" w:hAnsi="仿宋" w:eastAsia="仿宋" w:cs="仿宋"/>
          <w:color w:val="000000"/>
          <w:kern w:val="0"/>
          <w:sz w:val="28"/>
          <w:szCs w:val="28"/>
        </w:rPr>
      </w:pPr>
      <w:r>
        <w:rPr>
          <w:rFonts w:hint="eastAsia" w:ascii="Times New Roman" w:hAnsi="Times New Roman" w:eastAsia="方正仿宋_GBK" w:cs="Times New Roman"/>
          <w:sz w:val="28"/>
          <w:highlight w:val="none"/>
          <w:lang w:val="en-US" w:eastAsia="zh-CN"/>
        </w:rPr>
        <w:t>反映本部门当年全部收入。2019年预算收入1749.89万元，全部为一般公共预算收入。</w:t>
      </w:r>
    </w:p>
    <w:p>
      <w:pPr>
        <w:keepNext w:val="0"/>
        <w:keepLines w:val="0"/>
        <w:pageBreakBefore w:val="0"/>
        <w:widowControl/>
        <w:numPr>
          <w:ilvl w:val="0"/>
          <w:numId w:val="2"/>
        </w:numPr>
        <w:shd w:val="clear" w:color="auto" w:fill="FFFFFF"/>
        <w:kinsoku/>
        <w:wordWrap/>
        <w:overflowPunct/>
        <w:topLinePunct w:val="0"/>
        <w:bidi w:val="0"/>
        <w:snapToGrid/>
        <w:spacing w:line="500" w:lineRule="exact"/>
        <w:ind w:firstLine="560" w:firstLineChars="200"/>
        <w:rPr>
          <w:rFonts w:hint="eastAsia" w:ascii="仿宋" w:hAnsi="仿宋" w:eastAsia="仿宋" w:cs="仿宋"/>
          <w:color w:val="000000"/>
          <w:kern w:val="0"/>
          <w:sz w:val="28"/>
          <w:szCs w:val="28"/>
        </w:rPr>
      </w:pPr>
      <w:r>
        <w:rPr>
          <w:rFonts w:hint="eastAsia" w:ascii="Times New Roman" w:hAnsi="Times New Roman" w:eastAsia="方正仿宋_GBK" w:cs="Times New Roman"/>
          <w:sz w:val="28"/>
        </w:rPr>
        <w:t>支出预算情况说明</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收支预算总表支出栏、基本支出表、项目支出表按经济分类和支出功能分类科目编制，反映我部门年度部门预算中支出预算的总体情况。2019年支出预算1749.89万元，其中基本支出619.89万元，包括人员经费517.84万元和日常公用经费102.05万元；项目支出1130万元,其中行政事业单位会计培训10万元、信息化建设80万元、委托业务费1000万元、集中印刷费10万元、机关运行30万元。</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rPr>
      </w:pPr>
      <w:r>
        <w:rPr>
          <w:rFonts w:hint="eastAsia" w:ascii="Times New Roman" w:hAnsi="Times New Roman" w:eastAsia="方正仿宋_GBK" w:cs="Times New Roman"/>
          <w:sz w:val="28"/>
        </w:rPr>
        <w:t>3、较上年增减变化</w:t>
      </w:r>
    </w:p>
    <w:p>
      <w:pPr>
        <w:keepNext w:val="0"/>
        <w:keepLines w:val="0"/>
        <w:pageBreakBefore w:val="0"/>
        <w:widowControl/>
        <w:shd w:val="clear" w:color="auto" w:fill="FFFFFF"/>
        <w:kinsoku/>
        <w:wordWrap/>
        <w:overflowPunct/>
        <w:topLinePunct w:val="0"/>
        <w:autoSpaceDE/>
        <w:autoSpaceDN/>
        <w:bidi w:val="0"/>
        <w:adjustRightInd/>
        <w:snapToGrid/>
        <w:spacing w:line="500" w:lineRule="exact"/>
        <w:ind w:firstLine="560" w:firstLineChars="200"/>
        <w:textAlignment w:val="auto"/>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2019年预算收支安排1749.89万元，较去年预算增加752.24万元，其中：基本支出增加194.74万元，人员经费支出增加132.75万元,日常经费支出增加61.99万元，主要原因是基本工资的上调及职业年金、基本养老保险、医疗保险、住房公积金等项目的增加；项目支出增加557.5万元，主要原因是财政性项目资金委托服务费增加。</w:t>
      </w:r>
    </w:p>
    <w:p>
      <w:pPr>
        <w:keepNext w:val="0"/>
        <w:keepLines w:val="0"/>
        <w:pageBreakBefore w:val="0"/>
        <w:kinsoku/>
        <w:wordWrap/>
        <w:overflowPunct/>
        <w:topLinePunct w:val="0"/>
        <w:bidi w:val="0"/>
        <w:snapToGrid/>
        <w:spacing w:before="156" w:beforeLines="50" w:after="156" w:afterLines="50" w:line="500" w:lineRule="exact"/>
        <w:ind w:firstLine="640" w:firstLineChars="200"/>
        <w:jc w:val="left"/>
        <w:outlineLvl w:val="2"/>
        <w:rPr>
          <w:rFonts w:hint="eastAsia" w:ascii="黑体" w:hAnsi="黑体" w:eastAsia="黑体" w:cs="Times New Roman"/>
          <w:sz w:val="32"/>
        </w:rPr>
      </w:pPr>
      <w:r>
        <w:rPr>
          <w:rFonts w:hint="eastAsia" w:ascii="黑体" w:hAnsi="黑体" w:eastAsia="黑体" w:cs="Times New Roman"/>
          <w:sz w:val="32"/>
          <w:lang w:eastAsia="zh-CN"/>
        </w:rPr>
        <w:t>三、</w:t>
      </w:r>
      <w:r>
        <w:rPr>
          <w:rFonts w:hint="eastAsia" w:ascii="黑体" w:hAnsi="黑体" w:eastAsia="黑体" w:cs="Times New Roman"/>
          <w:sz w:val="32"/>
        </w:rPr>
        <w:t>机关运行经费安排情况</w:t>
      </w:r>
    </w:p>
    <w:p>
      <w:pPr>
        <w:keepNext w:val="0"/>
        <w:keepLines w:val="0"/>
        <w:pageBreakBefore w:val="0"/>
        <w:widowControl/>
        <w:shd w:val="clear" w:color="auto" w:fill="FFFFFF"/>
        <w:kinsoku/>
        <w:wordWrap/>
        <w:overflowPunct/>
        <w:topLinePunct w:val="0"/>
        <w:bidi w:val="0"/>
        <w:snapToGrid/>
        <w:spacing w:line="500" w:lineRule="exact"/>
        <w:ind w:firstLine="560" w:firstLineChars="200"/>
        <w:rPr>
          <w:rFonts w:hint="eastAsia" w:ascii="黑体" w:hAnsi="黑体" w:eastAsia="黑体" w:cs="黑体"/>
          <w:b w:val="0"/>
          <w:bCs/>
          <w:color w:val="000000"/>
          <w:kern w:val="0"/>
          <w:sz w:val="28"/>
          <w:szCs w:val="28"/>
        </w:rPr>
      </w:pPr>
      <w:r>
        <w:rPr>
          <w:rFonts w:hint="eastAsia" w:ascii="Times New Roman" w:hAnsi="Times New Roman" w:eastAsia="方正仿宋_GBK" w:cs="Times New Roman"/>
          <w:sz w:val="28"/>
          <w:highlight w:val="none"/>
          <w:lang w:val="en-US" w:eastAsia="zh-CN"/>
        </w:rPr>
        <w:t>我部门机关运行费共计安排102.05万元：包括办公费5万元、水电费9.9万元、邮电费8.46万元、办公取暖费3.5万元、差旅费20万元、维修（护）费5万元、劳务费10万元、委托业务费15万元、工会费5.2万元、福利费6.3万元、离退休干部经费0.47万元、公务用车运行维护费2.5万元、公务交通补贴10.5万元及党组织活动费0.22万元。</w:t>
      </w:r>
      <w:r>
        <w:rPr>
          <w:rFonts w:hint="eastAsia" w:ascii="Times New Roman" w:hAnsi="Times New Roman" w:eastAsia="方正仿宋_GBK" w:cs="Times New Roman"/>
          <w:sz w:val="28"/>
          <w:highlight w:val="none"/>
          <w:lang w:val="en-US" w:eastAsia="zh-CN"/>
        </w:rPr>
        <w:br w:type="textWrapping"/>
      </w:r>
      <w:r>
        <w:rPr>
          <w:rFonts w:hint="eastAsia" w:ascii="仿宋" w:hAnsi="仿宋" w:eastAsia="仿宋" w:cs="仿宋"/>
          <w:color w:val="000000"/>
          <w:kern w:val="0"/>
          <w:sz w:val="28"/>
          <w:szCs w:val="28"/>
        </w:rPr>
        <w:t>　　</w:t>
      </w:r>
      <w:r>
        <w:rPr>
          <w:rFonts w:hint="eastAsia" w:ascii="黑体" w:hAnsi="黑体" w:eastAsia="黑体" w:cs="黑体"/>
          <w:b w:val="0"/>
          <w:bCs/>
          <w:color w:val="000000"/>
          <w:kern w:val="0"/>
          <w:sz w:val="28"/>
          <w:szCs w:val="28"/>
        </w:rPr>
        <w:t>四</w:t>
      </w:r>
      <w:r>
        <w:rPr>
          <w:rFonts w:hint="eastAsia" w:ascii="黑体" w:hAnsi="黑体" w:eastAsia="黑体" w:cs="Times New Roman"/>
          <w:sz w:val="32"/>
        </w:rPr>
        <w:t>、财政拨款“三公”经费预算情况及增减变化原因</w:t>
      </w:r>
    </w:p>
    <w:p>
      <w:pPr>
        <w:keepNext w:val="0"/>
        <w:keepLines w:val="0"/>
        <w:pageBreakBefore w:val="0"/>
        <w:widowControl/>
        <w:shd w:val="clear" w:color="auto" w:fill="FFFFFF"/>
        <w:kinsoku/>
        <w:wordWrap/>
        <w:overflowPunct/>
        <w:topLinePunct w:val="0"/>
        <w:bidi w:val="0"/>
        <w:snapToGrid/>
        <w:spacing w:line="500" w:lineRule="exact"/>
        <w:ind w:firstLine="560" w:firstLineChars="20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我单位2019年“三公”经费预算安排共计2.5万元，其中因出国（境）费0万元，公务用车购置及运维费2.5万元（其中：公务用车购置费0万元，公务用车运行费2.5万元），公务接待费0万元。相比去年三公经费2.63万元减少0.13万元。原因是根据中央厉行节约的原则预算中公务接待费安排减少。</w:t>
      </w:r>
    </w:p>
    <w:p>
      <w:pPr>
        <w:keepNext w:val="0"/>
        <w:keepLines w:val="0"/>
        <w:pageBreakBefore w:val="0"/>
        <w:kinsoku/>
        <w:wordWrap/>
        <w:overflowPunct/>
        <w:topLinePunct w:val="0"/>
        <w:bidi w:val="0"/>
        <w:snapToGrid/>
        <w:spacing w:before="156" w:beforeLines="50" w:after="156" w:afterLines="50" w:line="500" w:lineRule="exact"/>
        <w:ind w:firstLine="640" w:firstLineChars="200"/>
        <w:jc w:val="left"/>
        <w:outlineLvl w:val="2"/>
        <w:rPr>
          <w:rFonts w:hint="eastAsia" w:ascii="黑体" w:hAnsi="黑体" w:eastAsia="黑体" w:cs="Times New Roman"/>
          <w:sz w:val="32"/>
        </w:rPr>
      </w:pPr>
      <w:r>
        <w:rPr>
          <w:rFonts w:hint="eastAsia" w:ascii="黑体" w:hAnsi="黑体" w:eastAsia="黑体" w:cs="Times New Roman"/>
          <w:sz w:val="32"/>
        </w:rPr>
        <w:t>五、绩效预算信息</w:t>
      </w:r>
    </w:p>
    <w:p>
      <w:pPr>
        <w:keepNext w:val="0"/>
        <w:keepLines w:val="0"/>
        <w:pageBreakBefore w:val="0"/>
        <w:kinsoku/>
        <w:wordWrap/>
        <w:overflowPunct/>
        <w:topLinePunct w:val="0"/>
        <w:bidi w:val="0"/>
        <w:snapToGrid/>
        <w:spacing w:line="500" w:lineRule="exact"/>
        <w:ind w:firstLine="560"/>
        <w:rPr>
          <w:rFonts w:hint="eastAsia" w:ascii="仿宋" w:hAnsi="仿宋" w:eastAsia="仿宋" w:cs="仿宋"/>
          <w:color w:val="000000"/>
          <w:sz w:val="28"/>
          <w:szCs w:val="28"/>
        </w:rPr>
      </w:pPr>
      <w:r>
        <w:rPr>
          <w:rFonts w:hint="eastAsia" w:ascii="Times New Roman" w:hAnsi="Times New Roman" w:eastAsia="方正仿宋_GBK" w:cs="Times New Roman"/>
          <w:sz w:val="28"/>
          <w:highlight w:val="none"/>
          <w:lang w:val="en-US" w:eastAsia="zh-CN"/>
        </w:rPr>
        <w:t>（一）年度发展规划目标</w:t>
      </w:r>
    </w:p>
    <w:p>
      <w:pPr>
        <w:keepNext w:val="0"/>
        <w:keepLines w:val="0"/>
        <w:pageBreakBefore w:val="0"/>
        <w:kinsoku/>
        <w:wordWrap/>
        <w:overflowPunct/>
        <w:topLinePunct w:val="0"/>
        <w:bidi w:val="0"/>
        <w:snapToGrid/>
        <w:spacing w:line="500" w:lineRule="exact"/>
        <w:jc w:val="left"/>
        <w:rPr>
          <w:rFonts w:hint="eastAsia" w:ascii="楷体" w:hAnsi="楷体" w:eastAsia="楷体" w:cs="楷体"/>
          <w:b w:val="0"/>
          <w:bCs/>
          <w:color w:val="000000"/>
          <w:sz w:val="28"/>
          <w:szCs w:val="28"/>
        </w:rPr>
      </w:pPr>
      <w:r>
        <w:rPr>
          <w:rFonts w:hint="eastAsia" w:ascii="仿宋" w:hAnsi="仿宋" w:eastAsia="仿宋" w:cs="仿宋"/>
          <w:b/>
          <w:color w:val="000000"/>
          <w:sz w:val="28"/>
          <w:szCs w:val="28"/>
        </w:rPr>
        <w:t>　　</w:t>
      </w:r>
      <w:r>
        <w:rPr>
          <w:rFonts w:hint="eastAsia" w:ascii="Times New Roman" w:hAnsi="Times New Roman" w:eastAsia="方正仿宋_GBK" w:cs="Times New Roman"/>
          <w:sz w:val="28"/>
          <w:highlight w:val="none"/>
          <w:lang w:val="en-US" w:eastAsia="zh-CN"/>
        </w:rPr>
        <w:t>总体目标：</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牢固树立新发展理念，坚持稳中求进工作总基调，以推进供给侧结构性改革为主线，依法加强财政收支管理，着力深化财税改革，有效防控财政风险，较好地完成了市六届人大一次会议确定的目标任务，全市财政运行总体平稳、稳中有进。</w:t>
      </w:r>
    </w:p>
    <w:p>
      <w:pPr>
        <w:keepNext w:val="0"/>
        <w:keepLines w:val="0"/>
        <w:pageBreakBefore w:val="0"/>
        <w:widowControl/>
        <w:kinsoku/>
        <w:wordWrap/>
        <w:overflowPunct/>
        <w:topLinePunct w:val="0"/>
        <w:bidi w:val="0"/>
        <w:snapToGrid/>
        <w:spacing w:line="500" w:lineRule="exact"/>
        <w:ind w:firstLine="560" w:firstLineChars="200"/>
        <w:rPr>
          <w:rFonts w:hint="eastAsia" w:ascii="楷体" w:hAnsi="楷体" w:eastAsia="楷体" w:cs="楷体"/>
          <w:b/>
          <w:bCs w:val="0"/>
          <w:color w:val="000000"/>
          <w:sz w:val="28"/>
          <w:szCs w:val="28"/>
        </w:rPr>
      </w:pPr>
      <w:r>
        <w:rPr>
          <w:rFonts w:hint="eastAsia" w:ascii="Times New Roman" w:hAnsi="Times New Roman" w:eastAsia="方正仿宋_GBK" w:cs="Times New Roman"/>
          <w:sz w:val="28"/>
          <w:lang w:eastAsia="zh-CN"/>
        </w:rPr>
        <w:t>（</w:t>
      </w:r>
      <w:r>
        <w:rPr>
          <w:rFonts w:hint="eastAsia" w:ascii="Times New Roman" w:hAnsi="Times New Roman" w:eastAsia="方正仿宋_GBK" w:cs="Times New Roman"/>
          <w:sz w:val="28"/>
          <w:lang w:val="en-US" w:eastAsia="zh-CN"/>
        </w:rPr>
        <w:t>二）</w:t>
      </w:r>
      <w:r>
        <w:rPr>
          <w:rFonts w:hint="eastAsia" w:ascii="Times New Roman" w:hAnsi="Times New Roman" w:eastAsia="方正仿宋_GBK" w:cs="Times New Roman"/>
          <w:sz w:val="28"/>
        </w:rPr>
        <w:t>职责分类绩效目标</w:t>
      </w:r>
      <w:r>
        <w:rPr>
          <w:rFonts w:hint="eastAsia" w:ascii="楷体" w:hAnsi="楷体" w:eastAsia="楷体" w:cs="楷体"/>
          <w:b/>
          <w:bCs w:val="0"/>
          <w:color w:val="000000"/>
          <w:sz w:val="28"/>
          <w:szCs w:val="28"/>
        </w:rPr>
        <w:t>：</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围绕供给侧结构性改革要求，全面贯彻落实预算法，认真落实相关财政政策措施，推进财税体制改革，加强预算执行管理，提高资金使用效益，确保财政平稳运行。</w:t>
      </w:r>
    </w:p>
    <w:p>
      <w:pPr>
        <w:keepNext w:val="0"/>
        <w:keepLines w:val="0"/>
        <w:pageBreakBefore w:val="0"/>
        <w:kinsoku/>
        <w:wordWrap/>
        <w:overflowPunct/>
        <w:topLinePunct w:val="0"/>
        <w:bidi w:val="0"/>
        <w:snapToGrid/>
        <w:spacing w:line="500" w:lineRule="exact"/>
        <w:ind w:firstLine="560" w:firstLineChars="200"/>
        <w:jc w:val="left"/>
        <w:rPr>
          <w:rFonts w:hint="eastAsia" w:ascii="Times New Roman" w:hAnsi="Times New Roman" w:eastAsia="方正仿宋_GBK" w:cs="Times New Roman"/>
          <w:sz w:val="28"/>
        </w:rPr>
      </w:pPr>
      <w:r>
        <w:rPr>
          <w:rFonts w:hint="eastAsia" w:ascii="Times New Roman" w:hAnsi="Times New Roman" w:eastAsia="方正仿宋_GBK" w:cs="Times New Roman"/>
          <w:sz w:val="28"/>
          <w:lang w:eastAsia="zh-CN"/>
        </w:rPr>
        <w:t>（</w:t>
      </w:r>
      <w:r>
        <w:rPr>
          <w:rFonts w:hint="eastAsia" w:ascii="Times New Roman" w:hAnsi="Times New Roman" w:eastAsia="方正仿宋_GBK" w:cs="Times New Roman"/>
          <w:sz w:val="28"/>
          <w:lang w:val="en-US" w:eastAsia="zh-CN"/>
        </w:rPr>
        <w:t>三）</w:t>
      </w:r>
      <w:r>
        <w:rPr>
          <w:rFonts w:hint="eastAsia" w:ascii="Times New Roman" w:hAnsi="Times New Roman" w:eastAsia="方正仿宋_GBK" w:cs="Times New Roman"/>
          <w:sz w:val="28"/>
        </w:rPr>
        <w:t>实现本年度规划目标的保障措施</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1、牢固树立新发展理念，切实增强服务大局能力。坚持以习近平新时代中国特色社会主义思想为指导，树牢“四个意识”，坚定“四个自信”，落实“两个维护”。精准把握新时代财政改革发展新要求，全面落实中央和省、石家庄市决策部署以及市委市政府工作要求，紧紧围绕事关全市发展的“5+2”产业格局、改善和保障民生、风险防控、脱贫攻坚、污染防治、城市建设等重点难点问题，深入开展“双问计”活动，发挥财政资金政策导向作用，全面推进高质量财政建设。</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2、深化财政改革，加快建设现代化财政制度。完善财政管理体制和机制，扎实提升财政改革质量和效果，有序推进财政事权和支出责任划分改革。深化预算管理改革，建立健全内容完整、结构优化、定额科学、程序规范的支出标准体系，提高预算编制的前瞻性和可持续性。全面实施绩效管理，进一步优化全过程绩效预算管理机制，把绩效融入预算管理各个环节，强化评价结果应用，提高资金使用效益。加大预决算公开力度，细化预算公开内容，建立多层次、全过程动态监督体系，拓宽监督渠道，进一步提高财政工作透明度，让财政资金在阳光下运行。</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3、加强收入管理，做大做强财政蛋糕。密切关注中央税制改革政策，认真分析财政经济走势，增强组织收入工作前瞻性。坚持高质量发展要求，围绕“5+2”产业格局，落实积极财政政策，培育壮大财源基础，实现财政可持续发展。依法加强税费征管，进一步深化综合治税管理，强化运行监测，努力实现全年收入任务目标。清理规范行政事业性收费项目，切实提高收入质量。</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4、优化财政支出，提升保障能力。加强支出管理，健全预算执行督导机制，提高财政支出时效。牢固树立“过紧日子”思想，大力压缩一般性支出；整合各类资金，用好增量，盘活存量，优化支出结构，保障教育、社保、医疗、养老等事关群众切身利益的民生支出，以及生态环境、脱贫攻坚等事关全市发展的重点支出。发挥市场对资源配置的决定性作用，创新财政投入方式，科学运用PPP运作模式，积极引导和撬动社会资本，投向产业发展、城市建设等重点领域。</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5、强化法治意识，推进依法规范理财。严格执行《中华人民共和国预算法》《河北省预算审查监督条例》等法律法规，依法行使行政决策权和财政管理权。硬化预算约束，按法定时限批复部门预算、下达转移支付，按规定调整预算、调剂使用资金。严肃财经纪律，加强财政资金监督检查，从严处理违规违纪问题。</w:t>
      </w:r>
    </w:p>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6、强化政府债务管控，防范化解运行风险。坚决落实中央防范化解风险重大决策部署，严格债务管理，全面排查梳理风险点，着力消除潜在风险。严格规范举债行为，在限额内积极争取政府债券，优化债务结构，用足用好国家较大幅度增长专项债券规模政策，优先保障重点项目需求，坚决杜绝违规举债。适度控制投资规模，推进平台公司市场化改革，创新投融资机制，努力破解城市建设资金瓶颈。</w:t>
      </w:r>
    </w:p>
    <w:p>
      <w:pPr>
        <w:keepNext w:val="0"/>
        <w:keepLines w:val="0"/>
        <w:pageBreakBefore w:val="0"/>
        <w:widowControl/>
        <w:shd w:val="clear" w:color="auto" w:fill="FFFFFF"/>
        <w:kinsoku/>
        <w:wordWrap/>
        <w:overflowPunct/>
        <w:topLinePunct w:val="0"/>
        <w:bidi w:val="0"/>
        <w:snapToGrid/>
        <w:spacing w:line="500" w:lineRule="exact"/>
        <w:rPr>
          <w:rFonts w:hint="eastAsia" w:ascii="仿宋" w:hAnsi="仿宋" w:eastAsia="仿宋" w:cs="仿宋"/>
          <w:color w:val="000000"/>
          <w:kern w:val="0"/>
          <w:sz w:val="28"/>
          <w:szCs w:val="28"/>
        </w:rPr>
      </w:pPr>
    </w:p>
    <w:p>
      <w:pPr>
        <w:keepNext w:val="0"/>
        <w:keepLines w:val="0"/>
        <w:pageBreakBefore w:val="0"/>
        <w:kinsoku/>
        <w:wordWrap/>
        <w:overflowPunct/>
        <w:topLinePunct w:val="0"/>
        <w:bidi w:val="0"/>
        <w:snapToGrid/>
        <w:spacing w:line="500" w:lineRule="exact"/>
        <w:jc w:val="center"/>
        <w:outlineLvl w:val="0"/>
        <w:rPr>
          <w:rFonts w:hint="eastAsia" w:ascii="黑体" w:hAnsi="黑体" w:eastAsia="黑体" w:cs="黑体"/>
          <w:color w:val="000000"/>
          <w:sz w:val="28"/>
          <w:szCs w:val="28"/>
        </w:rPr>
      </w:pPr>
      <w:bookmarkStart w:id="0" w:name="_Toc507149159"/>
      <w:r>
        <w:rPr>
          <w:rFonts w:hint="eastAsia" w:ascii="方正仿宋_GBK" w:hAnsi="Times New Roman" w:eastAsia="方正仿宋_GBK" w:cs="Times New Roman"/>
          <w:b/>
          <w:sz w:val="28"/>
        </w:rPr>
        <w:t>部门职责-工作活动绩效目标</w:t>
      </w:r>
      <w:bookmarkEnd w:id="0"/>
    </w:p>
    <w:tbl>
      <w:tblPr>
        <w:tblStyle w:val="3"/>
        <w:tblW w:w="1463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3"/>
        <w:gridCol w:w="1459"/>
        <w:gridCol w:w="3491"/>
        <w:gridCol w:w="899"/>
        <w:gridCol w:w="2225"/>
        <w:gridCol w:w="1674"/>
        <w:gridCol w:w="1146"/>
        <w:gridCol w:w="1455"/>
        <w:gridCol w:w="540"/>
        <w:gridCol w:w="540"/>
        <w:gridCol w:w="413"/>
        <w:gridCol w:w="127"/>
        <w:gridCol w:w="5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701" w:type="dxa"/>
          <w:trHeight w:val="227" w:hRule="atLeast"/>
          <w:tblHeader/>
          <w:jc w:val="center"/>
        </w:trPr>
        <w:tc>
          <w:tcPr>
            <w:tcW w:w="10987" w:type="dxa"/>
            <w:gridSpan w:val="7"/>
            <w:tcBorders>
              <w:top w:val="single" w:color="FFFFFF" w:sz="6" w:space="0"/>
              <w:left w:val="single" w:color="FFFFFF" w:sz="6" w:space="0"/>
              <w:bottom w:val="single" w:color="000000" w:sz="6" w:space="0"/>
              <w:right w:val="single" w:color="FFFFFF" w:sz="6" w:space="0"/>
            </w:tcBorders>
            <w:vAlign w:val="center"/>
          </w:tcPr>
          <w:p>
            <w:pPr>
              <w:keepNext w:val="0"/>
              <w:keepLines w:val="0"/>
              <w:pageBreakBefore w:val="0"/>
              <w:kinsoku/>
              <w:wordWrap/>
              <w:overflowPunct/>
              <w:topLinePunct w:val="0"/>
              <w:bidi w:val="0"/>
              <w:snapToGrid/>
              <w:spacing w:line="500" w:lineRule="exact"/>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318新乐市财政局</w:t>
            </w:r>
          </w:p>
        </w:tc>
        <w:tc>
          <w:tcPr>
            <w:tcW w:w="2948" w:type="dxa"/>
            <w:gridSpan w:val="4"/>
            <w:tcBorders>
              <w:top w:val="single" w:color="FFFFFF" w:sz="6" w:space="0"/>
              <w:left w:val="single" w:color="FFFFFF" w:sz="6" w:space="0"/>
              <w:bottom w:val="single" w:color="000000" w:sz="6" w:space="0"/>
              <w:right w:val="single" w:color="FFFFFF" w:sz="6" w:space="0"/>
            </w:tcBorders>
            <w:vAlign w:val="center"/>
          </w:tcPr>
          <w:p>
            <w:pPr>
              <w:keepNext w:val="0"/>
              <w:keepLines w:val="0"/>
              <w:pageBreakBefore w:val="0"/>
              <w:kinsoku/>
              <w:wordWrap/>
              <w:overflowPunct/>
              <w:topLinePunct w:val="0"/>
              <w:bidi w:val="0"/>
              <w:snapToGrid/>
              <w:spacing w:line="500" w:lineRule="exact"/>
              <w:ind w:firstLine="560"/>
              <w:rPr>
                <w:rFonts w:hint="eastAsia" w:ascii="Times New Roman" w:hAnsi="Times New Roman" w:eastAsia="方正仿宋_GBK" w:cs="Times New Roman"/>
                <w:sz w:val="28"/>
                <w:highlight w:val="none"/>
                <w:lang w:val="en-US" w:eastAsia="zh-CN"/>
              </w:rPr>
            </w:pPr>
            <w:r>
              <w:rPr>
                <w:rFonts w:hint="eastAsia" w:ascii="Times New Roman" w:hAnsi="Times New Roman" w:eastAsia="方正仿宋_GBK" w:cs="Times New Roman"/>
                <w:sz w:val="28"/>
                <w:highlight w:val="none"/>
                <w:lang w:val="en-US" w:eastAsia="zh-CN"/>
              </w:rPr>
              <w:t>单位：元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83" w:hRule="atLeast"/>
          <w:jc w:val="center"/>
        </w:trPr>
        <w:tc>
          <w:tcPr>
            <w:tcW w:w="1459" w:type="dxa"/>
            <w:tcBorders>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活动名称</w:t>
            </w:r>
          </w:p>
        </w:tc>
        <w:tc>
          <w:tcPr>
            <w:tcW w:w="3491"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活动描述</w:t>
            </w:r>
          </w:p>
        </w:tc>
        <w:tc>
          <w:tcPr>
            <w:tcW w:w="899"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预算年度</w:t>
            </w:r>
          </w:p>
        </w:tc>
        <w:tc>
          <w:tcPr>
            <w:tcW w:w="2225"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绩效目标</w:t>
            </w:r>
          </w:p>
        </w:tc>
        <w:tc>
          <w:tcPr>
            <w:tcW w:w="1674"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绩效指标</w:t>
            </w:r>
          </w:p>
        </w:tc>
        <w:tc>
          <w:tcPr>
            <w:tcW w:w="2601" w:type="dxa"/>
            <w:gridSpan w:val="2"/>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指标描述</w:t>
            </w:r>
          </w:p>
        </w:tc>
        <w:tc>
          <w:tcPr>
            <w:tcW w:w="540"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优</w:t>
            </w:r>
          </w:p>
        </w:tc>
        <w:tc>
          <w:tcPr>
            <w:tcW w:w="540" w:type="dxa"/>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良</w:t>
            </w:r>
          </w:p>
        </w:tc>
        <w:tc>
          <w:tcPr>
            <w:tcW w:w="540" w:type="dxa"/>
            <w:gridSpan w:val="2"/>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中</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b/>
              </w:rPr>
            </w:pPr>
            <w:r>
              <w:rPr>
                <w:rFonts w:hint="eastAsia" w:ascii="方正书宋_GBK" w:hAnsi="Times New Roman" w:eastAsia="方正书宋_GBK" w:cs="Times New Roman"/>
                <w:b/>
                <w:lang w:val="en-US" w:eastAsia="zh-CN"/>
              </w:rPr>
              <w:t>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1704"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税收政策管理</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研究并向市提出税目税率调整、减免和地方税收政策等重大事项的建议；对地方承担出口退税事务实施监管，监督检查税收政策执行情况。</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完成全市财政和预算收入任务，管理和监督各项财政收入。完成非税收收入调整任务。（收入任务按经济、政策变化进行调整）</w:t>
            </w: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财政收入任务完成率，市分调整非税收计划完成率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实际完成财政收入和非税收入占市分调整非税收计划的比例。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720"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非税收入政策管理</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负责政府非税收入和政府性基金管理，按规定管理行政事业性收费；管理财政票据。</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完成非税收入调整任务。（收入任务按经济、政策变化进行调整）</w:t>
            </w: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市分调整非税收入计划完成率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实际完成非税收入占市分调整非税收计划的比例。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270"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财政体制管理</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负责拟定市县财政收入划分和支出责任划分方案，并组织实施。负责监控市县财政运行，及时发现实现财政运行中存在的问题，提出针对性的意见建议。</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vMerge w:val="restart"/>
            <w:tcBorders>
              <w:top w:val="single" w:color="auto" w:sz="4" w:space="0"/>
              <w:left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各项工作全部落实。</w:t>
            </w: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综合业务工作完成情况占综合业务工作任务的比例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672"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信息化建设</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信息化建设</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vMerge w:val="continue"/>
            <w:tcBorders>
              <w:left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综合业务工作完成情况占综合业务工作任务的比例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1395"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预算政策管理</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拟定预算政策和改革方案，并组织实施。分析预测宏观经济形势，参与制定各项宏观经济政策，起草财政预算、资金管理、财务会计管理的地方性法规草案，制定有关规章制度并监督实施。</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vMerge w:val="continue"/>
            <w:tcBorders>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综合业务工作完成情况占综合业务工作任务的比例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1471"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财政投资评审</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对财政性资金拟安排的建设项目预算进行评价审查；对已安排建设项目、建设项目竣工财务结（决）算以及建设类项目投资效果进行评价审查；对市本级财政专项资金安排的项目进行追踪问效和核查。</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综合业务工作完成情况占综合业务工作任务的比例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594"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集中印刷</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四大班子相关资料集中印刷</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四大班子相关资料集中印刷</w:t>
            </w: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四大班子相关资料集中印刷</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四大班子相关资料集中印刷</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gridBefore w:val="1"/>
          <w:wBefore w:w="93" w:type="dxa"/>
          <w:trHeight w:val="1531" w:hRule="atLeast"/>
          <w:jc w:val="center"/>
        </w:trPr>
        <w:tc>
          <w:tcPr>
            <w:tcW w:w="1459" w:type="dxa"/>
            <w:tcBorders>
              <w:top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综合事务管理</w:t>
            </w:r>
          </w:p>
        </w:tc>
        <w:tc>
          <w:tcPr>
            <w:tcW w:w="3491"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会议组织管理、信息化建设与维护、机关财务和资产管理、标准化建设、基建及维修、大型设备购置、人事管理及干部教育培训、机关党委工作、老干部工作等。负责直属事业单位管理工作。</w:t>
            </w:r>
          </w:p>
        </w:tc>
        <w:tc>
          <w:tcPr>
            <w:tcW w:w="899"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2019</w:t>
            </w:r>
          </w:p>
        </w:tc>
        <w:tc>
          <w:tcPr>
            <w:tcW w:w="2225"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各项工作全部落实。</w:t>
            </w:r>
          </w:p>
        </w:tc>
        <w:tc>
          <w:tcPr>
            <w:tcW w:w="16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综合业务工作完成率</w:t>
            </w:r>
          </w:p>
        </w:tc>
        <w:tc>
          <w:tcPr>
            <w:tcW w:w="260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综合业务工作完成情况占综合业务工作任务的比例</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100%</w:t>
            </w:r>
          </w:p>
        </w:tc>
        <w:tc>
          <w:tcPr>
            <w:tcW w:w="540"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≥95%</w:t>
            </w:r>
          </w:p>
        </w:tc>
        <w:tc>
          <w:tcPr>
            <w:tcW w:w="540"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≥90%</w:t>
            </w:r>
          </w:p>
        </w:tc>
        <w:tc>
          <w:tcPr>
            <w:tcW w:w="574" w:type="dxa"/>
            <w:tcBorders>
              <w:top w:val="single" w:color="auto" w:sz="4" w:space="0"/>
              <w:left w:val="single" w:color="auto" w:sz="4" w:space="0"/>
              <w:bottom w:val="single" w:color="auto" w:sz="4" w:space="0"/>
              <w:right w:val="single" w:color="auto" w:sz="4" w:space="0"/>
            </w:tcBorders>
            <w:shd w:val="clear" w:color="auto" w:fill="auto"/>
            <w:vAlign w:val="center"/>
          </w:tcPr>
          <w:p>
            <w:pPr>
              <w:spacing w:line="300" w:lineRule="exact"/>
              <w:jc w:val="center"/>
              <w:rPr>
                <w:rFonts w:hint="eastAsia" w:ascii="方正书宋_GBK" w:hAnsi="Times New Roman" w:eastAsia="方正书宋_GBK" w:cs="Times New Roman"/>
              </w:rPr>
            </w:pPr>
            <w:r>
              <w:rPr>
                <w:rFonts w:hint="eastAsia" w:ascii="方正书宋_GBK" w:hAnsi="Times New Roman" w:eastAsia="方正书宋_GBK" w:cs="Times New Roman"/>
                <w:lang w:val="en-US" w:eastAsia="zh-CN"/>
              </w:rPr>
              <w:t>&lt;90%</w:t>
            </w:r>
          </w:p>
        </w:tc>
      </w:tr>
    </w:tbl>
    <w:p>
      <w:pPr>
        <w:keepNext w:val="0"/>
        <w:keepLines w:val="0"/>
        <w:pageBreakBefore w:val="0"/>
        <w:kinsoku/>
        <w:wordWrap/>
        <w:overflowPunct/>
        <w:topLinePunct w:val="0"/>
        <w:bidi w:val="0"/>
        <w:snapToGrid/>
        <w:spacing w:before="156" w:beforeLines="50" w:after="156" w:afterLines="50" w:line="500" w:lineRule="exact"/>
        <w:jc w:val="left"/>
        <w:outlineLvl w:val="2"/>
        <w:rPr>
          <w:rFonts w:hint="eastAsia" w:ascii="黑体" w:hAnsi="Times New Roman" w:eastAsia="黑体" w:cs="Times New Roman"/>
          <w:sz w:val="32"/>
          <w:lang w:eastAsia="zh-CN"/>
        </w:rPr>
      </w:pPr>
    </w:p>
    <w:p>
      <w:pPr>
        <w:keepNext w:val="0"/>
        <w:keepLines w:val="0"/>
        <w:pageBreakBefore w:val="0"/>
        <w:kinsoku/>
        <w:wordWrap/>
        <w:overflowPunct/>
        <w:topLinePunct w:val="0"/>
        <w:bidi w:val="0"/>
        <w:snapToGrid/>
        <w:spacing w:before="156" w:beforeLines="50" w:after="156" w:afterLines="50" w:line="500" w:lineRule="exact"/>
        <w:ind w:firstLine="640" w:firstLineChars="200"/>
        <w:jc w:val="left"/>
        <w:outlineLvl w:val="2"/>
        <w:rPr>
          <w:rFonts w:hint="eastAsia" w:ascii="黑体" w:hAnsi="Times New Roman" w:eastAsia="黑体" w:cs="Times New Roman"/>
          <w:sz w:val="32"/>
        </w:rPr>
      </w:pPr>
      <w:r>
        <w:rPr>
          <w:rFonts w:hint="eastAsia" w:ascii="黑体" w:hAnsi="Times New Roman" w:eastAsia="黑体" w:cs="Times New Roman"/>
          <w:sz w:val="32"/>
          <w:lang w:eastAsia="zh-CN"/>
        </w:rPr>
        <w:t>六、</w:t>
      </w:r>
      <w:r>
        <w:rPr>
          <w:rFonts w:hint="eastAsia" w:ascii="黑体" w:hAnsi="Times New Roman" w:eastAsia="黑体" w:cs="Times New Roman"/>
          <w:sz w:val="32"/>
        </w:rPr>
        <w:t>政府采购情况的说明</w:t>
      </w:r>
    </w:p>
    <w:p>
      <w:pPr>
        <w:keepNext w:val="0"/>
        <w:keepLines w:val="0"/>
        <w:pageBreakBefore w:val="0"/>
        <w:widowControl/>
        <w:numPr>
          <w:ilvl w:val="0"/>
          <w:numId w:val="0"/>
        </w:numPr>
        <w:shd w:val="clear" w:color="auto" w:fill="FFFFFF"/>
        <w:kinsoku/>
        <w:wordWrap/>
        <w:overflowPunct/>
        <w:topLinePunct w:val="0"/>
        <w:bidi w:val="0"/>
        <w:snapToGrid/>
        <w:spacing w:line="500" w:lineRule="exact"/>
        <w:ind w:firstLine="560" w:firstLineChars="200"/>
        <w:rPr>
          <w:rFonts w:hint="eastAsia" w:ascii="宋体" w:hAnsi="宋体" w:cs="宋体"/>
          <w:color w:val="000000"/>
          <w:sz w:val="32"/>
          <w:szCs w:val="32"/>
        </w:rPr>
      </w:pPr>
      <w:r>
        <w:rPr>
          <w:rFonts w:hint="eastAsia" w:ascii="Times New Roman" w:hAnsi="Times New Roman" w:eastAsia="方正仿宋_GBK" w:cs="Times New Roman"/>
          <w:sz w:val="28"/>
          <w:highlight w:val="none"/>
          <w:lang w:val="en-US" w:eastAsia="zh-CN"/>
        </w:rPr>
        <w:t>我单位2019年无政府采购,空表列示。</w:t>
      </w:r>
    </w:p>
    <w:p>
      <w:pPr>
        <w:keepNext w:val="0"/>
        <w:keepLines w:val="0"/>
        <w:pageBreakBefore w:val="0"/>
        <w:kinsoku/>
        <w:wordWrap/>
        <w:overflowPunct/>
        <w:topLinePunct w:val="0"/>
        <w:bidi w:val="0"/>
        <w:snapToGrid/>
        <w:spacing w:line="500" w:lineRule="exact"/>
        <w:jc w:val="center"/>
        <w:outlineLvl w:val="0"/>
        <w:rPr>
          <w:rFonts w:hint="eastAsia" w:ascii="宋体" w:hAnsi="宋体" w:cs="宋体"/>
          <w:color w:val="000000"/>
          <w:sz w:val="32"/>
          <w:szCs w:val="32"/>
        </w:rPr>
      </w:pPr>
    </w:p>
    <w:p>
      <w:pPr>
        <w:keepNext w:val="0"/>
        <w:keepLines w:val="0"/>
        <w:pageBreakBefore w:val="0"/>
        <w:kinsoku/>
        <w:wordWrap/>
        <w:overflowPunct/>
        <w:topLinePunct w:val="0"/>
        <w:bidi w:val="0"/>
        <w:snapToGrid/>
        <w:spacing w:line="500" w:lineRule="exact"/>
        <w:jc w:val="center"/>
        <w:outlineLvl w:val="0"/>
        <w:rPr>
          <w:rFonts w:hint="eastAsia" w:ascii="宋体" w:hAnsi="宋体" w:cs="宋体"/>
          <w:color w:val="000000"/>
          <w:sz w:val="32"/>
          <w:szCs w:val="32"/>
        </w:rPr>
      </w:pPr>
    </w:p>
    <w:p>
      <w:pPr>
        <w:keepNext w:val="0"/>
        <w:keepLines w:val="0"/>
        <w:pageBreakBefore w:val="0"/>
        <w:kinsoku/>
        <w:wordWrap/>
        <w:overflowPunct/>
        <w:topLinePunct w:val="0"/>
        <w:bidi w:val="0"/>
        <w:snapToGrid/>
        <w:spacing w:line="500" w:lineRule="exact"/>
        <w:jc w:val="center"/>
        <w:outlineLvl w:val="0"/>
        <w:rPr>
          <w:rFonts w:hint="eastAsia" w:ascii="宋体" w:hAnsi="宋体" w:cs="宋体"/>
          <w:color w:val="000000"/>
          <w:sz w:val="28"/>
          <w:szCs w:val="28"/>
        </w:rPr>
      </w:pPr>
      <w:r>
        <w:rPr>
          <w:rFonts w:hint="eastAsia" w:ascii="宋体" w:hAnsi="宋体" w:cs="宋体"/>
          <w:color w:val="000000"/>
          <w:sz w:val="32"/>
          <w:szCs w:val="32"/>
        </w:rPr>
        <w:t xml:space="preserve">  </w:t>
      </w:r>
      <w:bookmarkStart w:id="1" w:name="_Toc476563386"/>
      <w:r>
        <w:rPr>
          <w:rFonts w:hint="eastAsia" w:ascii="方正小标宋_GBK" w:hAnsi="Times New Roman" w:eastAsia="方正小标宋_GBK" w:cs="Times New Roman"/>
          <w:sz w:val="36"/>
        </w:rPr>
        <w:t>部门政府采购预算</w:t>
      </w:r>
      <w:bookmarkEnd w:id="1"/>
    </w:p>
    <w:tbl>
      <w:tblPr>
        <w:tblStyle w:val="3"/>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ind w:firstLine="280" w:firstLineChars="100"/>
              <w:jc w:val="left"/>
              <w:rPr>
                <w:rFonts w:hint="eastAsia" w:ascii="方正小标宋_GBK" w:eastAsia="方正小标宋_GBK"/>
                <w:sz w:val="24"/>
                <w:lang w:val="en-US" w:eastAsia="zh-CN"/>
              </w:rPr>
            </w:pPr>
            <w:r>
              <w:rPr>
                <w:rFonts w:hint="eastAsia" w:ascii="Times New Roman" w:hAnsi="Times New Roman" w:eastAsia="方正仿宋_GBK" w:cs="Times New Roman"/>
                <w:sz w:val="28"/>
                <w:highlight w:val="none"/>
                <w:lang w:val="en-US" w:eastAsia="zh-CN"/>
              </w:rPr>
              <w:t>318新乐市财政局</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jc w:val="left"/>
        <w:rPr>
          <w:rFonts w:hint="eastAsia" w:hAnsi="宋体"/>
          <w:highlight w:val="none"/>
        </w:rPr>
      </w:pPr>
      <w:r>
        <w:rPr>
          <w:rFonts w:hint="eastAsia" w:ascii="方正书宋_GBK" w:eastAsia="方正书宋_GBK"/>
          <w:highlight w:val="none"/>
        </w:rPr>
        <w:t>注：无政府采购预算，空表列示。</w:t>
      </w:r>
    </w:p>
    <w:p>
      <w:pPr>
        <w:keepNext w:val="0"/>
        <w:keepLines w:val="0"/>
        <w:pageBreakBefore w:val="0"/>
        <w:widowControl/>
        <w:kinsoku/>
        <w:wordWrap/>
        <w:overflowPunct/>
        <w:topLinePunct w:val="0"/>
        <w:bidi w:val="0"/>
        <w:snapToGrid/>
        <w:spacing w:line="500" w:lineRule="exact"/>
        <w:jc w:val="left"/>
        <w:rPr>
          <w:rFonts w:ascii="宋体" w:hAnsi="宋体" w:cs="宋体"/>
          <w:color w:val="000000"/>
          <w:kern w:val="0"/>
          <w:sz w:val="32"/>
          <w:szCs w:val="32"/>
        </w:rPr>
        <w:sectPr>
          <w:pgSz w:w="16839" w:h="11907" w:orient="landscape"/>
          <w:pgMar w:top="1020" w:right="1361" w:bottom="1020" w:left="1361" w:header="851" w:footer="992" w:gutter="0"/>
          <w:cols w:space="720" w:num="1"/>
          <w:docGrid w:type="lines" w:linePitch="312" w:charSpace="0"/>
        </w:sectPr>
      </w:pPr>
    </w:p>
    <w:p>
      <w:pPr>
        <w:keepNext w:val="0"/>
        <w:keepLines w:val="0"/>
        <w:pageBreakBefore w:val="0"/>
        <w:kinsoku/>
        <w:wordWrap/>
        <w:overflowPunct/>
        <w:topLinePunct w:val="0"/>
        <w:autoSpaceDE w:val="0"/>
        <w:autoSpaceDN w:val="0"/>
        <w:bidi w:val="0"/>
        <w:adjustRightInd w:val="0"/>
        <w:snapToGrid/>
        <w:spacing w:line="500" w:lineRule="exact"/>
        <w:ind w:firstLine="640" w:firstLineChars="200"/>
        <w:jc w:val="left"/>
        <w:rPr>
          <w:rFonts w:hint="eastAsia" w:ascii="黑体" w:hAnsi="黑体" w:eastAsia="黑体" w:cs="黑体"/>
          <w:b w:val="0"/>
          <w:bCs w:val="0"/>
          <w:color w:val="000000"/>
          <w:sz w:val="28"/>
          <w:szCs w:val="28"/>
        </w:rPr>
      </w:pPr>
      <w:r>
        <w:rPr>
          <w:rFonts w:hint="eastAsia" w:ascii="黑体" w:hAnsi="黑体" w:eastAsia="黑体" w:cs="Times New Roman"/>
          <w:sz w:val="32"/>
        </w:rPr>
        <w:t>七、国有资产信息公示</w:t>
      </w:r>
    </w:p>
    <w:p>
      <w:pPr>
        <w:keepNext w:val="0"/>
        <w:keepLines w:val="0"/>
        <w:pageBreakBefore w:val="0"/>
        <w:kinsoku/>
        <w:wordWrap/>
        <w:overflowPunct/>
        <w:topLinePunct w:val="0"/>
        <w:bidi w:val="0"/>
        <w:snapToGrid/>
        <w:spacing w:line="500" w:lineRule="exact"/>
        <w:ind w:firstLine="560" w:firstLineChars="200"/>
        <w:jc w:val="left"/>
        <w:rPr>
          <w:rFonts w:hint="eastAsia" w:ascii="宋体" w:hAnsi="宋体" w:cs="宋体"/>
          <w:color w:val="000000"/>
          <w:sz w:val="32"/>
          <w:szCs w:val="32"/>
        </w:rPr>
      </w:pPr>
      <w:r>
        <w:rPr>
          <w:rFonts w:hint="eastAsia" w:ascii="Times New Roman" w:hAnsi="Times New Roman" w:eastAsia="方正仿宋_GBK" w:cs="Times New Roman"/>
          <w:sz w:val="28"/>
          <w:highlight w:val="none"/>
          <w:lang w:val="en-US" w:eastAsia="zh-CN"/>
        </w:rPr>
        <w:t>上年末固定资产金额为424.34万元，本年度各单位（处室）没有购置固定资产的预算，上年度固定资产见下表</w:t>
      </w:r>
    </w:p>
    <w:p>
      <w:pPr>
        <w:keepNext w:val="0"/>
        <w:keepLines w:val="0"/>
        <w:pageBreakBefore w:val="0"/>
        <w:kinsoku/>
        <w:wordWrap/>
        <w:overflowPunct/>
        <w:topLinePunct w:val="0"/>
        <w:autoSpaceDE w:val="0"/>
        <w:autoSpaceDN w:val="0"/>
        <w:bidi w:val="0"/>
        <w:adjustRightInd w:val="0"/>
        <w:snapToGrid/>
        <w:spacing w:line="500" w:lineRule="exact"/>
        <w:jc w:val="center"/>
        <w:rPr>
          <w:rFonts w:hint="eastAsia" w:ascii="黑体" w:hAnsi="黑体" w:eastAsia="黑体" w:cs="黑体"/>
          <w:b/>
          <w:bCs/>
          <w:color w:val="000000"/>
          <w:sz w:val="28"/>
          <w:szCs w:val="28"/>
        </w:rPr>
      </w:pPr>
      <w:r>
        <w:rPr>
          <w:rFonts w:hint="eastAsia" w:ascii="方正小标宋_GBK" w:hAnsi="Times New Roman" w:eastAsia="方正小标宋_GBK" w:cs="Times New Roman"/>
          <w:b/>
          <w:bCs/>
          <w:sz w:val="36"/>
        </w:rPr>
        <w:t>固定资产占用情况表</w:t>
      </w:r>
    </w:p>
    <w:tbl>
      <w:tblPr>
        <w:tblStyle w:val="3"/>
        <w:tblpPr w:leftFromText="180" w:rightFromText="180" w:vertAnchor="text" w:horzAnchor="page" w:tblpX="3585" w:tblpY="1170"/>
        <w:tblOverlap w:val="never"/>
        <w:tblW w:w="9450" w:type="dxa"/>
        <w:tblInd w:w="0" w:type="dxa"/>
        <w:tblLayout w:type="fixed"/>
        <w:tblCellMar>
          <w:top w:w="0" w:type="dxa"/>
          <w:left w:w="108" w:type="dxa"/>
          <w:bottom w:w="0" w:type="dxa"/>
          <w:right w:w="108" w:type="dxa"/>
        </w:tblCellMar>
      </w:tblPr>
      <w:tblGrid>
        <w:gridCol w:w="2847"/>
        <w:gridCol w:w="2970"/>
        <w:gridCol w:w="3633"/>
      </w:tblGrid>
      <w:tr>
        <w:tblPrEx>
          <w:tblCellMar>
            <w:top w:w="0" w:type="dxa"/>
            <w:left w:w="108" w:type="dxa"/>
            <w:bottom w:w="0" w:type="dxa"/>
            <w:right w:w="108" w:type="dxa"/>
          </w:tblCellMar>
        </w:tblPrEx>
        <w:trPr>
          <w:trHeight w:val="821"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项目</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 xml:space="preserve">   数量    </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center"/>
              <w:rPr>
                <w:rFonts w:hint="eastAsia" w:ascii="方正书宋_GBK" w:hAnsi="Times New Roman" w:eastAsia="方正书宋_GBK" w:cs="Times New Roman"/>
                <w:b/>
                <w:lang w:val="en-US" w:eastAsia="zh-CN"/>
              </w:rPr>
            </w:pPr>
            <w:r>
              <w:rPr>
                <w:rFonts w:hint="eastAsia" w:ascii="方正书宋_GBK" w:hAnsi="Times New Roman" w:eastAsia="方正书宋_GBK" w:cs="Times New Roman"/>
                <w:b/>
                <w:lang w:val="en-US" w:eastAsia="zh-CN"/>
              </w:rPr>
              <w:t>价值（金额单位：万元）</w:t>
            </w:r>
          </w:p>
        </w:tc>
      </w:tr>
      <w:tr>
        <w:tblPrEx>
          <w:tblCellMar>
            <w:top w:w="0" w:type="dxa"/>
            <w:left w:w="108" w:type="dxa"/>
            <w:bottom w:w="0" w:type="dxa"/>
            <w:right w:w="108" w:type="dxa"/>
          </w:tblCellMar>
        </w:tblPrEx>
        <w:trPr>
          <w:trHeight w:val="296"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资产总额</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424.34</w:t>
            </w:r>
          </w:p>
        </w:tc>
      </w:tr>
      <w:tr>
        <w:tblPrEx>
          <w:tblCellMar>
            <w:top w:w="0" w:type="dxa"/>
            <w:left w:w="108" w:type="dxa"/>
            <w:bottom w:w="0" w:type="dxa"/>
            <w:right w:w="108" w:type="dxa"/>
          </w:tblCellMar>
        </w:tblPrEx>
        <w:trPr>
          <w:trHeight w:val="416"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1、房屋（平方米）</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0</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74</w:t>
            </w:r>
          </w:p>
        </w:tc>
      </w:tr>
      <w:tr>
        <w:tblPrEx>
          <w:tblCellMar>
            <w:top w:w="0" w:type="dxa"/>
            <w:left w:w="108" w:type="dxa"/>
            <w:bottom w:w="0" w:type="dxa"/>
            <w:right w:w="108" w:type="dxa"/>
          </w:tblCellMar>
        </w:tblPrEx>
        <w:trPr>
          <w:trHeight w:val="371"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其中：办公用房（平方米）</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0</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0</w:t>
            </w:r>
          </w:p>
        </w:tc>
      </w:tr>
      <w:tr>
        <w:tblPrEx>
          <w:tblCellMar>
            <w:top w:w="0" w:type="dxa"/>
            <w:left w:w="108" w:type="dxa"/>
            <w:bottom w:w="0" w:type="dxa"/>
            <w:right w:w="108" w:type="dxa"/>
          </w:tblCellMar>
        </w:tblPrEx>
        <w:trPr>
          <w:trHeight w:val="341"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2、车辆（台、辆）</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1</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14.98</w:t>
            </w:r>
          </w:p>
        </w:tc>
      </w:tr>
      <w:tr>
        <w:tblPrEx>
          <w:tblCellMar>
            <w:top w:w="0" w:type="dxa"/>
            <w:left w:w="108" w:type="dxa"/>
            <w:bottom w:w="0" w:type="dxa"/>
            <w:right w:w="108" w:type="dxa"/>
          </w:tblCellMar>
        </w:tblPrEx>
        <w:trPr>
          <w:trHeight w:val="356"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3、单价在20万元以上的设备</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p>
        </w:tc>
      </w:tr>
      <w:tr>
        <w:tblPrEx>
          <w:tblCellMar>
            <w:top w:w="0" w:type="dxa"/>
            <w:left w:w="108" w:type="dxa"/>
            <w:bottom w:w="0" w:type="dxa"/>
            <w:right w:w="108" w:type="dxa"/>
          </w:tblCellMar>
        </w:tblPrEx>
        <w:trPr>
          <w:trHeight w:val="401" w:hRule="atLeast"/>
        </w:trPr>
        <w:tc>
          <w:tcPr>
            <w:tcW w:w="2847"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4、其他固定资产</w:t>
            </w:r>
          </w:p>
        </w:tc>
        <w:tc>
          <w:tcPr>
            <w:tcW w:w="2970"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w:t>
            </w:r>
          </w:p>
        </w:tc>
        <w:tc>
          <w:tcPr>
            <w:tcW w:w="3633" w:type="dxa"/>
            <w:tcBorders>
              <w:top w:val="single" w:color="000000" w:sz="6" w:space="0"/>
              <w:left w:val="single" w:color="000000" w:sz="6" w:space="0"/>
              <w:bottom w:val="single" w:color="000000" w:sz="6" w:space="0"/>
              <w:right w:val="single" w:color="000000" w:sz="6" w:space="0"/>
            </w:tcBorders>
          </w:tcPr>
          <w:p>
            <w:pPr>
              <w:keepNext w:val="0"/>
              <w:keepLines w:val="0"/>
              <w:pageBreakBefore w:val="0"/>
              <w:kinsoku/>
              <w:wordWrap/>
              <w:overflowPunct/>
              <w:topLinePunct w:val="0"/>
              <w:bidi w:val="0"/>
              <w:snapToGrid/>
              <w:spacing w:line="500" w:lineRule="exact"/>
              <w:jc w:val="left"/>
              <w:rPr>
                <w:rFonts w:hint="eastAsia" w:ascii="方正书宋_GBK" w:hAnsi="Times New Roman" w:eastAsia="方正书宋_GBK" w:cs="Times New Roman"/>
                <w:lang w:val="en-US" w:eastAsia="zh-CN"/>
              </w:rPr>
            </w:pPr>
            <w:r>
              <w:rPr>
                <w:rFonts w:hint="eastAsia" w:ascii="方正书宋_GBK" w:hAnsi="Times New Roman" w:eastAsia="方正书宋_GBK" w:cs="Times New Roman"/>
                <w:lang w:val="en-US" w:eastAsia="zh-CN"/>
              </w:rPr>
              <w:t>335.36</w:t>
            </w:r>
          </w:p>
        </w:tc>
      </w:tr>
    </w:tbl>
    <w:p>
      <w:pPr>
        <w:keepNext w:val="0"/>
        <w:keepLines w:val="0"/>
        <w:pageBreakBefore w:val="0"/>
        <w:kinsoku/>
        <w:wordWrap/>
        <w:overflowPunct/>
        <w:topLinePunct w:val="0"/>
        <w:autoSpaceDE w:val="0"/>
        <w:autoSpaceDN w:val="0"/>
        <w:bidi w:val="0"/>
        <w:adjustRightInd w:val="0"/>
        <w:snapToGrid/>
        <w:spacing w:line="500" w:lineRule="exact"/>
        <w:jc w:val="center"/>
        <w:rPr>
          <w:rFonts w:hint="eastAsia" w:ascii="仿宋" w:hAnsi="仿宋" w:eastAsia="仿宋" w:cs="仿宋"/>
          <w:b/>
          <w:color w:val="000000"/>
          <w:sz w:val="28"/>
          <w:szCs w:val="28"/>
          <w:highlight w:val="none"/>
        </w:rPr>
      </w:pPr>
      <w:r>
        <w:rPr>
          <w:rFonts w:hint="eastAsia" w:ascii="Times New Roman" w:hAnsi="Times New Roman" w:eastAsia="方正仿宋_GBK" w:cs="Times New Roman"/>
          <w:sz w:val="28"/>
          <w:highlight w:val="none"/>
          <w:lang w:val="en-US" w:eastAsia="zh-CN"/>
        </w:rPr>
        <w:t>编制部门：新乐市财政局             截止时间：2018年12月31日</w:t>
      </w:r>
    </w:p>
    <w:p>
      <w:pPr>
        <w:keepNext w:val="0"/>
        <w:keepLines w:val="0"/>
        <w:pageBreakBefore w:val="0"/>
        <w:widowControl/>
        <w:kinsoku/>
        <w:wordWrap/>
        <w:overflowPunct/>
        <w:topLinePunct w:val="0"/>
        <w:bidi w:val="0"/>
        <w:snapToGrid/>
        <w:spacing w:line="500" w:lineRule="exact"/>
        <w:jc w:val="left"/>
        <w:rPr>
          <w:rFonts w:ascii="宋体" w:hAnsi="宋体" w:cs="宋体"/>
          <w:color w:val="000000"/>
          <w:sz w:val="32"/>
          <w:szCs w:val="32"/>
        </w:rPr>
        <w:sectPr>
          <w:pgSz w:w="16838" w:h="11906" w:orient="landscape"/>
          <w:pgMar w:top="1800" w:right="1440" w:bottom="1800" w:left="1440" w:header="851" w:footer="992" w:gutter="0"/>
          <w:pgNumType w:start="1"/>
          <w:cols w:space="720" w:num="1"/>
          <w:docGrid w:type="lines" w:linePitch="312" w:charSpace="0"/>
        </w:sectPr>
      </w:pPr>
    </w:p>
    <w:p>
      <w:pPr>
        <w:keepNext w:val="0"/>
        <w:keepLines w:val="0"/>
        <w:pageBreakBefore w:val="0"/>
        <w:widowControl/>
        <w:shd w:val="clear" w:color="auto" w:fill="FFFFFF"/>
        <w:kinsoku/>
        <w:wordWrap/>
        <w:overflowPunct/>
        <w:topLinePunct w:val="0"/>
        <w:bidi w:val="0"/>
        <w:snapToGrid/>
        <w:spacing w:line="500" w:lineRule="exact"/>
        <w:ind w:firstLine="640" w:firstLineChars="200"/>
        <w:rPr>
          <w:rFonts w:hint="eastAsia" w:ascii="黑体" w:hAnsi="黑体" w:eastAsia="黑体" w:cs="黑体"/>
          <w:b w:val="0"/>
          <w:bCs/>
          <w:color w:val="000000"/>
          <w:kern w:val="0"/>
          <w:sz w:val="28"/>
          <w:szCs w:val="28"/>
        </w:rPr>
      </w:pPr>
      <w:r>
        <w:rPr>
          <w:rFonts w:hint="eastAsia" w:ascii="黑体" w:hAnsi="黑体" w:eastAsia="黑体" w:cs="Times New Roman"/>
          <w:sz w:val="32"/>
        </w:rPr>
        <w:t>八、名词解释</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1、</w:t>
      </w:r>
      <w:r>
        <w:rPr>
          <w:rFonts w:hint="eastAsia" w:eastAsia="方正仿宋_GBK"/>
          <w:b/>
          <w:sz w:val="28"/>
        </w:rPr>
        <w:t>一般公共预算拨款收入：</w:t>
      </w:r>
      <w:r>
        <w:rPr>
          <w:rFonts w:hint="eastAsia" w:eastAsia="方正仿宋_GBK"/>
          <w:sz w:val="28"/>
        </w:rPr>
        <w:t>指</w:t>
      </w:r>
      <w:r>
        <w:rPr>
          <w:rFonts w:hint="eastAsia" w:eastAsia="方正仿宋_GBK"/>
          <w:sz w:val="28"/>
          <w:highlight w:val="none"/>
          <w:lang w:val="en-US" w:eastAsia="zh-CN"/>
        </w:rPr>
        <w:t>县级</w:t>
      </w:r>
      <w:r>
        <w:rPr>
          <w:rFonts w:hint="eastAsia" w:eastAsia="方正仿宋_GBK"/>
          <w:sz w:val="28"/>
        </w:rPr>
        <w:t>财政当年拨付的资金。</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2、</w:t>
      </w:r>
      <w:r>
        <w:rPr>
          <w:rFonts w:hint="eastAsia" w:eastAsia="方正仿宋_GBK"/>
          <w:b/>
          <w:sz w:val="28"/>
        </w:rPr>
        <w:t>事业收入：</w:t>
      </w:r>
      <w:r>
        <w:rPr>
          <w:rFonts w:hint="eastAsia" w:eastAsia="方正仿宋_GBK"/>
          <w:sz w:val="28"/>
        </w:rPr>
        <w:t>指事业单位开展专业业务活动及辅助活动所取得的收入。</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3、</w:t>
      </w:r>
      <w:r>
        <w:rPr>
          <w:rFonts w:hint="eastAsia" w:eastAsia="方正仿宋_GBK"/>
          <w:b/>
          <w:sz w:val="28"/>
        </w:rPr>
        <w:t>其他收入：</w:t>
      </w:r>
      <w:r>
        <w:rPr>
          <w:rFonts w:hint="eastAsia" w:eastAsia="方正仿宋_GBK"/>
          <w:sz w:val="28"/>
        </w:rPr>
        <w:t>指除</w:t>
      </w:r>
      <w:r>
        <w:rPr>
          <w:rFonts w:hint="cs" w:eastAsia="方正仿宋_GBK"/>
          <w:sz w:val="28"/>
          <w:cs/>
        </w:rPr>
        <w:t>“</w:t>
      </w:r>
      <w:r>
        <w:rPr>
          <w:rFonts w:hint="eastAsia" w:eastAsia="方正仿宋_GBK"/>
          <w:sz w:val="28"/>
        </w:rPr>
        <w:t>一般公共预算拨款收入</w:t>
      </w:r>
      <w:r>
        <w:rPr>
          <w:rFonts w:hint="cs" w:eastAsia="方正仿宋_GBK"/>
          <w:sz w:val="28"/>
          <w:cs/>
        </w:rPr>
        <w:t>”</w:t>
      </w:r>
      <w:r>
        <w:rPr>
          <w:rFonts w:hint="eastAsia" w:eastAsia="方正仿宋_GBK"/>
          <w:sz w:val="28"/>
        </w:rPr>
        <w:t>、</w:t>
      </w:r>
      <w:r>
        <w:rPr>
          <w:rFonts w:hint="cs" w:eastAsia="方正仿宋_GBK"/>
          <w:sz w:val="28"/>
          <w:cs/>
        </w:rPr>
        <w:t>“</w:t>
      </w:r>
      <w:r>
        <w:rPr>
          <w:rFonts w:hint="eastAsia" w:eastAsia="方正仿宋_GBK"/>
          <w:sz w:val="28"/>
        </w:rPr>
        <w:t>事业收入</w:t>
      </w:r>
      <w:r>
        <w:rPr>
          <w:rFonts w:hint="cs" w:eastAsia="方正仿宋_GBK"/>
          <w:sz w:val="28"/>
          <w:cs/>
        </w:rPr>
        <w:t>”</w:t>
      </w:r>
      <w:r>
        <w:rPr>
          <w:rFonts w:hint="eastAsia" w:eastAsia="方正仿宋_GBK"/>
          <w:sz w:val="28"/>
        </w:rPr>
        <w:t>等以外的收入。主要是按规定动用的租房收入、存款利息收入等。</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4、</w:t>
      </w:r>
      <w:r>
        <w:rPr>
          <w:rFonts w:hint="eastAsia" w:eastAsia="方正仿宋_GBK"/>
          <w:b/>
          <w:sz w:val="28"/>
        </w:rPr>
        <w:t>基本支出：</w:t>
      </w:r>
      <w:r>
        <w:rPr>
          <w:rFonts w:hint="eastAsia" w:eastAsia="方正仿宋_GBK"/>
          <w:sz w:val="28"/>
        </w:rPr>
        <w:t>指为保障机构正常运转、完成日常工作任务而发生的人员支出和公用支出。</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5、</w:t>
      </w:r>
      <w:r>
        <w:rPr>
          <w:rFonts w:hint="eastAsia" w:eastAsia="方正仿宋_GBK"/>
          <w:b/>
          <w:sz w:val="28"/>
        </w:rPr>
        <w:t>项目支出：</w:t>
      </w:r>
      <w:r>
        <w:rPr>
          <w:rFonts w:hint="eastAsia" w:eastAsia="方正仿宋_GBK"/>
          <w:sz w:val="28"/>
        </w:rPr>
        <w:t>指在基本支出之外为完成特定行政任务和事业发展目标所发生的支出。</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6、</w:t>
      </w:r>
      <w:r>
        <w:rPr>
          <w:rFonts w:hint="eastAsia" w:eastAsia="方正仿宋_GBK"/>
          <w:b/>
          <w:sz w:val="28"/>
        </w:rPr>
        <w:t>上缴上级支出：</w:t>
      </w:r>
      <w:r>
        <w:rPr>
          <w:rFonts w:hint="eastAsia" w:eastAsia="方正仿宋_GBK"/>
          <w:sz w:val="28"/>
        </w:rPr>
        <w:t>指下级单位上缴上级的支出。</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7、</w:t>
      </w:r>
      <w:r>
        <w:rPr>
          <w:rFonts w:hint="cs" w:eastAsia="方正仿宋_GBK"/>
          <w:b/>
          <w:sz w:val="28"/>
          <w:cs/>
        </w:rPr>
        <w:t>“</w:t>
      </w:r>
      <w:r>
        <w:rPr>
          <w:rFonts w:hint="eastAsia" w:eastAsia="方正仿宋_GBK"/>
          <w:b/>
          <w:sz w:val="28"/>
        </w:rPr>
        <w:t>三公</w:t>
      </w:r>
      <w:r>
        <w:rPr>
          <w:rFonts w:hint="cs" w:eastAsia="方正仿宋_GBK"/>
          <w:b/>
          <w:sz w:val="28"/>
          <w:cs/>
        </w:rPr>
        <w:t>”</w:t>
      </w:r>
      <w:r>
        <w:rPr>
          <w:rFonts w:hint="eastAsia" w:eastAsia="方正仿宋_GBK"/>
          <w:b/>
          <w:sz w:val="28"/>
        </w:rPr>
        <w:t>经费：</w:t>
      </w:r>
      <w:r>
        <w:rPr>
          <w:rFonts w:hint="eastAsia" w:eastAsia="方正仿宋_GBK"/>
          <w:sz w:val="28"/>
        </w:rPr>
        <w:t>纳入</w:t>
      </w:r>
      <w:r>
        <w:rPr>
          <w:rFonts w:hint="eastAsia" w:eastAsia="方正仿宋_GBK"/>
          <w:sz w:val="28"/>
          <w:highlight w:val="none"/>
          <w:lang w:val="en-US" w:eastAsia="zh-CN"/>
        </w:rPr>
        <w:t>县级</w:t>
      </w:r>
      <w:r>
        <w:rPr>
          <w:rFonts w:hint="eastAsia" w:eastAsia="方正仿宋_GBK"/>
          <w:sz w:val="28"/>
        </w:rPr>
        <w:t>财政预算管理的</w:t>
      </w:r>
      <w:r>
        <w:rPr>
          <w:rFonts w:hint="cs" w:eastAsia="方正仿宋_GBK"/>
          <w:sz w:val="28"/>
          <w:cs/>
        </w:rPr>
        <w:t>“</w:t>
      </w:r>
      <w:r>
        <w:rPr>
          <w:rFonts w:hint="eastAsia" w:eastAsia="方正仿宋_GBK"/>
          <w:sz w:val="28"/>
        </w:rPr>
        <w:t>三公</w:t>
      </w:r>
      <w:r>
        <w:rPr>
          <w:rFonts w:hint="cs" w:eastAsia="方正仿宋_GBK"/>
          <w:sz w:val="28"/>
          <w:cs/>
        </w:rPr>
        <w:t>”</w:t>
      </w:r>
      <w:r>
        <w:rPr>
          <w:rFonts w:hint="eastAsia" w:eastAsia="方正仿宋_GBK"/>
          <w:sz w:val="28"/>
        </w:rPr>
        <w:t>经费，是指</w:t>
      </w:r>
      <w:r>
        <w:rPr>
          <w:rFonts w:hint="eastAsia" w:eastAsia="方正仿宋_GBK"/>
          <w:sz w:val="28"/>
          <w:highlight w:val="none"/>
          <w:lang w:val="en-US" w:eastAsia="zh-CN"/>
        </w:rPr>
        <w:t>县级</w:t>
      </w:r>
      <w:r>
        <w:rPr>
          <w:rFonts w:hint="eastAsia" w:eastAsia="方正仿宋_GBK"/>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8、</w:t>
      </w:r>
      <w:r>
        <w:rPr>
          <w:rFonts w:hint="eastAsia" w:eastAsia="方正仿宋_GBK"/>
          <w:b/>
          <w:sz w:val="28"/>
        </w:rPr>
        <w:t>机关运行费：</w:t>
      </w:r>
      <w:r>
        <w:rPr>
          <w:rFonts w:hint="eastAsia" w:eastAsia="方正仿宋_GBK"/>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9、</w:t>
      </w:r>
      <w:r>
        <w:rPr>
          <w:rFonts w:hint="eastAsia" w:eastAsia="方正仿宋_GBK"/>
          <w:b/>
          <w:sz w:val="28"/>
        </w:rPr>
        <w:t>上年结转：</w:t>
      </w:r>
      <w:r>
        <w:rPr>
          <w:rFonts w:hint="eastAsia" w:eastAsia="方正仿宋_GBK"/>
          <w:sz w:val="28"/>
        </w:rPr>
        <w:t>指以前年度尚未完成、结转到本年仍按原规定用途继续使用的资金。</w:t>
      </w:r>
    </w:p>
    <w:p>
      <w:pPr>
        <w:keepNext w:val="0"/>
        <w:keepLines w:val="0"/>
        <w:pageBreakBefore w:val="0"/>
        <w:kinsoku/>
        <w:wordWrap/>
        <w:overflowPunct/>
        <w:topLinePunct w:val="0"/>
        <w:bidi w:val="0"/>
        <w:snapToGrid/>
        <w:spacing w:line="500" w:lineRule="exact"/>
        <w:ind w:firstLine="560" w:firstLineChars="200"/>
        <w:jc w:val="left"/>
        <w:rPr>
          <w:rFonts w:hint="eastAsia" w:hAnsi="宋体"/>
          <w:sz w:val="28"/>
        </w:rPr>
      </w:pPr>
      <w:r>
        <w:rPr>
          <w:rFonts w:hint="eastAsia" w:eastAsia="方正仿宋_GBK"/>
          <w:sz w:val="28"/>
        </w:rPr>
        <w:t>10、</w:t>
      </w:r>
      <w:r>
        <w:rPr>
          <w:rFonts w:hint="eastAsia" w:eastAsia="方正仿宋_GBK"/>
          <w:b/>
          <w:sz w:val="28"/>
        </w:rPr>
        <w:t>事业单位经营支出：</w:t>
      </w:r>
      <w:r>
        <w:rPr>
          <w:rFonts w:hint="eastAsia" w:eastAsia="方正仿宋_GBK"/>
          <w:sz w:val="28"/>
        </w:rPr>
        <w:t>指事业单位在专业业务活动及其辅助活动之外开展非独立核算经营活动发生的支出。</w:t>
      </w:r>
    </w:p>
    <w:p>
      <w:pPr>
        <w:keepNext w:val="0"/>
        <w:keepLines w:val="0"/>
        <w:pageBreakBefore w:val="0"/>
        <w:widowControl/>
        <w:shd w:val="clear" w:color="auto" w:fill="FFFFFF"/>
        <w:kinsoku/>
        <w:wordWrap/>
        <w:overflowPunct/>
        <w:topLinePunct w:val="0"/>
        <w:bidi w:val="0"/>
        <w:snapToGrid/>
        <w:spacing w:line="500" w:lineRule="exact"/>
        <w:ind w:firstLine="640" w:firstLineChars="200"/>
        <w:rPr>
          <w:rFonts w:hint="eastAsia" w:ascii="黑体" w:hAnsi="黑体" w:eastAsia="黑体" w:cs="黑体"/>
          <w:b w:val="0"/>
          <w:bCs/>
          <w:color w:val="000000"/>
          <w:kern w:val="0"/>
          <w:sz w:val="28"/>
          <w:szCs w:val="28"/>
        </w:rPr>
      </w:pPr>
      <w:r>
        <w:rPr>
          <w:rFonts w:hint="eastAsia" w:ascii="黑体" w:hAnsi="黑体" w:eastAsia="黑体" w:cs="Times New Roman"/>
          <w:sz w:val="32"/>
        </w:rPr>
        <w:t>九、其他重要事项的情况说明</w:t>
      </w:r>
    </w:p>
    <w:p>
      <w:pPr>
        <w:keepNext w:val="0"/>
        <w:keepLines w:val="0"/>
        <w:pageBreakBefore w:val="0"/>
        <w:kinsoku/>
        <w:wordWrap/>
        <w:overflowPunct/>
        <w:topLinePunct w:val="0"/>
        <w:bidi w:val="0"/>
        <w:snapToGrid/>
        <w:spacing w:line="500" w:lineRule="exact"/>
        <w:ind w:firstLine="560" w:firstLineChars="200"/>
        <w:rPr>
          <w:rFonts w:hint="eastAsia" w:ascii="仿宋" w:hAnsi="仿宋" w:eastAsia="仿宋" w:cs="仿宋"/>
          <w:color w:val="000000"/>
          <w:sz w:val="28"/>
          <w:szCs w:val="28"/>
        </w:rPr>
      </w:pPr>
      <w:r>
        <w:rPr>
          <w:rFonts w:hint="eastAsia" w:ascii="Times New Roman" w:hAnsi="Times New Roman" w:eastAsia="方正仿宋_GBK" w:cs="Times New Roman"/>
          <w:sz w:val="28"/>
          <w:lang w:val="en-US" w:eastAsia="zh-CN"/>
        </w:rPr>
        <w:t>我部门2019年无其他重要事项的说明。</w:t>
      </w:r>
    </w:p>
    <w:p>
      <w:pPr>
        <w:widowControl/>
        <w:shd w:val="clear" w:color="auto" w:fill="FFFFFF"/>
        <w:spacing w:line="324" w:lineRule="atLeast"/>
        <w:ind w:firstLine="320" w:firstLineChars="100"/>
        <w:jc w:val="left"/>
        <w:rPr>
          <w:rFonts w:hint="eastAsia" w:ascii="宋体" w:hAnsi="宋体" w:cs="仿宋_GB2312"/>
          <w:color w:val="000000"/>
          <w:sz w:val="32"/>
          <w:szCs w:val="32"/>
        </w:rPr>
      </w:pPr>
    </w:p>
    <w:p>
      <w:pPr>
        <w:rPr>
          <w:rFonts w:hint="eastAsia" w:ascii="宋体" w:hAnsi="宋体"/>
          <w:color w:val="000000"/>
          <w:sz w:val="32"/>
          <w:szCs w:val="32"/>
        </w:rPr>
      </w:pPr>
    </w:p>
    <w:p>
      <w:pPr>
        <w:rPr>
          <w:rFonts w:hint="eastAsia"/>
        </w:rPr>
      </w:pPr>
    </w:p>
    <w:p/>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楷体">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D26659"/>
    <w:multiLevelType w:val="singleLevel"/>
    <w:tmpl w:val="F0D26659"/>
    <w:lvl w:ilvl="0" w:tentative="0">
      <w:start w:val="2"/>
      <w:numFmt w:val="decimal"/>
      <w:suff w:val="nothing"/>
      <w:lvlText w:val="%1、"/>
      <w:lvlJc w:val="left"/>
    </w:lvl>
  </w:abstractNum>
  <w:abstractNum w:abstractNumId="1">
    <w:nsid w:val="265E0CBD"/>
    <w:multiLevelType w:val="singleLevel"/>
    <w:tmpl w:val="265E0CBD"/>
    <w:lvl w:ilvl="0" w:tentative="0">
      <w:start w:val="2"/>
      <w:numFmt w:val="chineseCounting"/>
      <w:suff w:val="space"/>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AD2183F"/>
    <w:rsid w:val="00DF6979"/>
    <w:rsid w:val="02434AF0"/>
    <w:rsid w:val="11464A89"/>
    <w:rsid w:val="1B1A2565"/>
    <w:rsid w:val="1BB02681"/>
    <w:rsid w:val="24A57422"/>
    <w:rsid w:val="35E11BB1"/>
    <w:rsid w:val="42FA19F8"/>
    <w:rsid w:val="44632CF4"/>
    <w:rsid w:val="4754050F"/>
    <w:rsid w:val="4923774E"/>
    <w:rsid w:val="4DFB682F"/>
    <w:rsid w:val="53AB0B23"/>
    <w:rsid w:val="571F7B60"/>
    <w:rsid w:val="6E856FB4"/>
    <w:rsid w:val="6EA13587"/>
    <w:rsid w:val="721E1927"/>
    <w:rsid w:val="768E21B9"/>
    <w:rsid w:val="7AD2183F"/>
    <w:rsid w:val="7D6A518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qFormat/>
    <w:uiPriority w:val="0"/>
    <w:rPr>
      <w:rFonts w:ascii="宋体" w:hAnsi="Courier New" w:cs="Courier New"/>
      <w:szCs w:val="21"/>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Hyperlink"/>
    <w:basedOn w:val="5"/>
    <w:qFormat/>
    <w:uiPriority w:val="0"/>
    <w:rPr>
      <w:color w:val="0000FF"/>
      <w:u w:val="single"/>
    </w:rPr>
  </w:style>
  <w:style w:type="paragraph" w:customStyle="1" w:styleId="7">
    <w:name w:val="Plain Text1"/>
    <w:basedOn w:val="1"/>
    <w:qFormat/>
    <w:uiPriority w:val="0"/>
    <w:rPr>
      <w:rFonts w:ascii="宋体" w:hAnsi="Courier New" w:cs="Courier New"/>
      <w:szCs w:val="21"/>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2019-02-18T02:13:00Z</dcterms:created>
  <dc:creator>xls</dc:creator>
  <cp:lastModifiedBy>Administrator</cp:lastModifiedBy>
  <dcterms:modified xsi:type="dcterms:W3CDTF">2026-05-24T03:05:09Z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3B7CEF0A624D46C4A8870C6B27DF53B0</vt:lpwstr>
  </property>
</Properties>
</file>