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pPr>
      <w:bookmarkStart w:id="1" w:name="_GoBack"/>
      <w:bookmarkEnd w:id="1"/>
    </w:p>
    <w:p>
      <w:pPr>
        <w:keepNext w:val="0"/>
        <w:keepLines w:val="0"/>
        <w:pageBreakBefore w:val="0"/>
        <w:widowControl/>
        <w:kinsoku/>
        <w:wordWrap/>
        <w:overflowPunct/>
        <w:topLinePunct w:val="0"/>
        <w:autoSpaceDE/>
        <w:autoSpaceDN/>
        <w:bidi w:val="0"/>
        <w:adjustRightInd/>
        <w:snapToGrid/>
        <w:spacing w:before="0" w:after="0" w:line="240" w:lineRule="auto"/>
        <w:ind w:firstLine="0"/>
        <w:jc w:val="center"/>
        <w:textAlignment w:val="auto"/>
        <w:outlineLvl w:val="0"/>
        <w:rPr>
          <w:rFonts w:ascii="黑体" w:hAnsi="黑体" w:eastAsia="黑体" w:cs="黑体"/>
          <w:b/>
          <w:color w:val="000000"/>
          <w:kern w:val="0"/>
          <w:sz w:val="44"/>
          <w:lang w:eastAsia="uk-UA"/>
        </w:rPr>
      </w:pPr>
      <w:bookmarkStart w:id="0" w:name="_Toc_4_4_0000000019"/>
      <w:r>
        <w:rPr>
          <w:rFonts w:ascii="黑体" w:hAnsi="黑体" w:eastAsia="黑体" w:cs="黑体"/>
          <w:b/>
          <w:color w:val="000000"/>
          <w:kern w:val="0"/>
          <w:sz w:val="44"/>
          <w:highlight w:val="yellow"/>
          <w:lang w:val="en-US" w:eastAsia="zh-CN"/>
        </w:rPr>
        <w:t>202</w:t>
      </w:r>
      <w:r>
        <w:rPr>
          <w:rFonts w:hint="eastAsia" w:ascii="黑体" w:hAnsi="黑体" w:eastAsia="黑体" w:cs="黑体"/>
          <w:b/>
          <w:color w:val="000000"/>
          <w:kern w:val="0"/>
          <w:sz w:val="44"/>
          <w:highlight w:val="yellow"/>
          <w:lang w:val="en-US" w:eastAsia="zh-CN"/>
        </w:rPr>
        <w:t>2</w:t>
      </w:r>
      <w:r>
        <w:rPr>
          <w:rFonts w:ascii="黑体" w:hAnsi="黑体" w:eastAsia="黑体" w:cs="黑体"/>
          <w:b/>
          <w:color w:val="000000"/>
          <w:kern w:val="0"/>
          <w:sz w:val="44"/>
          <w:highlight w:val="yellow"/>
          <w:lang w:val="en-US" w:eastAsia="zh-CN"/>
        </w:rPr>
        <w:t xml:space="preserve"> </w:t>
      </w:r>
      <w:r>
        <w:rPr>
          <w:rFonts w:ascii="黑体" w:hAnsi="黑体" w:eastAsia="黑体" w:cs="黑体"/>
          <w:b/>
          <w:color w:val="000000"/>
          <w:kern w:val="0"/>
          <w:sz w:val="44"/>
          <w:lang w:val="en-US" w:eastAsia="zh-CN"/>
        </w:rPr>
        <w:t xml:space="preserve">年单位预算信息公开目录 </w:t>
      </w:r>
    </w:p>
    <w:p>
      <w:pPr>
        <w:keepNext w:val="0"/>
        <w:keepLines w:val="0"/>
        <w:pageBreakBefore w:val="0"/>
        <w:widowControl/>
        <w:kinsoku/>
        <w:wordWrap/>
        <w:overflowPunct/>
        <w:topLinePunct w:val="0"/>
        <w:autoSpaceDE/>
        <w:autoSpaceDN/>
        <w:bidi w:val="0"/>
        <w:adjustRightInd/>
        <w:snapToGrid/>
        <w:spacing w:before="0" w:after="0" w:line="240" w:lineRule="auto"/>
        <w:ind w:firstLine="0"/>
        <w:jc w:val="left"/>
        <w:textAlignment w:val="auto"/>
        <w:outlineLvl w:val="9"/>
        <w:rPr>
          <w:rFonts w:ascii="方正楷体_GBK" w:hAnsi="方正楷体_GBK" w:eastAsia="方正楷体_GBK" w:cs="方正楷体_GBK"/>
          <w:b/>
          <w:color w:val="000000"/>
          <w:kern w:val="0"/>
          <w:sz w:val="28"/>
          <w:lang w:val="en-US" w:eastAsia="zh-CN"/>
        </w:rPr>
      </w:pPr>
    </w:p>
    <w:p>
      <w:pPr>
        <w:keepNext w:val="0"/>
        <w:keepLines w:val="0"/>
        <w:pageBreakBefore w:val="0"/>
        <w:widowControl/>
        <w:kinsoku/>
        <w:wordWrap/>
        <w:overflowPunct/>
        <w:topLinePunct w:val="0"/>
        <w:autoSpaceDE/>
        <w:autoSpaceDN/>
        <w:bidi w:val="0"/>
        <w:adjustRightInd/>
        <w:snapToGrid/>
        <w:spacing w:before="0" w:after="0" w:line="240" w:lineRule="auto"/>
        <w:ind w:firstLine="0"/>
        <w:jc w:val="left"/>
        <w:textAlignment w:val="auto"/>
        <w:outlineLvl w:val="9"/>
        <w:rPr>
          <w:rFonts w:ascii="方正楷体_GBK" w:hAnsi="方正楷体_GBK" w:eastAsia="方正楷体_GBK" w:cs="方正楷体_GBK"/>
          <w:b/>
          <w:color w:val="000000"/>
          <w:kern w:val="0"/>
          <w:sz w:val="28"/>
          <w:lang w:eastAsia="uk-UA"/>
        </w:rPr>
      </w:pPr>
      <w:r>
        <w:rPr>
          <w:rFonts w:ascii="方正楷体_GBK" w:hAnsi="方正楷体_GBK" w:eastAsia="方正楷体_GBK" w:cs="方正楷体_GBK"/>
          <w:b/>
          <w:color w:val="000000"/>
          <w:kern w:val="0"/>
          <w:sz w:val="28"/>
          <w:lang w:val="en-US" w:eastAsia="zh-CN"/>
        </w:rPr>
        <w:t xml:space="preserve">单位预算公开表 </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单位预算收支总表.............................................................................................................................................................</w:t>
      </w:r>
      <w:r>
        <w:rPr>
          <w:rFonts w:hint="eastAsia"/>
          <w:kern w:val="0"/>
          <w:lang w:val="en-US" w:eastAsia="zh-CN"/>
        </w:rPr>
        <w:t>3</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单位预算收入总表.............................................................................................................................................................</w:t>
      </w:r>
      <w:r>
        <w:rPr>
          <w:rFonts w:hint="eastAsia"/>
          <w:kern w:val="0"/>
          <w:lang w:val="en-US" w:eastAsia="zh-CN"/>
        </w:rPr>
        <w:t>5</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单位预算支出总表.............................................................................................................................................................</w:t>
      </w:r>
      <w:r>
        <w:rPr>
          <w:rFonts w:hint="eastAsia"/>
          <w:kern w:val="0"/>
          <w:lang w:val="en-US" w:eastAsia="zh-CN"/>
        </w:rPr>
        <w:t>7</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单位预算财政拨款收支总表..........................................................................................................................................</w:t>
      </w:r>
      <w:r>
        <w:rPr>
          <w:rFonts w:hint="eastAsia"/>
          <w:kern w:val="0"/>
          <w:lang w:val="en-US" w:eastAsia="zh-CN"/>
        </w:rPr>
        <w:t>..</w:t>
      </w:r>
      <w:r>
        <w:rPr>
          <w:rFonts w:hint="default"/>
          <w:kern w:val="0"/>
          <w:lang w:val="en-US" w:eastAsia="zh-CN"/>
        </w:rPr>
        <w:t>.</w:t>
      </w:r>
      <w:r>
        <w:rPr>
          <w:rFonts w:hint="eastAsia"/>
          <w:kern w:val="0"/>
          <w:lang w:val="en-US" w:eastAsia="zh-CN"/>
        </w:rPr>
        <w:t>8</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单位预算一般公共预算财政拨款支出表.......................................................................................................................</w:t>
      </w:r>
      <w:r>
        <w:rPr>
          <w:rFonts w:hint="eastAsia"/>
          <w:kern w:val="0"/>
          <w:lang w:val="en-US" w:eastAsia="zh-CN"/>
        </w:rPr>
        <w:t>10</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单位预算一般公共预算财政拨款基本支出表...............................................................................................................</w:t>
      </w:r>
      <w:r>
        <w:rPr>
          <w:rFonts w:hint="eastAsia"/>
          <w:kern w:val="0"/>
          <w:lang w:val="en-US" w:eastAsia="zh-CN"/>
        </w:rPr>
        <w:t>11</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单位预算政府基金预算财政拨款支出表.......................................................................................................................</w:t>
      </w:r>
      <w:r>
        <w:rPr>
          <w:rFonts w:hint="eastAsia"/>
          <w:kern w:val="0"/>
          <w:lang w:val="en-US" w:eastAsia="zh-CN"/>
        </w:rPr>
        <w:t>13</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kern w:val="0"/>
          <w:lang w:eastAsia="uk-UA"/>
        </w:rPr>
      </w:pPr>
      <w:r>
        <w:rPr>
          <w:rFonts w:hint="default"/>
          <w:kern w:val="0"/>
          <w:lang w:val="en-US" w:eastAsia="zh-CN"/>
        </w:rPr>
        <w:t>单位预算国有资本经营预算财政拨款支出表...............................................................................................................</w:t>
      </w:r>
      <w:r>
        <w:rPr>
          <w:rFonts w:hint="eastAsia"/>
          <w:kern w:val="0"/>
          <w:lang w:val="en-US" w:eastAsia="zh-CN"/>
        </w:rPr>
        <w:t>14</w:t>
      </w:r>
      <w:r>
        <w:rPr>
          <w:rFonts w:hint="default"/>
          <w:kern w:val="0"/>
          <w:lang w:val="en-US" w:eastAsia="zh-CN"/>
        </w:rPr>
        <w:t xml:space="preserve"> </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单位预算财政拨款“三公”经费支出表...........................................................................................................................</w:t>
      </w:r>
      <w:r>
        <w:rPr>
          <w:rFonts w:hint="eastAsia"/>
          <w:kern w:val="0"/>
          <w:lang w:val="en-US" w:eastAsia="zh-CN"/>
        </w:rPr>
        <w:t>15</w:t>
      </w:r>
    </w:p>
    <w:p>
      <w:pPr>
        <w:keepNext w:val="0"/>
        <w:keepLines w:val="0"/>
        <w:pageBreakBefore w:val="0"/>
        <w:widowControl/>
        <w:kinsoku/>
        <w:wordWrap/>
        <w:overflowPunct/>
        <w:topLinePunct w:val="0"/>
        <w:autoSpaceDE/>
        <w:autoSpaceDN/>
        <w:bidi w:val="0"/>
        <w:adjustRightInd/>
        <w:snapToGrid/>
        <w:spacing w:before="0" w:after="0" w:line="240" w:lineRule="auto"/>
        <w:ind w:firstLine="0"/>
        <w:jc w:val="left"/>
        <w:textAlignment w:val="auto"/>
        <w:outlineLvl w:val="9"/>
        <w:rPr>
          <w:rFonts w:ascii="方正楷体_GBK" w:hAnsi="方正楷体_GBK" w:eastAsia="方正楷体_GBK" w:cs="方正楷体_GBK"/>
          <w:b/>
          <w:color w:val="000000"/>
          <w:kern w:val="0"/>
          <w:sz w:val="28"/>
          <w:lang w:eastAsia="uk-UA"/>
        </w:rPr>
      </w:pPr>
      <w:r>
        <w:rPr>
          <w:rFonts w:hint="default" w:ascii="方正楷体_GBK" w:hAnsi="方正楷体_GBK" w:eastAsia="方正楷体_GBK" w:cs="方正楷体_GBK"/>
          <w:b/>
          <w:color w:val="000000"/>
          <w:kern w:val="0"/>
          <w:sz w:val="28"/>
          <w:lang w:val="en-US" w:eastAsia="zh-CN"/>
        </w:rPr>
        <w:t xml:space="preserve">单位预算信息公开情况说明 </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一、单位职责及机构设置情况.........................................................................................................................................</w:t>
      </w:r>
      <w:r>
        <w:rPr>
          <w:rFonts w:hint="eastAsia"/>
          <w:kern w:val="0"/>
          <w:lang w:val="en-US" w:eastAsia="zh-CN"/>
        </w:rPr>
        <w:t>16</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二、单位预算安排的总体情况.......................................................................................................................................</w:t>
      </w:r>
      <w:r>
        <w:rPr>
          <w:rFonts w:hint="eastAsia"/>
          <w:kern w:val="0"/>
          <w:lang w:val="en-US" w:eastAsia="zh-CN"/>
        </w:rPr>
        <w:t>17</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三、机关运行经费安排情况...........................................................................................................................................</w:t>
      </w:r>
      <w:r>
        <w:rPr>
          <w:rFonts w:hint="eastAsia"/>
          <w:kern w:val="0"/>
          <w:lang w:val="en-US" w:eastAsia="zh-CN"/>
        </w:rPr>
        <w:t>17</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zh-CN"/>
        </w:rPr>
      </w:pPr>
      <w:r>
        <w:rPr>
          <w:rFonts w:hint="default"/>
          <w:kern w:val="0"/>
          <w:lang w:val="en-US" w:eastAsia="zh-CN"/>
        </w:rPr>
        <w:t>四、财政拨款“三公”经费预算情况及增减变化原因....................................................................................................</w:t>
      </w:r>
      <w:r>
        <w:rPr>
          <w:rFonts w:hint="eastAsia"/>
          <w:kern w:val="0"/>
          <w:lang w:val="en-US" w:eastAsia="zh-CN"/>
        </w:rPr>
        <w:t>18</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五、预算绩效信息............................................................................................................................................................</w:t>
      </w:r>
      <w:r>
        <w:rPr>
          <w:rFonts w:hint="eastAsia"/>
          <w:kern w:val="0"/>
          <w:lang w:val="en-US" w:eastAsia="zh-CN"/>
        </w:rPr>
        <w:t>18</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六、政府采购预算情况....................................................................................................................................................</w:t>
      </w:r>
      <w:r>
        <w:rPr>
          <w:rFonts w:hint="eastAsia"/>
          <w:kern w:val="0"/>
          <w:lang w:val="en-US" w:eastAsia="zh-CN"/>
        </w:rPr>
        <w:t>21</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七、国有资产信息............................................................................................................................................................</w:t>
      </w:r>
      <w:r>
        <w:rPr>
          <w:rFonts w:hint="eastAsia"/>
          <w:kern w:val="0"/>
          <w:lang w:val="en-US" w:eastAsia="zh-CN"/>
        </w:rPr>
        <w:t>21</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八、名词解释...................................................................................................................................................................</w:t>
      </w:r>
      <w:r>
        <w:rPr>
          <w:rFonts w:hint="eastAsia"/>
          <w:kern w:val="0"/>
          <w:lang w:val="en-US" w:eastAsia="zh-CN"/>
        </w:rPr>
        <w:t>22</w:t>
      </w:r>
    </w:p>
    <w:p>
      <w:pPr>
        <w:pStyle w:val="4"/>
        <w:keepNext w:val="0"/>
        <w:keepLines w:val="0"/>
        <w:pageBreakBefore w:val="0"/>
        <w:widowControl/>
        <w:tabs>
          <w:tab w:val="right" w:leader="dot" w:pos="14562"/>
        </w:tabs>
        <w:kinsoku/>
        <w:wordWrap/>
        <w:overflowPunct/>
        <w:topLinePunct w:val="0"/>
        <w:autoSpaceDE/>
        <w:autoSpaceDN/>
        <w:bidi w:val="0"/>
        <w:adjustRightInd/>
        <w:snapToGrid/>
        <w:jc w:val="left"/>
        <w:textAlignment w:val="auto"/>
        <w:rPr>
          <w:rFonts w:hint="default"/>
          <w:kern w:val="0"/>
          <w:lang w:val="en-US" w:eastAsia="uk-UA"/>
        </w:rPr>
      </w:pPr>
      <w:r>
        <w:rPr>
          <w:rFonts w:hint="default"/>
          <w:kern w:val="0"/>
          <w:lang w:val="en-US" w:eastAsia="zh-CN"/>
        </w:rPr>
        <w:t>九、其他需要说明的事项...............................................................................................................................................</w:t>
      </w:r>
      <w:r>
        <w:rPr>
          <w:rFonts w:hint="eastAsia"/>
          <w:kern w:val="0"/>
          <w:lang w:val="en-US" w:eastAsia="zh-CN"/>
        </w:rPr>
        <w:t>22</w:t>
      </w: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rPr>
          <w:rFonts w:ascii="方正小标宋_GBK" w:hAnsi="方正小标宋_GBK" w:eastAsia="方正小标宋_GBK" w:cs="方正小标宋_GBK"/>
          <w:color w:val="000000"/>
          <w:sz w:val="44"/>
        </w:rPr>
      </w:pPr>
    </w:p>
    <w:p>
      <w:pPr>
        <w:jc w:val="center"/>
        <w:outlineLvl w:val="3"/>
      </w:pPr>
      <w:r>
        <w:rPr>
          <w:rFonts w:ascii="方正小标宋_GBK" w:hAnsi="方正小标宋_GBK" w:eastAsia="方正小标宋_GBK" w:cs="方正小标宋_GBK"/>
          <w:color w:val="000000"/>
          <w:sz w:val="44"/>
        </w:rPr>
        <w:t>一、新乐市市直工委本级收支预算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286001新乐市市直工委本级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6" w:type="dxa"/>
            <w:vAlign w:val="center"/>
          </w:tcPr>
          <w:p>
            <w:pPr>
              <w:pStyle w:val="12"/>
            </w:pPr>
            <w:r>
              <w:t>一、一般公共预算拨款收入</w:t>
            </w:r>
          </w:p>
        </w:tc>
        <w:tc>
          <w:tcPr>
            <w:tcW w:w="2126" w:type="dxa"/>
            <w:vAlign w:val="center"/>
          </w:tcPr>
          <w:p>
            <w:pPr>
              <w:pStyle w:val="13"/>
            </w:pPr>
            <w:r>
              <w:t>1280004.56</w:t>
            </w:r>
          </w:p>
        </w:tc>
        <w:tc>
          <w:tcPr>
            <w:tcW w:w="4535" w:type="dxa"/>
            <w:vAlign w:val="center"/>
          </w:tcPr>
          <w:p>
            <w:pPr>
              <w:pStyle w:val="12"/>
            </w:pPr>
            <w:r>
              <w:t>一、一般公共服务支出</w:t>
            </w:r>
          </w:p>
        </w:tc>
        <w:tc>
          <w:tcPr>
            <w:tcW w:w="2126" w:type="dxa"/>
            <w:vAlign w:val="center"/>
          </w:tcPr>
          <w:p>
            <w:pPr>
              <w:pStyle w:val="13"/>
            </w:pPr>
            <w:r>
              <w:t>756620.00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6"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6"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6"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6"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6"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6"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6"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437560.20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6"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29282.40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r>
              <w:t>56541.96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6"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6" w:type="dxa"/>
            <w:vAlign w:val="center"/>
          </w:tcPr>
          <w:p>
            <w:pPr>
              <w:pStyle w:val="14"/>
            </w:pPr>
            <w:r>
              <w:t>本年收入合计</w:t>
            </w:r>
          </w:p>
        </w:tc>
        <w:tc>
          <w:tcPr>
            <w:tcW w:w="2126" w:type="dxa"/>
            <w:vAlign w:val="center"/>
          </w:tcPr>
          <w:p>
            <w:pPr>
              <w:pStyle w:val="15"/>
            </w:pPr>
            <w:r>
              <w:t>1280004.56</w:t>
            </w:r>
          </w:p>
        </w:tc>
        <w:tc>
          <w:tcPr>
            <w:tcW w:w="4535" w:type="dxa"/>
            <w:vAlign w:val="center"/>
          </w:tcPr>
          <w:p>
            <w:pPr>
              <w:pStyle w:val="14"/>
            </w:pPr>
            <w:r>
              <w:t>本年支出合计</w:t>
            </w:r>
          </w:p>
        </w:tc>
        <w:tc>
          <w:tcPr>
            <w:tcW w:w="2126" w:type="dxa"/>
            <w:vAlign w:val="center"/>
          </w:tcPr>
          <w:p>
            <w:pPr>
              <w:pStyle w:val="15"/>
            </w:pPr>
            <w:r>
              <w:t>1280004.56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6"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6" w:type="dxa"/>
            <w:vAlign w:val="center"/>
          </w:tcPr>
          <w:p>
            <w:pPr>
              <w:pStyle w:val="14"/>
            </w:pPr>
            <w:r>
              <w:t>收入总计</w:t>
            </w:r>
          </w:p>
        </w:tc>
        <w:tc>
          <w:tcPr>
            <w:tcW w:w="2126" w:type="dxa"/>
            <w:vAlign w:val="center"/>
          </w:tcPr>
          <w:p>
            <w:pPr>
              <w:pStyle w:val="15"/>
            </w:pPr>
            <w:r>
              <w:t>1280004.56</w:t>
            </w:r>
          </w:p>
        </w:tc>
        <w:tc>
          <w:tcPr>
            <w:tcW w:w="4535" w:type="dxa"/>
            <w:vAlign w:val="center"/>
          </w:tcPr>
          <w:p>
            <w:pPr>
              <w:pStyle w:val="14"/>
            </w:pPr>
            <w:r>
              <w:t>支出总计</w:t>
            </w:r>
          </w:p>
        </w:tc>
        <w:tc>
          <w:tcPr>
            <w:tcW w:w="2126" w:type="dxa"/>
            <w:vAlign w:val="center"/>
          </w:tcPr>
          <w:p>
            <w:pPr>
              <w:pStyle w:val="15"/>
            </w:pPr>
            <w:r>
              <w:t>1280004.56</w:t>
            </w:r>
          </w:p>
        </w:tc>
      </w:tr>
    </w:tbl>
    <w:p>
      <w:pPr>
        <w:sectPr>
          <w:footerReference r:id="rId3" w:type="default"/>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286001新乐市市直工委本级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1280004.56</w:t>
            </w:r>
          </w:p>
        </w:tc>
        <w:tc>
          <w:tcPr>
            <w:tcW w:w="1134" w:type="dxa"/>
            <w:vAlign w:val="center"/>
          </w:tcPr>
          <w:p>
            <w:pPr>
              <w:pStyle w:val="15"/>
            </w:pPr>
            <w:r>
              <w:t>1280004.56</w:t>
            </w:r>
          </w:p>
        </w:tc>
        <w:tc>
          <w:tcPr>
            <w:tcW w:w="1134" w:type="dxa"/>
            <w:vAlign w:val="center"/>
          </w:tcPr>
          <w:p>
            <w:pPr>
              <w:pStyle w:val="15"/>
            </w:pPr>
            <w:r>
              <w:t>1280004.56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3"/>
            </w:pPr>
            <w:r>
              <w:t>756620.00</w:t>
            </w:r>
          </w:p>
        </w:tc>
        <w:tc>
          <w:tcPr>
            <w:tcW w:w="1134" w:type="dxa"/>
            <w:vAlign w:val="center"/>
          </w:tcPr>
          <w:p>
            <w:pPr>
              <w:pStyle w:val="13"/>
            </w:pPr>
            <w:r>
              <w:t>756620.00</w:t>
            </w:r>
          </w:p>
        </w:tc>
        <w:tc>
          <w:tcPr>
            <w:tcW w:w="1134" w:type="dxa"/>
            <w:vAlign w:val="center"/>
          </w:tcPr>
          <w:p>
            <w:pPr>
              <w:pStyle w:val="13"/>
            </w:pPr>
            <w:r>
              <w:t>756620.00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3"/>
            </w:pPr>
            <w:r>
              <w:t>756620.00</w:t>
            </w:r>
          </w:p>
        </w:tc>
        <w:tc>
          <w:tcPr>
            <w:tcW w:w="1134" w:type="dxa"/>
            <w:vAlign w:val="center"/>
          </w:tcPr>
          <w:p>
            <w:pPr>
              <w:pStyle w:val="13"/>
            </w:pPr>
            <w:r>
              <w:t>756620.00</w:t>
            </w:r>
          </w:p>
        </w:tc>
        <w:tc>
          <w:tcPr>
            <w:tcW w:w="1134" w:type="dxa"/>
            <w:vAlign w:val="center"/>
          </w:tcPr>
          <w:p>
            <w:pPr>
              <w:pStyle w:val="13"/>
            </w:pPr>
            <w:r>
              <w:t>756620.00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3"/>
            </w:pPr>
            <w:r>
              <w:t>716620.00</w:t>
            </w:r>
          </w:p>
        </w:tc>
        <w:tc>
          <w:tcPr>
            <w:tcW w:w="1134" w:type="dxa"/>
            <w:vAlign w:val="center"/>
          </w:tcPr>
          <w:p>
            <w:pPr>
              <w:pStyle w:val="13"/>
            </w:pPr>
            <w:r>
              <w:t>716620.00</w:t>
            </w:r>
          </w:p>
        </w:tc>
        <w:tc>
          <w:tcPr>
            <w:tcW w:w="1134" w:type="dxa"/>
            <w:vAlign w:val="center"/>
          </w:tcPr>
          <w:p>
            <w:pPr>
              <w:pStyle w:val="13"/>
            </w:pPr>
            <w:r>
              <w:t>716620.00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2013102</w:t>
            </w:r>
          </w:p>
        </w:tc>
        <w:tc>
          <w:tcPr>
            <w:tcW w:w="1559" w:type="dxa"/>
            <w:vAlign w:val="center"/>
          </w:tcPr>
          <w:p>
            <w:pPr>
              <w:pStyle w:val="12"/>
            </w:pPr>
            <w:r>
              <w:t>一般行政管理事务</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437560.20</w:t>
            </w:r>
          </w:p>
        </w:tc>
        <w:tc>
          <w:tcPr>
            <w:tcW w:w="1134" w:type="dxa"/>
            <w:vAlign w:val="center"/>
          </w:tcPr>
          <w:p>
            <w:pPr>
              <w:pStyle w:val="13"/>
            </w:pPr>
            <w:r>
              <w:t>437560.20</w:t>
            </w:r>
          </w:p>
        </w:tc>
        <w:tc>
          <w:tcPr>
            <w:tcW w:w="1134" w:type="dxa"/>
            <w:vAlign w:val="center"/>
          </w:tcPr>
          <w:p>
            <w:pPr>
              <w:pStyle w:val="13"/>
            </w:pPr>
            <w:r>
              <w:t>437560.20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435594.28</w:t>
            </w:r>
          </w:p>
        </w:tc>
        <w:tc>
          <w:tcPr>
            <w:tcW w:w="1134" w:type="dxa"/>
            <w:vAlign w:val="center"/>
          </w:tcPr>
          <w:p>
            <w:pPr>
              <w:pStyle w:val="13"/>
            </w:pPr>
            <w:r>
              <w:t>435594.28</w:t>
            </w:r>
          </w:p>
        </w:tc>
        <w:tc>
          <w:tcPr>
            <w:tcW w:w="1134" w:type="dxa"/>
            <w:vAlign w:val="center"/>
          </w:tcPr>
          <w:p>
            <w:pPr>
              <w:pStyle w:val="13"/>
            </w:pPr>
            <w:r>
              <w:t>435594.28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3"/>
            </w:pPr>
            <w:r>
              <w:t>299756.00</w:t>
            </w:r>
          </w:p>
        </w:tc>
        <w:tc>
          <w:tcPr>
            <w:tcW w:w="1134" w:type="dxa"/>
            <w:vAlign w:val="center"/>
          </w:tcPr>
          <w:p>
            <w:pPr>
              <w:pStyle w:val="13"/>
            </w:pPr>
            <w:r>
              <w:t>299756.00</w:t>
            </w:r>
          </w:p>
        </w:tc>
        <w:tc>
          <w:tcPr>
            <w:tcW w:w="1134" w:type="dxa"/>
            <w:vAlign w:val="center"/>
          </w:tcPr>
          <w:p>
            <w:pPr>
              <w:pStyle w:val="13"/>
            </w:pPr>
            <w:r>
              <w:t>299756.00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74429.28</w:t>
            </w:r>
          </w:p>
        </w:tc>
        <w:tc>
          <w:tcPr>
            <w:tcW w:w="1134" w:type="dxa"/>
            <w:vAlign w:val="center"/>
          </w:tcPr>
          <w:p>
            <w:pPr>
              <w:pStyle w:val="13"/>
            </w:pPr>
            <w:r>
              <w:t>74429.28</w:t>
            </w:r>
          </w:p>
        </w:tc>
        <w:tc>
          <w:tcPr>
            <w:tcW w:w="1134" w:type="dxa"/>
            <w:vAlign w:val="center"/>
          </w:tcPr>
          <w:p>
            <w:pPr>
              <w:pStyle w:val="13"/>
            </w:pPr>
            <w:r>
              <w:t>74429.28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3"/>
            </w:pPr>
            <w:r>
              <w:t>61409.00</w:t>
            </w:r>
          </w:p>
        </w:tc>
        <w:tc>
          <w:tcPr>
            <w:tcW w:w="1134" w:type="dxa"/>
            <w:vAlign w:val="center"/>
          </w:tcPr>
          <w:p>
            <w:pPr>
              <w:pStyle w:val="13"/>
            </w:pPr>
            <w:r>
              <w:t>61409.00</w:t>
            </w:r>
          </w:p>
        </w:tc>
        <w:tc>
          <w:tcPr>
            <w:tcW w:w="1134" w:type="dxa"/>
            <w:vAlign w:val="center"/>
          </w:tcPr>
          <w:p>
            <w:pPr>
              <w:pStyle w:val="13"/>
            </w:pPr>
            <w:r>
              <w:t>61409.00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3"/>
            </w:pPr>
            <w:r>
              <w:t>1965.92</w:t>
            </w:r>
          </w:p>
        </w:tc>
        <w:tc>
          <w:tcPr>
            <w:tcW w:w="1134" w:type="dxa"/>
            <w:vAlign w:val="center"/>
          </w:tcPr>
          <w:p>
            <w:pPr>
              <w:pStyle w:val="13"/>
            </w:pPr>
            <w:r>
              <w:t>1965.92</w:t>
            </w:r>
          </w:p>
        </w:tc>
        <w:tc>
          <w:tcPr>
            <w:tcW w:w="1134" w:type="dxa"/>
            <w:vAlign w:val="center"/>
          </w:tcPr>
          <w:p>
            <w:pPr>
              <w:pStyle w:val="13"/>
            </w:pPr>
            <w:r>
              <w:t>1965.92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3"/>
            </w:pPr>
            <w:r>
              <w:t>1965.92</w:t>
            </w:r>
          </w:p>
        </w:tc>
        <w:tc>
          <w:tcPr>
            <w:tcW w:w="1134" w:type="dxa"/>
            <w:vAlign w:val="center"/>
          </w:tcPr>
          <w:p>
            <w:pPr>
              <w:pStyle w:val="13"/>
            </w:pPr>
            <w:r>
              <w:t>1965.92</w:t>
            </w:r>
          </w:p>
        </w:tc>
        <w:tc>
          <w:tcPr>
            <w:tcW w:w="1134" w:type="dxa"/>
            <w:vAlign w:val="center"/>
          </w:tcPr>
          <w:p>
            <w:pPr>
              <w:pStyle w:val="13"/>
            </w:pPr>
            <w:r>
              <w:t>1965.92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29282.40</w:t>
            </w:r>
          </w:p>
        </w:tc>
        <w:tc>
          <w:tcPr>
            <w:tcW w:w="1134" w:type="dxa"/>
            <w:vAlign w:val="center"/>
          </w:tcPr>
          <w:p>
            <w:pPr>
              <w:pStyle w:val="13"/>
            </w:pPr>
            <w:r>
              <w:t>29282.40</w:t>
            </w:r>
          </w:p>
        </w:tc>
        <w:tc>
          <w:tcPr>
            <w:tcW w:w="1134" w:type="dxa"/>
            <w:vAlign w:val="center"/>
          </w:tcPr>
          <w:p>
            <w:pPr>
              <w:pStyle w:val="13"/>
            </w:pPr>
            <w:r>
              <w:t>29282.40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29282.40</w:t>
            </w:r>
          </w:p>
        </w:tc>
        <w:tc>
          <w:tcPr>
            <w:tcW w:w="1134" w:type="dxa"/>
            <w:vAlign w:val="center"/>
          </w:tcPr>
          <w:p>
            <w:pPr>
              <w:pStyle w:val="13"/>
            </w:pPr>
            <w:r>
              <w:t>29282.40</w:t>
            </w:r>
          </w:p>
        </w:tc>
        <w:tc>
          <w:tcPr>
            <w:tcW w:w="1134" w:type="dxa"/>
            <w:vAlign w:val="center"/>
          </w:tcPr>
          <w:p>
            <w:pPr>
              <w:pStyle w:val="13"/>
            </w:pPr>
            <w:r>
              <w:t>29282.40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29282.40</w:t>
            </w:r>
          </w:p>
        </w:tc>
        <w:tc>
          <w:tcPr>
            <w:tcW w:w="1134" w:type="dxa"/>
            <w:vAlign w:val="center"/>
          </w:tcPr>
          <w:p>
            <w:pPr>
              <w:pStyle w:val="13"/>
            </w:pPr>
            <w:r>
              <w:t>29282.40</w:t>
            </w:r>
          </w:p>
        </w:tc>
        <w:tc>
          <w:tcPr>
            <w:tcW w:w="1134" w:type="dxa"/>
            <w:vAlign w:val="center"/>
          </w:tcPr>
          <w:p>
            <w:pPr>
              <w:pStyle w:val="13"/>
            </w:pPr>
            <w:r>
              <w:t>29282.40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3"/>
            </w:pPr>
            <w:r>
              <w:t>56541.96</w:t>
            </w:r>
          </w:p>
        </w:tc>
        <w:tc>
          <w:tcPr>
            <w:tcW w:w="1134" w:type="dxa"/>
            <w:vAlign w:val="center"/>
          </w:tcPr>
          <w:p>
            <w:pPr>
              <w:pStyle w:val="13"/>
            </w:pPr>
            <w:r>
              <w:t>56541.96</w:t>
            </w:r>
          </w:p>
        </w:tc>
        <w:tc>
          <w:tcPr>
            <w:tcW w:w="1134" w:type="dxa"/>
            <w:vAlign w:val="center"/>
          </w:tcPr>
          <w:p>
            <w:pPr>
              <w:pStyle w:val="13"/>
            </w:pPr>
            <w:r>
              <w:t>56541.96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3"/>
            </w:pPr>
            <w:r>
              <w:t>56541.96</w:t>
            </w:r>
          </w:p>
        </w:tc>
        <w:tc>
          <w:tcPr>
            <w:tcW w:w="1134" w:type="dxa"/>
            <w:vAlign w:val="center"/>
          </w:tcPr>
          <w:p>
            <w:pPr>
              <w:pStyle w:val="13"/>
            </w:pPr>
            <w:r>
              <w:t>56541.96</w:t>
            </w:r>
          </w:p>
        </w:tc>
        <w:tc>
          <w:tcPr>
            <w:tcW w:w="1134" w:type="dxa"/>
            <w:vAlign w:val="center"/>
          </w:tcPr>
          <w:p>
            <w:pPr>
              <w:pStyle w:val="13"/>
            </w:pPr>
            <w:r>
              <w:t>56541.96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3"/>
            </w:pPr>
            <w:r>
              <w:t>56541.96</w:t>
            </w:r>
          </w:p>
        </w:tc>
        <w:tc>
          <w:tcPr>
            <w:tcW w:w="1134" w:type="dxa"/>
            <w:vAlign w:val="center"/>
          </w:tcPr>
          <w:p>
            <w:pPr>
              <w:pStyle w:val="13"/>
            </w:pPr>
            <w:r>
              <w:t>56541.96</w:t>
            </w:r>
          </w:p>
        </w:tc>
        <w:tc>
          <w:tcPr>
            <w:tcW w:w="1134" w:type="dxa"/>
            <w:vAlign w:val="center"/>
          </w:tcPr>
          <w:p>
            <w:pPr>
              <w:pStyle w:val="13"/>
            </w:pPr>
            <w:r>
              <w:t>56541.96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1280004.56</w:t>
            </w:r>
          </w:p>
        </w:tc>
        <w:tc>
          <w:tcPr>
            <w:tcW w:w="1361" w:type="dxa"/>
            <w:vAlign w:val="center"/>
          </w:tcPr>
          <w:p>
            <w:pPr>
              <w:pStyle w:val="15"/>
            </w:pPr>
            <w:r>
              <w:t>1240004.56</w:t>
            </w:r>
          </w:p>
        </w:tc>
        <w:tc>
          <w:tcPr>
            <w:tcW w:w="1361" w:type="dxa"/>
            <w:vAlign w:val="center"/>
          </w:tcPr>
          <w:p>
            <w:pPr>
              <w:pStyle w:val="15"/>
            </w:pPr>
            <w:r>
              <w:t>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3"/>
            </w:pPr>
            <w:r>
              <w:t>756620.00</w:t>
            </w:r>
          </w:p>
        </w:tc>
        <w:tc>
          <w:tcPr>
            <w:tcW w:w="1361" w:type="dxa"/>
            <w:vAlign w:val="center"/>
          </w:tcPr>
          <w:p>
            <w:pPr>
              <w:pStyle w:val="13"/>
            </w:pPr>
            <w:r>
              <w:t>716620.00</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2"/>
            </w:pPr>
            <w:r>
              <w:t>20131</w:t>
            </w:r>
          </w:p>
        </w:tc>
        <w:tc>
          <w:tcPr>
            <w:tcW w:w="4536" w:type="dxa"/>
            <w:vAlign w:val="center"/>
          </w:tcPr>
          <w:p>
            <w:pPr>
              <w:pStyle w:val="12"/>
            </w:pPr>
            <w:r>
              <w:t>党委办公厅（室）及相关机构事务</w:t>
            </w:r>
          </w:p>
        </w:tc>
        <w:tc>
          <w:tcPr>
            <w:tcW w:w="1361" w:type="dxa"/>
            <w:vAlign w:val="center"/>
          </w:tcPr>
          <w:p>
            <w:pPr>
              <w:pStyle w:val="13"/>
            </w:pPr>
            <w:r>
              <w:t>756620.00</w:t>
            </w:r>
          </w:p>
        </w:tc>
        <w:tc>
          <w:tcPr>
            <w:tcW w:w="1361" w:type="dxa"/>
            <w:vAlign w:val="center"/>
          </w:tcPr>
          <w:p>
            <w:pPr>
              <w:pStyle w:val="13"/>
            </w:pPr>
            <w:r>
              <w:t>716620.00</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2"/>
            </w:pPr>
            <w:r>
              <w:t>2013101</w:t>
            </w:r>
          </w:p>
        </w:tc>
        <w:tc>
          <w:tcPr>
            <w:tcW w:w="4536" w:type="dxa"/>
            <w:vAlign w:val="center"/>
          </w:tcPr>
          <w:p>
            <w:pPr>
              <w:pStyle w:val="12"/>
            </w:pPr>
            <w:r>
              <w:t>行政运行</w:t>
            </w:r>
          </w:p>
        </w:tc>
        <w:tc>
          <w:tcPr>
            <w:tcW w:w="1361" w:type="dxa"/>
            <w:vAlign w:val="center"/>
          </w:tcPr>
          <w:p>
            <w:pPr>
              <w:pStyle w:val="13"/>
            </w:pPr>
            <w:r>
              <w:t>716620.00</w:t>
            </w:r>
          </w:p>
        </w:tc>
        <w:tc>
          <w:tcPr>
            <w:tcW w:w="1361" w:type="dxa"/>
            <w:vAlign w:val="center"/>
          </w:tcPr>
          <w:p>
            <w:pPr>
              <w:pStyle w:val="13"/>
            </w:pPr>
            <w:r>
              <w:t>716620.00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2"/>
            </w:pPr>
            <w:r>
              <w:t>2013102</w:t>
            </w:r>
          </w:p>
        </w:tc>
        <w:tc>
          <w:tcPr>
            <w:tcW w:w="4536" w:type="dxa"/>
            <w:vAlign w:val="center"/>
          </w:tcPr>
          <w:p>
            <w:pPr>
              <w:pStyle w:val="12"/>
            </w:pPr>
            <w:r>
              <w:t>一般行政管理事务</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3"/>
            </w:pPr>
            <w:r>
              <w:t>437560.20</w:t>
            </w:r>
          </w:p>
        </w:tc>
        <w:tc>
          <w:tcPr>
            <w:tcW w:w="1361" w:type="dxa"/>
            <w:vAlign w:val="center"/>
          </w:tcPr>
          <w:p>
            <w:pPr>
              <w:pStyle w:val="13"/>
            </w:pPr>
            <w:r>
              <w:t>437560.20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3"/>
            </w:pPr>
            <w:r>
              <w:t>435594.28</w:t>
            </w:r>
          </w:p>
        </w:tc>
        <w:tc>
          <w:tcPr>
            <w:tcW w:w="1361" w:type="dxa"/>
            <w:vAlign w:val="center"/>
          </w:tcPr>
          <w:p>
            <w:pPr>
              <w:pStyle w:val="13"/>
            </w:pPr>
            <w:r>
              <w:t>435594.28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3"/>
            </w:pPr>
            <w:r>
              <w:t>299756.00</w:t>
            </w:r>
          </w:p>
        </w:tc>
        <w:tc>
          <w:tcPr>
            <w:tcW w:w="1361" w:type="dxa"/>
            <w:vAlign w:val="center"/>
          </w:tcPr>
          <w:p>
            <w:pPr>
              <w:pStyle w:val="13"/>
            </w:pPr>
            <w:r>
              <w:t>299756.00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3"/>
            </w:pPr>
            <w:r>
              <w:t>74429.28</w:t>
            </w:r>
          </w:p>
        </w:tc>
        <w:tc>
          <w:tcPr>
            <w:tcW w:w="1361" w:type="dxa"/>
            <w:vAlign w:val="center"/>
          </w:tcPr>
          <w:p>
            <w:pPr>
              <w:pStyle w:val="13"/>
            </w:pPr>
            <w:r>
              <w:t>74429.28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2"/>
            </w:pPr>
            <w:r>
              <w:t>2080506</w:t>
            </w:r>
          </w:p>
        </w:tc>
        <w:tc>
          <w:tcPr>
            <w:tcW w:w="4536" w:type="dxa"/>
            <w:vAlign w:val="center"/>
          </w:tcPr>
          <w:p>
            <w:pPr>
              <w:pStyle w:val="12"/>
            </w:pPr>
            <w:r>
              <w:t>机关事业单位职业年金缴费支出</w:t>
            </w:r>
          </w:p>
        </w:tc>
        <w:tc>
          <w:tcPr>
            <w:tcW w:w="1361" w:type="dxa"/>
            <w:vAlign w:val="center"/>
          </w:tcPr>
          <w:p>
            <w:pPr>
              <w:pStyle w:val="13"/>
            </w:pPr>
            <w:r>
              <w:t>61409.00</w:t>
            </w:r>
          </w:p>
        </w:tc>
        <w:tc>
          <w:tcPr>
            <w:tcW w:w="1361" w:type="dxa"/>
            <w:vAlign w:val="center"/>
          </w:tcPr>
          <w:p>
            <w:pPr>
              <w:pStyle w:val="13"/>
            </w:pPr>
            <w:r>
              <w:t>61409.00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2"/>
            </w:pPr>
            <w:r>
              <w:t>20899</w:t>
            </w:r>
          </w:p>
        </w:tc>
        <w:tc>
          <w:tcPr>
            <w:tcW w:w="4536" w:type="dxa"/>
            <w:vAlign w:val="center"/>
          </w:tcPr>
          <w:p>
            <w:pPr>
              <w:pStyle w:val="12"/>
            </w:pPr>
            <w:r>
              <w:t>其他社会保障和就业支出</w:t>
            </w:r>
          </w:p>
        </w:tc>
        <w:tc>
          <w:tcPr>
            <w:tcW w:w="1361" w:type="dxa"/>
            <w:vAlign w:val="center"/>
          </w:tcPr>
          <w:p>
            <w:pPr>
              <w:pStyle w:val="13"/>
            </w:pPr>
            <w:r>
              <w:t>1965.92</w:t>
            </w:r>
          </w:p>
        </w:tc>
        <w:tc>
          <w:tcPr>
            <w:tcW w:w="1361" w:type="dxa"/>
            <w:vAlign w:val="center"/>
          </w:tcPr>
          <w:p>
            <w:pPr>
              <w:pStyle w:val="13"/>
            </w:pPr>
            <w:r>
              <w:t>1965.92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2"/>
            </w:pPr>
            <w:r>
              <w:t>2089999</w:t>
            </w:r>
          </w:p>
        </w:tc>
        <w:tc>
          <w:tcPr>
            <w:tcW w:w="4536" w:type="dxa"/>
            <w:vAlign w:val="center"/>
          </w:tcPr>
          <w:p>
            <w:pPr>
              <w:pStyle w:val="12"/>
            </w:pPr>
            <w:r>
              <w:t>其他社会保障和就业支出</w:t>
            </w:r>
          </w:p>
        </w:tc>
        <w:tc>
          <w:tcPr>
            <w:tcW w:w="1361" w:type="dxa"/>
            <w:vAlign w:val="center"/>
          </w:tcPr>
          <w:p>
            <w:pPr>
              <w:pStyle w:val="13"/>
            </w:pPr>
            <w:r>
              <w:t>1965.92</w:t>
            </w:r>
          </w:p>
        </w:tc>
        <w:tc>
          <w:tcPr>
            <w:tcW w:w="1361" w:type="dxa"/>
            <w:vAlign w:val="center"/>
          </w:tcPr>
          <w:p>
            <w:pPr>
              <w:pStyle w:val="13"/>
            </w:pPr>
            <w:r>
              <w:t>1965.92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3"/>
            </w:pPr>
            <w:r>
              <w:t>29282.40</w:t>
            </w:r>
          </w:p>
        </w:tc>
        <w:tc>
          <w:tcPr>
            <w:tcW w:w="1361" w:type="dxa"/>
            <w:vAlign w:val="center"/>
          </w:tcPr>
          <w:p>
            <w:pPr>
              <w:pStyle w:val="13"/>
            </w:pPr>
            <w:r>
              <w:t>29282.40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3"/>
            </w:pPr>
            <w:r>
              <w:t>29282.40</w:t>
            </w:r>
          </w:p>
        </w:tc>
        <w:tc>
          <w:tcPr>
            <w:tcW w:w="1361" w:type="dxa"/>
            <w:vAlign w:val="center"/>
          </w:tcPr>
          <w:p>
            <w:pPr>
              <w:pStyle w:val="13"/>
            </w:pPr>
            <w:r>
              <w:t>29282.40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3"/>
            </w:pPr>
            <w:r>
              <w:t>29282.40</w:t>
            </w:r>
          </w:p>
        </w:tc>
        <w:tc>
          <w:tcPr>
            <w:tcW w:w="1361" w:type="dxa"/>
            <w:vAlign w:val="center"/>
          </w:tcPr>
          <w:p>
            <w:pPr>
              <w:pStyle w:val="13"/>
            </w:pPr>
            <w:r>
              <w:t>29282.40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3"/>
            </w:pPr>
            <w:r>
              <w:t>56541.96</w:t>
            </w:r>
          </w:p>
        </w:tc>
        <w:tc>
          <w:tcPr>
            <w:tcW w:w="1361" w:type="dxa"/>
            <w:vAlign w:val="center"/>
          </w:tcPr>
          <w:p>
            <w:pPr>
              <w:pStyle w:val="13"/>
            </w:pPr>
            <w:r>
              <w:t>56541.96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3"/>
            </w:pPr>
            <w:r>
              <w:t>56541.96</w:t>
            </w:r>
          </w:p>
        </w:tc>
        <w:tc>
          <w:tcPr>
            <w:tcW w:w="1361" w:type="dxa"/>
            <w:vAlign w:val="center"/>
          </w:tcPr>
          <w:p>
            <w:pPr>
              <w:pStyle w:val="13"/>
            </w:pPr>
            <w:r>
              <w:t>56541.96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3"/>
            </w:pPr>
            <w:r>
              <w:t>56541.96</w:t>
            </w:r>
          </w:p>
        </w:tc>
        <w:tc>
          <w:tcPr>
            <w:tcW w:w="1361" w:type="dxa"/>
            <w:vAlign w:val="center"/>
          </w:tcPr>
          <w:p>
            <w:pPr>
              <w:pStyle w:val="13"/>
            </w:pPr>
            <w:r>
              <w:t>56541.96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2"/>
            </w:pPr>
            <w:r>
              <w:t>一、一般公共预算拨款</w:t>
            </w:r>
          </w:p>
        </w:tc>
        <w:tc>
          <w:tcPr>
            <w:tcW w:w="1474" w:type="dxa"/>
            <w:vAlign w:val="center"/>
          </w:tcPr>
          <w:p>
            <w:pPr>
              <w:pStyle w:val="13"/>
            </w:pPr>
            <w:r>
              <w:t>1280004.56</w:t>
            </w:r>
          </w:p>
        </w:tc>
        <w:tc>
          <w:tcPr>
            <w:tcW w:w="3402" w:type="dxa"/>
            <w:vAlign w:val="center"/>
          </w:tcPr>
          <w:p>
            <w:pPr>
              <w:pStyle w:val="12"/>
            </w:pPr>
            <w:r>
              <w:t>一、一般公共服务支出</w:t>
            </w:r>
          </w:p>
        </w:tc>
        <w:tc>
          <w:tcPr>
            <w:tcW w:w="1474" w:type="dxa"/>
            <w:vAlign w:val="center"/>
          </w:tcPr>
          <w:p>
            <w:pPr>
              <w:pStyle w:val="13"/>
            </w:pPr>
            <w:r>
              <w:t>756620.00</w:t>
            </w:r>
          </w:p>
        </w:tc>
        <w:tc>
          <w:tcPr>
            <w:tcW w:w="1474" w:type="dxa"/>
            <w:vAlign w:val="center"/>
          </w:tcPr>
          <w:p>
            <w:pPr>
              <w:pStyle w:val="13"/>
            </w:pPr>
            <w:r>
              <w:t>756620.00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八、社会保障和就业支出</w:t>
            </w:r>
          </w:p>
        </w:tc>
        <w:tc>
          <w:tcPr>
            <w:tcW w:w="1474" w:type="dxa"/>
            <w:vAlign w:val="center"/>
          </w:tcPr>
          <w:p>
            <w:pPr>
              <w:pStyle w:val="13"/>
            </w:pPr>
            <w:r>
              <w:t>437560.20</w:t>
            </w:r>
          </w:p>
        </w:tc>
        <w:tc>
          <w:tcPr>
            <w:tcW w:w="1474" w:type="dxa"/>
            <w:vAlign w:val="center"/>
          </w:tcPr>
          <w:p>
            <w:pPr>
              <w:pStyle w:val="13"/>
            </w:pPr>
            <w:r>
              <w:t>437560.20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十、卫生健康支出</w:t>
            </w:r>
          </w:p>
        </w:tc>
        <w:tc>
          <w:tcPr>
            <w:tcW w:w="1474" w:type="dxa"/>
            <w:vAlign w:val="center"/>
          </w:tcPr>
          <w:p>
            <w:pPr>
              <w:pStyle w:val="13"/>
            </w:pPr>
            <w:r>
              <w:t>29282.40</w:t>
            </w:r>
          </w:p>
        </w:tc>
        <w:tc>
          <w:tcPr>
            <w:tcW w:w="1474" w:type="dxa"/>
            <w:vAlign w:val="center"/>
          </w:tcPr>
          <w:p>
            <w:pPr>
              <w:pStyle w:val="13"/>
            </w:pPr>
            <w:r>
              <w:t>29282.40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二十、住房保障支出</w:t>
            </w:r>
          </w:p>
        </w:tc>
        <w:tc>
          <w:tcPr>
            <w:tcW w:w="1474" w:type="dxa"/>
            <w:vAlign w:val="center"/>
          </w:tcPr>
          <w:p>
            <w:pPr>
              <w:pStyle w:val="13"/>
            </w:pPr>
            <w:r>
              <w:t>56541.96</w:t>
            </w:r>
          </w:p>
        </w:tc>
        <w:tc>
          <w:tcPr>
            <w:tcW w:w="1474" w:type="dxa"/>
            <w:vAlign w:val="center"/>
          </w:tcPr>
          <w:p>
            <w:pPr>
              <w:pStyle w:val="13"/>
            </w:pPr>
            <w:r>
              <w:t>56541.96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2"/>
            </w:pPr>
          </w:p>
        </w:tc>
        <w:tc>
          <w:tcPr>
            <w:tcW w:w="1474" w:type="dxa"/>
            <w:vAlign w:val="center"/>
          </w:tcPr>
          <w:p>
            <w:pPr>
              <w:pStyle w:val="13"/>
            </w:pPr>
          </w:p>
        </w:tc>
        <w:tc>
          <w:tcPr>
            <w:tcW w:w="3402" w:type="dxa"/>
            <w:vAlign w:val="center"/>
          </w:tcPr>
          <w:p>
            <w:pPr>
              <w:pStyle w:val="12"/>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4"/>
            </w:pPr>
            <w:r>
              <w:t>本年收入合计</w:t>
            </w:r>
          </w:p>
        </w:tc>
        <w:tc>
          <w:tcPr>
            <w:tcW w:w="1474" w:type="dxa"/>
            <w:vAlign w:val="center"/>
          </w:tcPr>
          <w:p>
            <w:pPr>
              <w:pStyle w:val="15"/>
            </w:pPr>
            <w:r>
              <w:t>1280004.56</w:t>
            </w:r>
          </w:p>
        </w:tc>
        <w:tc>
          <w:tcPr>
            <w:tcW w:w="3402" w:type="dxa"/>
            <w:vAlign w:val="center"/>
          </w:tcPr>
          <w:p>
            <w:pPr>
              <w:pStyle w:val="14"/>
            </w:pPr>
            <w:r>
              <w:t>本年支出合计</w:t>
            </w:r>
          </w:p>
        </w:tc>
        <w:tc>
          <w:tcPr>
            <w:tcW w:w="1474" w:type="dxa"/>
            <w:vAlign w:val="center"/>
          </w:tcPr>
          <w:p>
            <w:pPr>
              <w:pStyle w:val="15"/>
            </w:pPr>
            <w:r>
              <w:t>1280004.56</w:t>
            </w:r>
          </w:p>
        </w:tc>
        <w:tc>
          <w:tcPr>
            <w:tcW w:w="1474" w:type="dxa"/>
            <w:vAlign w:val="center"/>
          </w:tcPr>
          <w:p>
            <w:pPr>
              <w:pStyle w:val="15"/>
            </w:pPr>
            <w:r>
              <w:t>1280004.56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年初财政拨款结转和结余</w:t>
            </w:r>
          </w:p>
        </w:tc>
        <w:tc>
          <w:tcPr>
            <w:tcW w:w="1474" w:type="dxa"/>
            <w:vAlign w:val="center"/>
          </w:tcPr>
          <w:p>
            <w:pPr>
              <w:pStyle w:val="13"/>
            </w:pPr>
          </w:p>
        </w:tc>
        <w:tc>
          <w:tcPr>
            <w:tcW w:w="3402" w:type="dxa"/>
            <w:vAlign w:val="center"/>
          </w:tcPr>
          <w:p>
            <w:pPr>
              <w:pStyle w:val="12"/>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2"/>
            </w:pPr>
            <w:r>
              <w:t>一、一般公共预算拨款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2"/>
            </w:pPr>
            <w:r>
              <w:t>二、政府性基金预算拨款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2"/>
            </w:pPr>
            <w:r>
              <w:t>三、国有资本经营预算拨款</w:t>
            </w:r>
          </w:p>
        </w:tc>
        <w:tc>
          <w:tcPr>
            <w:tcW w:w="1474" w:type="dxa"/>
            <w:vAlign w:val="center"/>
          </w:tcPr>
          <w:p>
            <w:pPr>
              <w:pStyle w:val="13"/>
            </w:pPr>
          </w:p>
        </w:tc>
        <w:tc>
          <w:tcPr>
            <w:tcW w:w="3402" w:type="dxa"/>
            <w:vAlign w:val="center"/>
          </w:tcPr>
          <w:p>
            <w:pPr>
              <w:pStyle w:val="12"/>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4"/>
            </w:pPr>
            <w:r>
              <w:t>收入总计</w:t>
            </w:r>
          </w:p>
        </w:tc>
        <w:tc>
          <w:tcPr>
            <w:tcW w:w="1474" w:type="dxa"/>
            <w:vAlign w:val="center"/>
          </w:tcPr>
          <w:p>
            <w:pPr>
              <w:pStyle w:val="15"/>
            </w:pPr>
            <w:r>
              <w:t>1280004.56</w:t>
            </w:r>
          </w:p>
        </w:tc>
        <w:tc>
          <w:tcPr>
            <w:tcW w:w="3402" w:type="dxa"/>
            <w:vAlign w:val="center"/>
          </w:tcPr>
          <w:p>
            <w:pPr>
              <w:pStyle w:val="14"/>
            </w:pPr>
            <w:r>
              <w:t>支出总计</w:t>
            </w:r>
          </w:p>
        </w:tc>
        <w:tc>
          <w:tcPr>
            <w:tcW w:w="1474" w:type="dxa"/>
            <w:vAlign w:val="center"/>
          </w:tcPr>
          <w:p>
            <w:pPr>
              <w:pStyle w:val="15"/>
            </w:pPr>
            <w:r>
              <w:t>1280004.56</w:t>
            </w:r>
          </w:p>
        </w:tc>
        <w:tc>
          <w:tcPr>
            <w:tcW w:w="1474" w:type="dxa"/>
            <w:vAlign w:val="center"/>
          </w:tcPr>
          <w:p>
            <w:pPr>
              <w:pStyle w:val="15"/>
            </w:pPr>
            <w:r>
              <w:t>1280004.56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1280004.56</w:t>
            </w:r>
          </w:p>
        </w:tc>
        <w:tc>
          <w:tcPr>
            <w:tcW w:w="2551" w:type="dxa"/>
            <w:vAlign w:val="center"/>
          </w:tcPr>
          <w:p>
            <w:pPr>
              <w:pStyle w:val="15"/>
            </w:pPr>
            <w:r>
              <w:t>1240004.56</w:t>
            </w:r>
          </w:p>
        </w:tc>
        <w:tc>
          <w:tcPr>
            <w:tcW w:w="2551" w:type="dxa"/>
            <w:vAlign w:val="center"/>
          </w:tcPr>
          <w:p>
            <w:pPr>
              <w:pStyle w:val="15"/>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3"/>
            </w:pPr>
            <w:r>
              <w:t>756620.00</w:t>
            </w:r>
          </w:p>
        </w:tc>
        <w:tc>
          <w:tcPr>
            <w:tcW w:w="2551" w:type="dxa"/>
            <w:vAlign w:val="center"/>
          </w:tcPr>
          <w:p>
            <w:pPr>
              <w:pStyle w:val="13"/>
            </w:pPr>
            <w:r>
              <w:t>716620.00</w:t>
            </w: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3"/>
            </w:pPr>
            <w:r>
              <w:t>756620.00</w:t>
            </w:r>
          </w:p>
        </w:tc>
        <w:tc>
          <w:tcPr>
            <w:tcW w:w="2551" w:type="dxa"/>
            <w:vAlign w:val="center"/>
          </w:tcPr>
          <w:p>
            <w:pPr>
              <w:pStyle w:val="13"/>
            </w:pPr>
            <w:r>
              <w:t>716620.00</w:t>
            </w: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3"/>
            </w:pPr>
            <w:r>
              <w:t>716620.00</w:t>
            </w:r>
          </w:p>
        </w:tc>
        <w:tc>
          <w:tcPr>
            <w:tcW w:w="2551" w:type="dxa"/>
            <w:vAlign w:val="center"/>
          </w:tcPr>
          <w:p>
            <w:pPr>
              <w:pStyle w:val="13"/>
            </w:pPr>
            <w:r>
              <w:t>716620.00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2013102</w:t>
            </w:r>
          </w:p>
        </w:tc>
        <w:tc>
          <w:tcPr>
            <w:tcW w:w="4535" w:type="dxa"/>
            <w:vAlign w:val="center"/>
          </w:tcPr>
          <w:p>
            <w:pPr>
              <w:pStyle w:val="12"/>
            </w:pPr>
            <w:r>
              <w:t>一般行政管理事务</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3"/>
            </w:pPr>
            <w:r>
              <w:t>437560.20</w:t>
            </w:r>
          </w:p>
        </w:tc>
        <w:tc>
          <w:tcPr>
            <w:tcW w:w="2551" w:type="dxa"/>
            <w:vAlign w:val="center"/>
          </w:tcPr>
          <w:p>
            <w:pPr>
              <w:pStyle w:val="13"/>
            </w:pPr>
            <w:r>
              <w:t>437560.20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3"/>
            </w:pPr>
            <w:r>
              <w:t>435594.28</w:t>
            </w:r>
          </w:p>
        </w:tc>
        <w:tc>
          <w:tcPr>
            <w:tcW w:w="2551" w:type="dxa"/>
            <w:vAlign w:val="center"/>
          </w:tcPr>
          <w:p>
            <w:pPr>
              <w:pStyle w:val="13"/>
            </w:pPr>
            <w:r>
              <w:t>435594.28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3"/>
            </w:pPr>
            <w:r>
              <w:t>299756.00</w:t>
            </w:r>
          </w:p>
        </w:tc>
        <w:tc>
          <w:tcPr>
            <w:tcW w:w="2551" w:type="dxa"/>
            <w:vAlign w:val="center"/>
          </w:tcPr>
          <w:p>
            <w:pPr>
              <w:pStyle w:val="13"/>
            </w:pPr>
            <w:r>
              <w:t>299756.00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3"/>
            </w:pPr>
            <w:r>
              <w:t>74429.28</w:t>
            </w:r>
          </w:p>
        </w:tc>
        <w:tc>
          <w:tcPr>
            <w:tcW w:w="2551" w:type="dxa"/>
            <w:vAlign w:val="center"/>
          </w:tcPr>
          <w:p>
            <w:pPr>
              <w:pStyle w:val="13"/>
            </w:pPr>
            <w:r>
              <w:t>74429.28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3"/>
            </w:pPr>
            <w:r>
              <w:t>61409.00</w:t>
            </w:r>
          </w:p>
        </w:tc>
        <w:tc>
          <w:tcPr>
            <w:tcW w:w="2551" w:type="dxa"/>
            <w:vAlign w:val="center"/>
          </w:tcPr>
          <w:p>
            <w:pPr>
              <w:pStyle w:val="13"/>
            </w:pPr>
            <w:r>
              <w:t>61409.00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3"/>
            </w:pPr>
            <w:r>
              <w:t>1965.92</w:t>
            </w:r>
          </w:p>
        </w:tc>
        <w:tc>
          <w:tcPr>
            <w:tcW w:w="2551" w:type="dxa"/>
            <w:vAlign w:val="center"/>
          </w:tcPr>
          <w:p>
            <w:pPr>
              <w:pStyle w:val="13"/>
            </w:pPr>
            <w:r>
              <w:t>1965.92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3"/>
            </w:pPr>
            <w:r>
              <w:t>1965.92</w:t>
            </w:r>
          </w:p>
        </w:tc>
        <w:tc>
          <w:tcPr>
            <w:tcW w:w="2551" w:type="dxa"/>
            <w:vAlign w:val="center"/>
          </w:tcPr>
          <w:p>
            <w:pPr>
              <w:pStyle w:val="13"/>
            </w:pPr>
            <w:r>
              <w:t>1965.92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3"/>
            </w:pPr>
            <w:r>
              <w:t>29282.40</w:t>
            </w:r>
          </w:p>
        </w:tc>
        <w:tc>
          <w:tcPr>
            <w:tcW w:w="2551" w:type="dxa"/>
            <w:vAlign w:val="center"/>
          </w:tcPr>
          <w:p>
            <w:pPr>
              <w:pStyle w:val="13"/>
            </w:pPr>
            <w:r>
              <w:t>29282.40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3"/>
            </w:pPr>
            <w:r>
              <w:t>29282.40</w:t>
            </w:r>
          </w:p>
        </w:tc>
        <w:tc>
          <w:tcPr>
            <w:tcW w:w="2551" w:type="dxa"/>
            <w:vAlign w:val="center"/>
          </w:tcPr>
          <w:p>
            <w:pPr>
              <w:pStyle w:val="13"/>
            </w:pPr>
            <w:r>
              <w:t>29282.40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3"/>
            </w:pPr>
            <w:r>
              <w:t>29282.40</w:t>
            </w:r>
          </w:p>
        </w:tc>
        <w:tc>
          <w:tcPr>
            <w:tcW w:w="2551" w:type="dxa"/>
            <w:vAlign w:val="center"/>
          </w:tcPr>
          <w:p>
            <w:pPr>
              <w:pStyle w:val="13"/>
            </w:pPr>
            <w:r>
              <w:t>29282.40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3"/>
            </w:pPr>
            <w:r>
              <w:t>56541.96</w:t>
            </w:r>
          </w:p>
        </w:tc>
        <w:tc>
          <w:tcPr>
            <w:tcW w:w="2551" w:type="dxa"/>
            <w:vAlign w:val="center"/>
          </w:tcPr>
          <w:p>
            <w:pPr>
              <w:pStyle w:val="13"/>
            </w:pPr>
            <w:r>
              <w:t>56541.96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3"/>
            </w:pPr>
            <w:r>
              <w:t>56541.96</w:t>
            </w:r>
          </w:p>
        </w:tc>
        <w:tc>
          <w:tcPr>
            <w:tcW w:w="2551" w:type="dxa"/>
            <w:vAlign w:val="center"/>
          </w:tcPr>
          <w:p>
            <w:pPr>
              <w:pStyle w:val="13"/>
            </w:pPr>
            <w:r>
              <w:t>56541.96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3"/>
            </w:pPr>
            <w:r>
              <w:t>56541.96</w:t>
            </w:r>
          </w:p>
        </w:tc>
        <w:tc>
          <w:tcPr>
            <w:tcW w:w="2551" w:type="dxa"/>
            <w:vAlign w:val="center"/>
          </w:tcPr>
          <w:p>
            <w:pPr>
              <w:pStyle w:val="13"/>
            </w:pPr>
            <w:r>
              <w:t>56541.96</w:t>
            </w:r>
          </w:p>
        </w:tc>
        <w:tc>
          <w:tcPr>
            <w:tcW w:w="2551"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1240004.56</w:t>
            </w:r>
          </w:p>
        </w:tc>
        <w:tc>
          <w:tcPr>
            <w:tcW w:w="2551" w:type="dxa"/>
            <w:vAlign w:val="center"/>
          </w:tcPr>
          <w:p>
            <w:pPr>
              <w:pStyle w:val="15"/>
            </w:pPr>
            <w:r>
              <w:t>1190038.56</w:t>
            </w:r>
          </w:p>
        </w:tc>
        <w:tc>
          <w:tcPr>
            <w:tcW w:w="2552" w:type="dxa"/>
            <w:vAlign w:val="center"/>
          </w:tcPr>
          <w:p>
            <w:pPr>
              <w:pStyle w:val="15"/>
            </w:pPr>
            <w:r>
              <w:t>49966.00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3"/>
            </w:pPr>
            <w:r>
              <w:t>888782.56</w:t>
            </w:r>
          </w:p>
        </w:tc>
        <w:tc>
          <w:tcPr>
            <w:tcW w:w="2551" w:type="dxa"/>
            <w:vAlign w:val="center"/>
          </w:tcPr>
          <w:p>
            <w:pPr>
              <w:pStyle w:val="13"/>
            </w:pPr>
            <w:r>
              <w:t>888782.56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3"/>
            </w:pPr>
            <w:r>
              <w:t>375612.00</w:t>
            </w:r>
          </w:p>
        </w:tc>
        <w:tc>
          <w:tcPr>
            <w:tcW w:w="2551" w:type="dxa"/>
            <w:vAlign w:val="center"/>
          </w:tcPr>
          <w:p>
            <w:pPr>
              <w:pStyle w:val="13"/>
            </w:pPr>
            <w:r>
              <w:t>375612.00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3"/>
            </w:pPr>
            <w:r>
              <w:t>105840.00</w:t>
            </w:r>
          </w:p>
        </w:tc>
        <w:tc>
          <w:tcPr>
            <w:tcW w:w="2551" w:type="dxa"/>
            <w:vAlign w:val="center"/>
          </w:tcPr>
          <w:p>
            <w:pPr>
              <w:pStyle w:val="13"/>
            </w:pPr>
            <w:r>
              <w:t>105840.00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3"/>
            </w:pPr>
            <w:r>
              <w:t>183702.00</w:t>
            </w:r>
          </w:p>
        </w:tc>
        <w:tc>
          <w:tcPr>
            <w:tcW w:w="2551" w:type="dxa"/>
            <w:vAlign w:val="center"/>
          </w:tcPr>
          <w:p>
            <w:pPr>
              <w:pStyle w:val="13"/>
            </w:pPr>
            <w:r>
              <w:t>183702.00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3"/>
            </w:pPr>
            <w:r>
              <w:t>74429.28</w:t>
            </w:r>
          </w:p>
        </w:tc>
        <w:tc>
          <w:tcPr>
            <w:tcW w:w="2551" w:type="dxa"/>
            <w:vAlign w:val="center"/>
          </w:tcPr>
          <w:p>
            <w:pPr>
              <w:pStyle w:val="13"/>
            </w:pPr>
            <w:r>
              <w:t>74429.28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3"/>
            </w:pPr>
            <w:r>
              <w:t>61409.00</w:t>
            </w:r>
          </w:p>
        </w:tc>
        <w:tc>
          <w:tcPr>
            <w:tcW w:w="2551" w:type="dxa"/>
            <w:vAlign w:val="center"/>
          </w:tcPr>
          <w:p>
            <w:pPr>
              <w:pStyle w:val="13"/>
            </w:pPr>
            <w:r>
              <w:t>61409.00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3"/>
            </w:pPr>
            <w:r>
              <w:t>29282.40</w:t>
            </w:r>
          </w:p>
        </w:tc>
        <w:tc>
          <w:tcPr>
            <w:tcW w:w="2551" w:type="dxa"/>
            <w:vAlign w:val="center"/>
          </w:tcPr>
          <w:p>
            <w:pPr>
              <w:pStyle w:val="13"/>
            </w:pPr>
            <w:r>
              <w:t>29282.40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3"/>
            </w:pPr>
            <w:r>
              <w:t>1965.92</w:t>
            </w:r>
          </w:p>
        </w:tc>
        <w:tc>
          <w:tcPr>
            <w:tcW w:w="2551" w:type="dxa"/>
            <w:vAlign w:val="center"/>
          </w:tcPr>
          <w:p>
            <w:pPr>
              <w:pStyle w:val="13"/>
            </w:pPr>
            <w:r>
              <w:t>1965.92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3"/>
            </w:pPr>
            <w:r>
              <w:t>56541.96</w:t>
            </w:r>
          </w:p>
        </w:tc>
        <w:tc>
          <w:tcPr>
            <w:tcW w:w="2551" w:type="dxa"/>
            <w:vAlign w:val="center"/>
          </w:tcPr>
          <w:p>
            <w:pPr>
              <w:pStyle w:val="13"/>
            </w:pPr>
            <w:r>
              <w:t>56541.96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3"/>
            </w:pPr>
            <w:r>
              <w:t>49966.00</w:t>
            </w:r>
          </w:p>
        </w:tc>
        <w:tc>
          <w:tcPr>
            <w:tcW w:w="2551" w:type="dxa"/>
            <w:vAlign w:val="center"/>
          </w:tcPr>
          <w:p>
            <w:pPr>
              <w:pStyle w:val="13"/>
            </w:pPr>
          </w:p>
        </w:tc>
        <w:tc>
          <w:tcPr>
            <w:tcW w:w="2552" w:type="dxa"/>
            <w:vAlign w:val="center"/>
          </w:tcPr>
          <w:p>
            <w:pPr>
              <w:pStyle w:val="13"/>
            </w:pPr>
            <w:r>
              <w:t>49966.00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3"/>
            </w:pPr>
            <w:r>
              <w:t>4590.00</w:t>
            </w:r>
          </w:p>
        </w:tc>
        <w:tc>
          <w:tcPr>
            <w:tcW w:w="2551" w:type="dxa"/>
            <w:vAlign w:val="center"/>
          </w:tcPr>
          <w:p>
            <w:pPr>
              <w:pStyle w:val="13"/>
            </w:pPr>
          </w:p>
        </w:tc>
        <w:tc>
          <w:tcPr>
            <w:tcW w:w="2552" w:type="dxa"/>
            <w:vAlign w:val="center"/>
          </w:tcPr>
          <w:p>
            <w:pPr>
              <w:pStyle w:val="13"/>
            </w:pPr>
            <w:r>
              <w:t>4590.00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3"/>
            </w:pPr>
            <w:r>
              <w:t>2400.00</w:t>
            </w:r>
          </w:p>
        </w:tc>
        <w:tc>
          <w:tcPr>
            <w:tcW w:w="2551" w:type="dxa"/>
            <w:vAlign w:val="center"/>
          </w:tcPr>
          <w:p>
            <w:pPr>
              <w:pStyle w:val="13"/>
            </w:pPr>
          </w:p>
        </w:tc>
        <w:tc>
          <w:tcPr>
            <w:tcW w:w="2552" w:type="dxa"/>
            <w:vAlign w:val="center"/>
          </w:tcPr>
          <w:p>
            <w:pPr>
              <w:pStyle w:val="13"/>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3"/>
            </w:pPr>
            <w:r>
              <w:t>4450.00</w:t>
            </w:r>
          </w:p>
        </w:tc>
        <w:tc>
          <w:tcPr>
            <w:tcW w:w="2551" w:type="dxa"/>
            <w:vAlign w:val="center"/>
          </w:tcPr>
          <w:p>
            <w:pPr>
              <w:pStyle w:val="13"/>
            </w:pPr>
          </w:p>
        </w:tc>
        <w:tc>
          <w:tcPr>
            <w:tcW w:w="2552" w:type="dxa"/>
            <w:vAlign w:val="center"/>
          </w:tcPr>
          <w:p>
            <w:pPr>
              <w:pStyle w:val="13"/>
            </w:pPr>
            <w:r>
              <w:t>4450.00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3"/>
            </w:pPr>
            <w:r>
              <w:t>6856.00</w:t>
            </w:r>
          </w:p>
        </w:tc>
        <w:tc>
          <w:tcPr>
            <w:tcW w:w="2551" w:type="dxa"/>
            <w:vAlign w:val="center"/>
          </w:tcPr>
          <w:p>
            <w:pPr>
              <w:pStyle w:val="13"/>
            </w:pPr>
          </w:p>
        </w:tc>
        <w:tc>
          <w:tcPr>
            <w:tcW w:w="2552" w:type="dxa"/>
            <w:vAlign w:val="center"/>
          </w:tcPr>
          <w:p>
            <w:pPr>
              <w:pStyle w:val="13"/>
            </w:pPr>
            <w:r>
              <w:t>6856.00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3"/>
            </w:pPr>
            <w:r>
              <w:t>25000.00</w:t>
            </w:r>
          </w:p>
        </w:tc>
        <w:tc>
          <w:tcPr>
            <w:tcW w:w="2551" w:type="dxa"/>
            <w:vAlign w:val="center"/>
          </w:tcPr>
          <w:p>
            <w:pPr>
              <w:pStyle w:val="13"/>
            </w:pPr>
          </w:p>
        </w:tc>
        <w:tc>
          <w:tcPr>
            <w:tcW w:w="2552"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3"/>
            </w:pPr>
            <w:r>
              <w:t>6670.00</w:t>
            </w:r>
          </w:p>
        </w:tc>
        <w:tc>
          <w:tcPr>
            <w:tcW w:w="2551" w:type="dxa"/>
            <w:vAlign w:val="center"/>
          </w:tcPr>
          <w:p>
            <w:pPr>
              <w:pStyle w:val="13"/>
            </w:pPr>
          </w:p>
        </w:tc>
        <w:tc>
          <w:tcPr>
            <w:tcW w:w="2552" w:type="dxa"/>
            <w:vAlign w:val="center"/>
          </w:tcPr>
          <w:p>
            <w:pPr>
              <w:pStyle w:val="13"/>
            </w:pPr>
            <w:r>
              <w:t>6670.00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3"/>
            </w:pPr>
            <w:r>
              <w:t>301256.00</w:t>
            </w:r>
          </w:p>
        </w:tc>
        <w:tc>
          <w:tcPr>
            <w:tcW w:w="2551" w:type="dxa"/>
            <w:vAlign w:val="center"/>
          </w:tcPr>
          <w:p>
            <w:pPr>
              <w:pStyle w:val="13"/>
            </w:pPr>
            <w:r>
              <w:t>301256.00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3"/>
            </w:pPr>
            <w:r>
              <w:t>299756.00</w:t>
            </w:r>
          </w:p>
        </w:tc>
        <w:tc>
          <w:tcPr>
            <w:tcW w:w="2551" w:type="dxa"/>
            <w:vAlign w:val="center"/>
          </w:tcPr>
          <w:p>
            <w:pPr>
              <w:pStyle w:val="13"/>
            </w:pPr>
            <w:r>
              <w:t>299756.00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3"/>
            </w:pPr>
            <w:r>
              <w:t>1500.00</w:t>
            </w:r>
          </w:p>
        </w:tc>
        <w:tc>
          <w:tcPr>
            <w:tcW w:w="2551" w:type="dxa"/>
            <w:vAlign w:val="center"/>
          </w:tcPr>
          <w:p>
            <w:pPr>
              <w:pStyle w:val="13"/>
            </w:pPr>
            <w:r>
              <w:t>1500.00</w:t>
            </w:r>
          </w:p>
        </w:tc>
        <w:tc>
          <w:tcPr>
            <w:tcW w:w="2552" w:type="dxa"/>
            <w:vAlign w:val="center"/>
          </w:tcPr>
          <w:p>
            <w:pPr>
              <w:pStyle w:val="13"/>
            </w:pPr>
          </w:p>
        </w:tc>
      </w:tr>
    </w:tbl>
    <w:p>
      <w:pPr>
        <w:sectPr>
          <w:pgSz w:w="16840" w:h="11900" w:orient="landscape"/>
          <w:pgMar w:top="1361" w:right="1020" w:bottom="1134"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2"/>
            </w:pPr>
          </w:p>
        </w:tc>
        <w:tc>
          <w:tcPr>
            <w:tcW w:w="4535" w:type="dxa"/>
            <w:vAlign w:val="center"/>
          </w:tcPr>
          <w:p>
            <w:pPr>
              <w:pStyle w:val="12"/>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286001新乐市市直工委本级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4"/>
            </w:pPr>
            <w:r>
              <w:t>“三公”经费小计</w:t>
            </w:r>
          </w:p>
        </w:tc>
        <w:tc>
          <w:tcPr>
            <w:tcW w:w="2382" w:type="dxa"/>
            <w:vAlign w:val="center"/>
          </w:tcPr>
          <w:p>
            <w:pPr>
              <w:pStyle w:val="15"/>
            </w:pPr>
            <w:r>
              <w:t>25000.00</w:t>
            </w:r>
          </w:p>
        </w:tc>
        <w:tc>
          <w:tcPr>
            <w:tcW w:w="2381" w:type="dxa"/>
            <w:vAlign w:val="center"/>
          </w:tcPr>
          <w:p>
            <w:pPr>
              <w:pStyle w:val="15"/>
            </w:pPr>
            <w:r>
              <w:t>25000.00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2"/>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2"/>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2"/>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2"/>
            </w:pPr>
            <w:r>
              <w:t>二、公务用车购置及运维费</w:t>
            </w:r>
          </w:p>
        </w:tc>
        <w:tc>
          <w:tcPr>
            <w:tcW w:w="2382" w:type="dxa"/>
            <w:vAlign w:val="center"/>
          </w:tcPr>
          <w:p>
            <w:pPr>
              <w:pStyle w:val="13"/>
            </w:pPr>
            <w:r>
              <w:t>25000.00</w:t>
            </w:r>
          </w:p>
        </w:tc>
        <w:tc>
          <w:tcPr>
            <w:tcW w:w="2381" w:type="dxa"/>
            <w:vAlign w:val="center"/>
          </w:tcPr>
          <w:p>
            <w:pPr>
              <w:pStyle w:val="13"/>
            </w:pPr>
            <w:r>
              <w:t>25000.00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2"/>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2"/>
            </w:pPr>
            <w:r>
              <w:t xml:space="preserve">          公务用车运行维护费</w:t>
            </w:r>
          </w:p>
        </w:tc>
        <w:tc>
          <w:tcPr>
            <w:tcW w:w="2382" w:type="dxa"/>
            <w:vAlign w:val="center"/>
          </w:tcPr>
          <w:p>
            <w:pPr>
              <w:pStyle w:val="13"/>
            </w:pPr>
            <w:r>
              <w:t>25000.00</w:t>
            </w:r>
          </w:p>
        </w:tc>
        <w:tc>
          <w:tcPr>
            <w:tcW w:w="2381" w:type="dxa"/>
            <w:vAlign w:val="center"/>
          </w:tcPr>
          <w:p>
            <w:pPr>
              <w:pStyle w:val="13"/>
            </w:pPr>
            <w:r>
              <w:t>25000.00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2"/>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pgNumType w:fmt="decimal"/>
          <w:cols w:space="720" w:num="1"/>
        </w:sectPr>
      </w:pPr>
    </w:p>
    <w:p>
      <w:pPr>
        <w:jc w:val="center"/>
        <w:outlineLvl w:val="4"/>
      </w:pPr>
      <w:r>
        <w:rPr>
          <w:rFonts w:ascii="方正小标宋_GBK" w:hAnsi="方正小标宋_GBK" w:eastAsia="方正小标宋_GBK" w:cs="方正小标宋_GBK"/>
          <w:color w:val="000000"/>
          <w:sz w:val="44"/>
        </w:rPr>
        <w:t>新乐市市直工委本级2022年单位预算信息公开情况说明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、《地方预决算公开操作规程》和《关于进一步推进预算公开工作的实施意见》规定，现将新乐市市直工委本级2022年单位预算公开如下：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spacing w:line="500" w:lineRule="exact"/>
        <w:ind w:firstLine="560" w:firstLineChars="200"/>
        <w:jc w:val="left"/>
        <w:rPr>
          <w:rFonts w:hint="eastAsia" w:ascii="方正楷体_GBK" w:eastAsia="方正楷体_GBK"/>
          <w:b/>
          <w:sz w:val="32"/>
        </w:rPr>
      </w:pPr>
      <w:r>
        <w:rPr>
          <w:rFonts w:hint="eastAsia" w:ascii="Times New Roman" w:hAnsi="Times New Roman" w:eastAsia="方正仿宋_GBK" w:cs="Times New Roman"/>
          <w:sz w:val="28"/>
        </w:rPr>
        <w:t>组织、规划、部署市直机关党的工作，指导市直机关党的政治建设、思想建设、组织建设、作风建设、纪律建设，把制度建设贯穿其中，深入推进反腐败斗争。组织指导市直机关各级党组织和广大党员学习马克思列宁主义、毛泽东思想、邓小平理论、“三个代表”重要思想、科学发展观、习近平新时代中国特色社会主义思想。对市直机关各级党组织、党员领导干部落实党建责任制、遵守政治纪律和政治规矩情况进行监督检查，并向市委报告。指导市直机关各级党组织实施对党员特别是党员领导干部的监督和管理，及时向市委反映各部门领导班子、领导干部的情况。配合市委有关部门抓好市直机关各部门领导班子思想政治建设，参与对党员领导干部民主生活会和党组（党委）理论学习中心组学习的督促检查和指导，了解掌握情况。督促指导市直机关各部门直属单位党委（总支、支部）按期换届，审批关于召开党员大会或党员代表大会的请示，审批市直机关各部门直属单位党委（总支、支部）领导班子的组成及书记、副书记的任免。指导市直机关各级党组织加强基层组织建设，做好党员发展、教育和管理等工作。了解掌握市直机关工作人员的思想状况，指导市直机关各级党组织加强思想政治工作和精神文明建设。指导市直机关各级党组织做好党的群众工作、统一战线和人民武装工作。领导市直机关工会、共青团、妇委会等群团组织的工作。协同有关部门指导、规划、协调、监督、检查市直机关干部教育培训工作，培训轮训市直机关党务干部。</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新乐市市直工委本级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firstLineChars="200"/>
        <w:jc w:val="left"/>
        <w:rPr>
          <w:rFonts w:hint="eastAsia" w:ascii="Times New Roman" w:hAnsi="Times New Roman" w:eastAsia="方正仿宋_GBK" w:cs="Times New Roman"/>
          <w:sz w:val="28"/>
        </w:rPr>
      </w:pPr>
      <w:r>
        <w:rPr>
          <w:rFonts w:hint="eastAsia" w:ascii="Times New Roman" w:hAnsi="Times New Roman" w:eastAsia="方正仿宋_GBK" w:cs="Times New Roman"/>
          <w:sz w:val="28"/>
        </w:rPr>
        <w:t>按照预算管理有关规定，目前我省单位预算的编制实行综合预算管理，即全部收入和支出都反映在预算中。</w:t>
      </w:r>
    </w:p>
    <w:p>
      <w:pPr>
        <w:pStyle w:val="17"/>
      </w:pPr>
      <w:r>
        <w:t>1、收入预算情况说明</w:t>
      </w:r>
    </w:p>
    <w:p>
      <w:pPr>
        <w:pStyle w:val="17"/>
      </w:pPr>
      <w:r>
        <w:t>反映本部门当年全部收入。2022年预算收入128万元，其中：一般公共预算收入128万元, 事业收入 0万元，其他收入 0万元。</w:t>
      </w:r>
    </w:p>
    <w:p>
      <w:pPr>
        <w:pStyle w:val="17"/>
      </w:pPr>
      <w:r>
        <w:t>2、支出预算情况说明</w:t>
      </w:r>
    </w:p>
    <w:p>
      <w:pPr>
        <w:pStyle w:val="17"/>
      </w:pPr>
      <w:r>
        <w:t>收支预算总表支出栏、基本支出表、项目支出表按经济分类和支出功能分类科目编制，反映我部门年度部门预算中支出预算的总体情况。2022年支出预算128万元，其中基本支出124万元，包括人员经费119万元和日常公用经费5万元</w:t>
      </w:r>
      <w:r>
        <w:rPr>
          <w:rFonts w:hint="eastAsia"/>
          <w:lang w:eastAsia="zh-CN"/>
        </w:rPr>
        <w:t>，</w:t>
      </w:r>
      <w:r>
        <w:t>项目经费4万元。</w:t>
      </w:r>
    </w:p>
    <w:p>
      <w:pPr>
        <w:pStyle w:val="17"/>
      </w:pPr>
      <w:r>
        <w:t>3、较上年增减变化</w:t>
      </w:r>
    </w:p>
    <w:p>
      <w:pPr>
        <w:pStyle w:val="17"/>
      </w:pPr>
      <w:r>
        <w:t>2022年预算收支安排128万元，较去年预算增加</w:t>
      </w:r>
      <w:r>
        <w:rPr>
          <w:rFonts w:hint="eastAsia"/>
          <w:lang w:val="en-US" w:eastAsia="zh-CN"/>
        </w:rPr>
        <w:t>5.08</w:t>
      </w:r>
      <w:r>
        <w:t>万元。</w:t>
      </w:r>
      <w:r>
        <w:rPr>
          <w:rFonts w:hint="eastAsia"/>
          <w:lang w:val="en-US" w:eastAsia="zh-CN"/>
        </w:rPr>
        <w:t>其中基本支出增加4.08万元，项目支出增加1万元，</w:t>
      </w:r>
      <w:r>
        <w:t>主要原因是：退休费中的社保开支退休人员单位负担按月发放费用增加。</w:t>
      </w:r>
    </w:p>
    <w:p>
      <w:pPr>
        <w:spacing w:before="10" w:after="10" w:line="360" w:lineRule="auto"/>
        <w:ind w:firstLine="640"/>
        <w:outlineLvl w:val="2"/>
        <w:rPr>
          <w:color w:val="auto"/>
        </w:rPr>
      </w:pPr>
      <w:r>
        <w:rPr>
          <w:rFonts w:ascii="黑体" w:hAnsi="黑体" w:eastAsia="黑体" w:cs="黑体"/>
          <w:color w:val="auto"/>
          <w:sz w:val="32"/>
        </w:rPr>
        <w:t>三、机关运行经费安排情况</w:t>
      </w:r>
    </w:p>
    <w:p>
      <w:pPr>
        <w:pStyle w:val="18"/>
        <w:rPr>
          <w:rFonts w:hint="eastAsia" w:eastAsia="方正仿宋_GBK"/>
          <w:sz w:val="28"/>
        </w:rPr>
      </w:pPr>
      <w:r>
        <w:rPr>
          <w:rFonts w:hint="eastAsia" w:eastAsia="方正仿宋_GBK"/>
          <w:sz w:val="28"/>
        </w:rPr>
        <w:t>我部门机关运行费共计安排</w:t>
      </w:r>
      <w:r>
        <w:rPr>
          <w:rFonts w:hint="eastAsia"/>
          <w:sz w:val="28"/>
          <w:lang w:val="en-US" w:eastAsia="zh-CN"/>
        </w:rPr>
        <w:t>5</w:t>
      </w:r>
      <w:r>
        <w:rPr>
          <w:rFonts w:hint="eastAsia" w:eastAsia="方正仿宋_GBK"/>
          <w:sz w:val="28"/>
        </w:rPr>
        <w:t>万元</w:t>
      </w:r>
      <w:r>
        <w:rPr>
          <w:rFonts w:hint="eastAsia"/>
          <w:sz w:val="28"/>
          <w:lang w:eastAsia="zh-CN"/>
        </w:rPr>
        <w:t>，</w:t>
      </w:r>
      <w:r>
        <w:rPr>
          <w:rFonts w:hint="eastAsia" w:ascii="宋体" w:hAnsi="宋体" w:eastAsia="宋体" w:cs="宋体"/>
          <w:color w:val="000000"/>
          <w:kern w:val="0"/>
          <w:sz w:val="28"/>
          <w:szCs w:val="28"/>
          <w:lang w:val="en-US" w:eastAsia="zh-CN" w:bidi="ar"/>
        </w:rPr>
        <w:t>主要用于日常维修、办公用房水电费、办公用房取暖费、办公用房物业管理费等日常运行支出。</w:t>
      </w:r>
    </w:p>
    <w:p>
      <w:pPr>
        <w:pStyle w:val="18"/>
        <w:rPr>
          <w:rFonts w:hint="eastAsia" w:eastAsia="方正仿宋_GBK"/>
          <w:sz w:val="28"/>
        </w:rPr>
      </w:pPr>
    </w:p>
    <w:p>
      <w:pPr>
        <w:spacing w:before="10" w:after="10" w:line="360" w:lineRule="auto"/>
        <w:ind w:firstLine="640"/>
        <w:outlineLvl w:val="2"/>
        <w:rPr>
          <w:color w:val="auto"/>
        </w:rPr>
      </w:pPr>
      <w:r>
        <w:rPr>
          <w:rFonts w:ascii="黑体" w:hAnsi="黑体" w:eastAsia="黑体" w:cs="黑体"/>
          <w:color w:val="auto"/>
          <w:sz w:val="32"/>
        </w:rPr>
        <w:t>四、财政拨款“三公”经费预算情况及增减变化原因</w:t>
      </w:r>
    </w:p>
    <w:p>
      <w:pPr>
        <w:pStyle w:val="19"/>
      </w:pPr>
      <w:r>
        <w:t>我</w:t>
      </w:r>
      <w:r>
        <w:rPr>
          <w:rFonts w:hint="eastAsia"/>
          <w:lang w:val="en-US" w:eastAsia="zh-CN"/>
        </w:rPr>
        <w:t>部门</w:t>
      </w:r>
      <w:r>
        <w:t>202</w:t>
      </w:r>
      <w:r>
        <w:rPr>
          <w:rFonts w:hint="eastAsia"/>
          <w:lang w:val="en-US" w:eastAsia="zh-CN"/>
        </w:rPr>
        <w:t>2</w:t>
      </w:r>
      <w:r>
        <w:t>年“三公”经费预算安排共计2.5万元，其中因出国（境）费0万元，公务用车购置及运维费2.5万元（其中：公务用车购置费0万元，公务用车运行费2.5万元），公务接待费0万元。</w:t>
      </w:r>
    </w:p>
    <w:p>
      <w:pPr>
        <w:pStyle w:val="19"/>
      </w:pPr>
      <w:r>
        <w:t>因公出国（境）费0万元，与上年相比持平，无增减变化，主要原因是年初没有安排因公出国费；</w:t>
      </w:r>
    </w:p>
    <w:p>
      <w:pPr>
        <w:pStyle w:val="19"/>
        <w:rPr>
          <w:rFonts w:hint="eastAsia" w:eastAsia="方正仿宋_GBK"/>
          <w:lang w:eastAsia="zh-CN"/>
        </w:rPr>
      </w:pPr>
      <w:r>
        <w:t>公务用车购置及运行维护费</w:t>
      </w:r>
      <w:r>
        <w:rPr>
          <w:rFonts w:hint="eastAsia"/>
          <w:lang w:val="en-US" w:eastAsia="zh-CN"/>
        </w:rPr>
        <w:t>2.</w:t>
      </w:r>
      <w:r>
        <w:t>5万元</w:t>
      </w:r>
      <w:r>
        <w:rPr>
          <w:rFonts w:hint="eastAsia"/>
          <w:lang w:eastAsia="zh-CN"/>
        </w:rPr>
        <w:t>（</w:t>
      </w:r>
      <w:r>
        <w:t>其中公务用车购0万元，公务用车运行维护费</w:t>
      </w:r>
      <w:r>
        <w:rPr>
          <w:rFonts w:hint="eastAsia"/>
          <w:lang w:val="en-US" w:eastAsia="zh-CN"/>
        </w:rPr>
        <w:t>2.</w:t>
      </w:r>
      <w:r>
        <w:t>5万元</w:t>
      </w:r>
      <w:r>
        <w:rPr>
          <w:rFonts w:hint="eastAsia"/>
          <w:lang w:eastAsia="zh-CN"/>
        </w:rPr>
        <w:t>）</w:t>
      </w:r>
      <w:r>
        <w:t>,与上年相比持平，无增减变化；</w:t>
      </w:r>
      <w:r>
        <w:rPr>
          <w:rFonts w:hint="eastAsia"/>
          <w:lang w:eastAsia="zh-CN"/>
        </w:rPr>
        <w:t>（</w:t>
      </w:r>
      <w:r>
        <w:t>其中公务用车购置与上年持平，无增减变化；公务用车运行维护费与上年相比持平，无增减变化</w:t>
      </w:r>
      <w:r>
        <w:rPr>
          <w:rFonts w:hint="eastAsia"/>
          <w:lang w:eastAsia="zh-CN"/>
        </w:rPr>
        <w:t>）；</w:t>
      </w:r>
    </w:p>
    <w:p>
      <w:pPr>
        <w:pStyle w:val="19"/>
        <w:rPr>
          <w:rFonts w:ascii="黑体" w:hAnsi="黑体" w:eastAsia="黑体" w:cs="黑体"/>
          <w:color w:val="000000"/>
          <w:sz w:val="32"/>
        </w:rPr>
      </w:pPr>
      <w:r>
        <w:t>公务接待费0万元，与上年相比持平，无增减变化。</w:t>
      </w:r>
    </w:p>
    <w:p>
      <w:pPr>
        <w:pStyle w:val="20"/>
      </w:pPr>
    </w:p>
    <w:p>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1、党员的教育与管理绩效目标表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完成率</w:t>
            </w:r>
          </w:p>
        </w:tc>
        <w:tc>
          <w:tcPr>
            <w:tcW w:w="2835" w:type="dxa"/>
            <w:vAlign w:val="center"/>
          </w:tcPr>
          <w:p>
            <w:pPr>
              <w:pStyle w:val="12"/>
            </w:pPr>
            <w:r>
              <w:t>党务干部参加培训的数量</w:t>
            </w:r>
          </w:p>
        </w:tc>
        <w:tc>
          <w:tcPr>
            <w:tcW w:w="2551" w:type="dxa"/>
            <w:vAlign w:val="center"/>
          </w:tcPr>
          <w:p>
            <w:pPr>
              <w:pStyle w:val="12"/>
            </w:pPr>
            <w:r>
              <w:t>≥95人</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优良率</w:t>
            </w:r>
          </w:p>
        </w:tc>
        <w:tc>
          <w:tcPr>
            <w:tcW w:w="2835" w:type="dxa"/>
            <w:vAlign w:val="center"/>
          </w:tcPr>
          <w:p>
            <w:pPr>
              <w:pStyle w:val="12"/>
            </w:pPr>
            <w:r>
              <w:t>受教育党员人数占参加红色教育及廉政教育的数量</w:t>
            </w:r>
          </w:p>
        </w:tc>
        <w:tc>
          <w:tcPr>
            <w:tcW w:w="2551" w:type="dxa"/>
            <w:vAlign w:val="center"/>
          </w:tcPr>
          <w:p>
            <w:pPr>
              <w:pStyle w:val="12"/>
            </w:pPr>
            <w:r>
              <w:t>≥95人</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预定进度</w:t>
            </w:r>
          </w:p>
        </w:tc>
        <w:tc>
          <w:tcPr>
            <w:tcW w:w="2835" w:type="dxa"/>
            <w:vAlign w:val="center"/>
          </w:tcPr>
          <w:p>
            <w:pPr>
              <w:pStyle w:val="12"/>
            </w:pPr>
            <w:r>
              <w:t>按预定进度完成党员教育与管理</w:t>
            </w:r>
          </w:p>
        </w:tc>
        <w:tc>
          <w:tcPr>
            <w:tcW w:w="2551" w:type="dxa"/>
            <w:vAlign w:val="center"/>
          </w:tcPr>
          <w:p>
            <w:pPr>
              <w:pStyle w:val="12"/>
            </w:pPr>
            <w:r>
              <w:t>≥95人</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预定成本</w:t>
            </w:r>
          </w:p>
        </w:tc>
        <w:tc>
          <w:tcPr>
            <w:tcW w:w="2835" w:type="dxa"/>
            <w:vAlign w:val="center"/>
          </w:tcPr>
          <w:p>
            <w:pPr>
              <w:pStyle w:val="12"/>
            </w:pPr>
            <w:r>
              <w:t>按预定成本进行党员教育与管理无奖金浪费问题</w:t>
            </w:r>
          </w:p>
        </w:tc>
        <w:tc>
          <w:tcPr>
            <w:tcW w:w="2551" w:type="dxa"/>
            <w:vAlign w:val="center"/>
          </w:tcPr>
          <w:p>
            <w:pPr>
              <w:pStyle w:val="12"/>
            </w:pPr>
            <w:r>
              <w:t>≥95元</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pPr>
            <w:r>
              <w:t>爱国主义教育基地参观学习人次</w:t>
            </w:r>
          </w:p>
        </w:tc>
        <w:tc>
          <w:tcPr>
            <w:tcW w:w="2835" w:type="dxa"/>
            <w:vAlign w:val="center"/>
          </w:tcPr>
          <w:p>
            <w:pPr>
              <w:pStyle w:val="12"/>
            </w:pPr>
            <w:r>
              <w:t>组织前往爱国主义教育基地参观的数量（ 人次）</w:t>
            </w:r>
          </w:p>
        </w:tc>
        <w:tc>
          <w:tcPr>
            <w:tcW w:w="2551" w:type="dxa"/>
            <w:vAlign w:val="center"/>
          </w:tcPr>
          <w:p>
            <w:pPr>
              <w:pStyle w:val="12"/>
            </w:pPr>
            <w:r>
              <w:t>≥95人</w:t>
            </w:r>
          </w:p>
        </w:tc>
        <w:tc>
          <w:tcPr>
            <w:tcW w:w="2268"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接受教育的党员满意程度</w:t>
            </w:r>
          </w:p>
        </w:tc>
        <w:tc>
          <w:tcPr>
            <w:tcW w:w="2835" w:type="dxa"/>
            <w:vAlign w:val="center"/>
          </w:tcPr>
          <w:p>
            <w:pPr>
              <w:pStyle w:val="12"/>
            </w:pPr>
            <w:r>
              <w:t>接受教育的党员满意程度</w:t>
            </w:r>
          </w:p>
        </w:tc>
        <w:tc>
          <w:tcPr>
            <w:tcW w:w="2551" w:type="dxa"/>
            <w:vAlign w:val="center"/>
          </w:tcPr>
          <w:p>
            <w:pPr>
              <w:pStyle w:val="12"/>
            </w:pPr>
            <w:r>
              <w:t>≥95个</w:t>
            </w:r>
          </w:p>
        </w:tc>
        <w:tc>
          <w:tcPr>
            <w:tcW w:w="2268" w:type="dxa"/>
            <w:vAlign w:val="center"/>
          </w:tcPr>
          <w:p>
            <w:pPr>
              <w:pStyle w:val="12"/>
            </w:pPr>
            <w:r>
              <w:t>历史依据</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b/>
          <w:color w:val="000000"/>
          <w:sz w:val="28"/>
        </w:rPr>
        <w:t>2、因搬迁改善办公条件产生的费用绩效目标表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购置设备数量</w:t>
            </w:r>
          </w:p>
        </w:tc>
        <w:tc>
          <w:tcPr>
            <w:tcW w:w="2835" w:type="dxa"/>
            <w:vAlign w:val="center"/>
          </w:tcPr>
          <w:p>
            <w:pPr>
              <w:pStyle w:val="12"/>
            </w:pPr>
            <w:r>
              <w:t>购置设备数量</w:t>
            </w:r>
          </w:p>
        </w:tc>
        <w:tc>
          <w:tcPr>
            <w:tcW w:w="2551" w:type="dxa"/>
            <w:vAlign w:val="center"/>
          </w:tcPr>
          <w:p>
            <w:pPr>
              <w:pStyle w:val="12"/>
            </w:pPr>
            <w:r>
              <w:t>≥100搬迁改善办公条件产生费用</w:t>
            </w:r>
          </w:p>
        </w:tc>
        <w:tc>
          <w:tcPr>
            <w:tcW w:w="2268" w:type="dxa"/>
            <w:vAlign w:val="center"/>
          </w:tcPr>
          <w:p>
            <w:pPr>
              <w:pStyle w:val="12"/>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2835" w:type="dxa"/>
            <w:vAlign w:val="center"/>
          </w:tcPr>
          <w:p>
            <w:pPr>
              <w:pStyle w:val="12"/>
            </w:pPr>
            <w:r>
              <w:t>质量达标率</w:t>
            </w:r>
          </w:p>
        </w:tc>
        <w:tc>
          <w:tcPr>
            <w:tcW w:w="2551" w:type="dxa"/>
            <w:vAlign w:val="center"/>
          </w:tcPr>
          <w:p>
            <w:pPr>
              <w:pStyle w:val="12"/>
            </w:pPr>
            <w:r>
              <w:t>≥100搬迁改善办公条件产生费用</w:t>
            </w:r>
          </w:p>
        </w:tc>
        <w:tc>
          <w:tcPr>
            <w:tcW w:w="2268" w:type="dxa"/>
            <w:vAlign w:val="center"/>
          </w:tcPr>
          <w:p>
            <w:pPr>
              <w:pStyle w:val="12"/>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采购时效完成率</w:t>
            </w:r>
          </w:p>
        </w:tc>
        <w:tc>
          <w:tcPr>
            <w:tcW w:w="2835" w:type="dxa"/>
            <w:vAlign w:val="center"/>
          </w:tcPr>
          <w:p>
            <w:pPr>
              <w:pStyle w:val="12"/>
            </w:pPr>
            <w:r>
              <w:t>采购时效完成率</w:t>
            </w:r>
          </w:p>
        </w:tc>
        <w:tc>
          <w:tcPr>
            <w:tcW w:w="2551" w:type="dxa"/>
            <w:vAlign w:val="center"/>
          </w:tcPr>
          <w:p>
            <w:pPr>
              <w:pStyle w:val="12"/>
            </w:pPr>
            <w:r>
              <w:t>≥100及时完成改善办公条件采购</w:t>
            </w:r>
          </w:p>
        </w:tc>
        <w:tc>
          <w:tcPr>
            <w:tcW w:w="2268" w:type="dxa"/>
            <w:vAlign w:val="center"/>
          </w:tcPr>
          <w:p>
            <w:pPr>
              <w:pStyle w:val="12"/>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≥100预算标准</w:t>
            </w:r>
          </w:p>
        </w:tc>
        <w:tc>
          <w:tcPr>
            <w:tcW w:w="2268" w:type="dxa"/>
            <w:vAlign w:val="center"/>
          </w:tcPr>
          <w:p>
            <w:pPr>
              <w:pStyle w:val="12"/>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生态效益指标</w:t>
            </w:r>
          </w:p>
        </w:tc>
        <w:tc>
          <w:tcPr>
            <w:tcW w:w="2835" w:type="dxa"/>
            <w:vAlign w:val="center"/>
          </w:tcPr>
          <w:p>
            <w:pPr>
              <w:pStyle w:val="12"/>
            </w:pPr>
            <w:r>
              <w:t>改善办公环境质量</w:t>
            </w:r>
          </w:p>
        </w:tc>
        <w:tc>
          <w:tcPr>
            <w:tcW w:w="2835" w:type="dxa"/>
            <w:vAlign w:val="center"/>
          </w:tcPr>
          <w:p>
            <w:pPr>
              <w:pStyle w:val="12"/>
            </w:pPr>
            <w:r>
              <w:t>改善办公环境质量</w:t>
            </w:r>
          </w:p>
        </w:tc>
        <w:tc>
          <w:tcPr>
            <w:tcW w:w="2551" w:type="dxa"/>
            <w:vAlign w:val="center"/>
          </w:tcPr>
          <w:p>
            <w:pPr>
              <w:pStyle w:val="12"/>
            </w:pPr>
            <w:r>
              <w:t>≥100搬迁改善办公条件产生费用</w:t>
            </w:r>
          </w:p>
        </w:tc>
        <w:tc>
          <w:tcPr>
            <w:tcW w:w="2268" w:type="dxa"/>
            <w:vAlign w:val="center"/>
          </w:tcPr>
          <w:p>
            <w:pPr>
              <w:pStyle w:val="12"/>
            </w:pPr>
            <w:r>
              <w:t>市委办统一协调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≥100搬迁单位满意度</w:t>
            </w:r>
          </w:p>
        </w:tc>
        <w:tc>
          <w:tcPr>
            <w:tcW w:w="2268" w:type="dxa"/>
            <w:vAlign w:val="center"/>
          </w:tcPr>
          <w:p>
            <w:pPr>
              <w:pStyle w:val="12"/>
            </w:pPr>
            <w:r>
              <w:t>市委办统一协调</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2022年，新乐市市直工委本级安排政府采购预算0.00万元。具体内容见下表。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286001新乐市市直工委本级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新乐市市直工委本级上年末固定资产金额为0.00万元（详见下表）。本年度拟购置固定资产总额为0.00万元，已按要求列入政府采购预算，详见政府采购预算表。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286001新乐市市直工委本级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val="en-US"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val="en-US" w:eastAsia="zh-CN"/>
        </w:rPr>
        <w:t>县级</w:t>
      </w:r>
      <w:r>
        <w:rPr>
          <w:rFonts w:eastAsia="方正仿宋_GBK"/>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lNDhlM2ZjZDA0NjQzZTExYjVmOTE5N2NkOTg4NWYifQ=="/>
  </w:docVars>
  <w:rsids>
    <w:rsidRoot w:val="00000000"/>
    <w:rsid w:val="0D910D4E"/>
    <w:rsid w:val="11C918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2023-08-01T06:33:00Z</dcterms:created>
  <dc:creator>LENOVO</dc:creator>
  <cp:lastModifiedBy>Administrator</cp:lastModifiedBy>
  <dcterms:modified xsi:type="dcterms:W3CDTF">2026-05-24T03:02:58Z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0D52788925F54FB884B1E0D50689C50D_12</vt:lpwstr>
  </property>
</Properties>
</file>