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hint="eastAsia" w:ascii="方正小标宋_GBK" w:hAnsi="方正小标宋_GBK" w:eastAsia="方正小标宋_GBK" w:cs="方正小标宋_GBK"/>
          <w:color w:val="000000"/>
          <w:sz w:val="72"/>
          <w:lang w:val="en-US" w:eastAsia="zh-CN"/>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286新乐市市直工委</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139.06</w:t>
            </w:r>
          </w:p>
        </w:tc>
        <w:tc>
          <w:tcPr>
            <w:tcW w:w="1971" w:type="dxa"/>
            <w:vAlign w:val="center"/>
          </w:tcPr>
          <w:p>
            <w:pPr>
              <w:pStyle w:val="14"/>
            </w:pPr>
            <w:r>
              <w:t>一、一般公共服务支出</w:t>
            </w:r>
          </w:p>
        </w:tc>
        <w:tc>
          <w:tcPr>
            <w:tcW w:w="1971" w:type="dxa"/>
            <w:vAlign w:val="center"/>
          </w:tcPr>
          <w:p>
            <w:pPr>
              <w:pStyle w:val="13"/>
            </w:pPr>
            <w:r>
              <w:t>73.22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55.06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139.06</w:t>
            </w:r>
          </w:p>
        </w:tc>
        <w:tc>
          <w:tcPr>
            <w:tcW w:w="1971" w:type="dxa"/>
            <w:vAlign w:val="center"/>
          </w:tcPr>
          <w:p>
            <w:pPr>
              <w:pStyle w:val="16"/>
            </w:pPr>
            <w:r>
              <w:t>本年支出合计</w:t>
            </w:r>
          </w:p>
        </w:tc>
        <w:tc>
          <w:tcPr>
            <w:tcW w:w="1971" w:type="dxa"/>
            <w:vAlign w:val="center"/>
          </w:tcPr>
          <w:p>
            <w:pPr>
              <w:pStyle w:val="17"/>
            </w:pPr>
            <w:r>
              <w:t>139.06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139.06</w:t>
            </w:r>
          </w:p>
        </w:tc>
        <w:tc>
          <w:tcPr>
            <w:tcW w:w="1971" w:type="dxa"/>
            <w:vAlign w:val="center"/>
          </w:tcPr>
          <w:p>
            <w:pPr>
              <w:pStyle w:val="16"/>
            </w:pPr>
            <w:r>
              <w:t>支出总计</w:t>
            </w:r>
          </w:p>
        </w:tc>
        <w:tc>
          <w:tcPr>
            <w:tcW w:w="1971" w:type="dxa"/>
            <w:vAlign w:val="center"/>
          </w:tcPr>
          <w:p>
            <w:pPr>
              <w:pStyle w:val="17"/>
            </w:pPr>
            <w:r>
              <w:t>139.06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286新乐市市直工委</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139.06</w:t>
            </w:r>
          </w:p>
        </w:tc>
        <w:tc>
          <w:tcPr>
            <w:tcW w:w="758" w:type="dxa"/>
            <w:vAlign w:val="center"/>
          </w:tcPr>
          <w:p>
            <w:pPr>
              <w:pStyle w:val="17"/>
            </w:pPr>
            <w:r>
              <w:t>139.06</w:t>
            </w:r>
          </w:p>
        </w:tc>
        <w:tc>
          <w:tcPr>
            <w:tcW w:w="758" w:type="dxa"/>
            <w:vAlign w:val="center"/>
          </w:tcPr>
          <w:p>
            <w:pPr>
              <w:pStyle w:val="17"/>
            </w:pPr>
            <w:r>
              <w:t>139.06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73.22</w:t>
            </w:r>
          </w:p>
        </w:tc>
        <w:tc>
          <w:tcPr>
            <w:tcW w:w="758" w:type="dxa"/>
            <w:vAlign w:val="center"/>
          </w:tcPr>
          <w:p>
            <w:pPr>
              <w:pStyle w:val="13"/>
            </w:pPr>
            <w:r>
              <w:t>73.22</w:t>
            </w:r>
          </w:p>
        </w:tc>
        <w:tc>
          <w:tcPr>
            <w:tcW w:w="758" w:type="dxa"/>
            <w:vAlign w:val="center"/>
          </w:tcPr>
          <w:p>
            <w:pPr>
              <w:pStyle w:val="13"/>
            </w:pPr>
            <w:r>
              <w:t>73.22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20131</w:t>
            </w:r>
          </w:p>
        </w:tc>
        <w:tc>
          <w:tcPr>
            <w:tcW w:w="758" w:type="dxa"/>
            <w:vAlign w:val="center"/>
          </w:tcPr>
          <w:p>
            <w:pPr>
              <w:pStyle w:val="14"/>
            </w:pPr>
            <w:r>
              <w:t>党委办公厅（室）及相关机构事务</w:t>
            </w:r>
          </w:p>
        </w:tc>
        <w:tc>
          <w:tcPr>
            <w:tcW w:w="758" w:type="dxa"/>
            <w:vAlign w:val="center"/>
          </w:tcPr>
          <w:p>
            <w:pPr>
              <w:pStyle w:val="13"/>
            </w:pPr>
            <w:r>
              <w:t>73.22</w:t>
            </w:r>
          </w:p>
        </w:tc>
        <w:tc>
          <w:tcPr>
            <w:tcW w:w="758" w:type="dxa"/>
            <w:vAlign w:val="center"/>
          </w:tcPr>
          <w:p>
            <w:pPr>
              <w:pStyle w:val="13"/>
            </w:pPr>
            <w:r>
              <w:t>73.22</w:t>
            </w:r>
          </w:p>
        </w:tc>
        <w:tc>
          <w:tcPr>
            <w:tcW w:w="758" w:type="dxa"/>
            <w:vAlign w:val="center"/>
          </w:tcPr>
          <w:p>
            <w:pPr>
              <w:pStyle w:val="13"/>
            </w:pPr>
            <w:r>
              <w:t>73.22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2013101</w:t>
            </w:r>
          </w:p>
        </w:tc>
        <w:tc>
          <w:tcPr>
            <w:tcW w:w="758" w:type="dxa"/>
            <w:vAlign w:val="center"/>
          </w:tcPr>
          <w:p>
            <w:pPr>
              <w:pStyle w:val="14"/>
            </w:pPr>
            <w:r>
              <w:t>行政运行</w:t>
            </w:r>
          </w:p>
        </w:tc>
        <w:tc>
          <w:tcPr>
            <w:tcW w:w="758" w:type="dxa"/>
            <w:vAlign w:val="center"/>
          </w:tcPr>
          <w:p>
            <w:pPr>
              <w:pStyle w:val="13"/>
            </w:pPr>
            <w:r>
              <w:t>73.22</w:t>
            </w:r>
          </w:p>
        </w:tc>
        <w:tc>
          <w:tcPr>
            <w:tcW w:w="758" w:type="dxa"/>
            <w:vAlign w:val="center"/>
          </w:tcPr>
          <w:p>
            <w:pPr>
              <w:pStyle w:val="13"/>
            </w:pPr>
            <w:r>
              <w:t>73.22</w:t>
            </w:r>
          </w:p>
        </w:tc>
        <w:tc>
          <w:tcPr>
            <w:tcW w:w="758" w:type="dxa"/>
            <w:vAlign w:val="center"/>
          </w:tcPr>
          <w:p>
            <w:pPr>
              <w:pStyle w:val="13"/>
            </w:pPr>
            <w:r>
              <w:t>73.22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55.06</w:t>
            </w:r>
          </w:p>
        </w:tc>
        <w:tc>
          <w:tcPr>
            <w:tcW w:w="758" w:type="dxa"/>
            <w:vAlign w:val="center"/>
          </w:tcPr>
          <w:p>
            <w:pPr>
              <w:pStyle w:val="13"/>
            </w:pPr>
            <w:r>
              <w:t>55.06</w:t>
            </w:r>
          </w:p>
        </w:tc>
        <w:tc>
          <w:tcPr>
            <w:tcW w:w="758" w:type="dxa"/>
            <w:vAlign w:val="center"/>
          </w:tcPr>
          <w:p>
            <w:pPr>
              <w:pStyle w:val="13"/>
            </w:pPr>
            <w:r>
              <w:t>55.06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54.44</w:t>
            </w:r>
          </w:p>
        </w:tc>
        <w:tc>
          <w:tcPr>
            <w:tcW w:w="758" w:type="dxa"/>
            <w:vAlign w:val="center"/>
          </w:tcPr>
          <w:p>
            <w:pPr>
              <w:pStyle w:val="13"/>
            </w:pPr>
            <w:r>
              <w:t>54.44</w:t>
            </w:r>
          </w:p>
        </w:tc>
        <w:tc>
          <w:tcPr>
            <w:tcW w:w="758" w:type="dxa"/>
            <w:vAlign w:val="center"/>
          </w:tcPr>
          <w:p>
            <w:pPr>
              <w:pStyle w:val="13"/>
            </w:pPr>
            <w:r>
              <w:t>54.44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35.25</w:t>
            </w:r>
          </w:p>
        </w:tc>
        <w:tc>
          <w:tcPr>
            <w:tcW w:w="758" w:type="dxa"/>
            <w:vAlign w:val="center"/>
          </w:tcPr>
          <w:p>
            <w:pPr>
              <w:pStyle w:val="13"/>
            </w:pPr>
            <w:r>
              <w:t>35.25</w:t>
            </w:r>
          </w:p>
        </w:tc>
        <w:tc>
          <w:tcPr>
            <w:tcW w:w="758" w:type="dxa"/>
            <w:vAlign w:val="center"/>
          </w:tcPr>
          <w:p>
            <w:pPr>
              <w:pStyle w:val="13"/>
            </w:pPr>
            <w:r>
              <w:t>35.25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8.01</w:t>
            </w:r>
          </w:p>
        </w:tc>
        <w:tc>
          <w:tcPr>
            <w:tcW w:w="758" w:type="dxa"/>
            <w:vAlign w:val="center"/>
          </w:tcPr>
          <w:p>
            <w:pPr>
              <w:pStyle w:val="13"/>
            </w:pPr>
            <w:r>
              <w:t>8.01</w:t>
            </w:r>
          </w:p>
        </w:tc>
        <w:tc>
          <w:tcPr>
            <w:tcW w:w="758" w:type="dxa"/>
            <w:vAlign w:val="center"/>
          </w:tcPr>
          <w:p>
            <w:pPr>
              <w:pStyle w:val="13"/>
            </w:pPr>
            <w:r>
              <w:t>8.01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11.18</w:t>
            </w:r>
          </w:p>
        </w:tc>
        <w:tc>
          <w:tcPr>
            <w:tcW w:w="758" w:type="dxa"/>
            <w:vAlign w:val="center"/>
          </w:tcPr>
          <w:p>
            <w:pPr>
              <w:pStyle w:val="13"/>
            </w:pPr>
            <w:r>
              <w:t>11.18</w:t>
            </w:r>
          </w:p>
        </w:tc>
        <w:tc>
          <w:tcPr>
            <w:tcW w:w="758" w:type="dxa"/>
            <w:vAlign w:val="center"/>
          </w:tcPr>
          <w:p>
            <w:pPr>
              <w:pStyle w:val="13"/>
            </w:pPr>
            <w:r>
              <w:t>11.18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20899</w:t>
            </w:r>
          </w:p>
        </w:tc>
        <w:tc>
          <w:tcPr>
            <w:tcW w:w="758" w:type="dxa"/>
            <w:vAlign w:val="center"/>
          </w:tcPr>
          <w:p>
            <w:pPr>
              <w:pStyle w:val="14"/>
            </w:pPr>
            <w:r>
              <w:t>其他社会保障和就业支出</w:t>
            </w:r>
          </w:p>
        </w:tc>
        <w:tc>
          <w:tcPr>
            <w:tcW w:w="758" w:type="dxa"/>
            <w:vAlign w:val="center"/>
          </w:tcPr>
          <w:p>
            <w:pPr>
              <w:pStyle w:val="13"/>
            </w:pPr>
            <w:r>
              <w:t>0.63</w:t>
            </w:r>
          </w:p>
        </w:tc>
        <w:tc>
          <w:tcPr>
            <w:tcW w:w="758" w:type="dxa"/>
            <w:vAlign w:val="center"/>
          </w:tcPr>
          <w:p>
            <w:pPr>
              <w:pStyle w:val="13"/>
            </w:pPr>
            <w:r>
              <w:t>0.63</w:t>
            </w:r>
          </w:p>
        </w:tc>
        <w:tc>
          <w:tcPr>
            <w:tcW w:w="758" w:type="dxa"/>
            <w:vAlign w:val="center"/>
          </w:tcPr>
          <w:p>
            <w:pPr>
              <w:pStyle w:val="13"/>
            </w:pPr>
            <w:r>
              <w:t>0.63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2089999</w:t>
            </w:r>
          </w:p>
        </w:tc>
        <w:tc>
          <w:tcPr>
            <w:tcW w:w="758" w:type="dxa"/>
            <w:vAlign w:val="center"/>
          </w:tcPr>
          <w:p>
            <w:pPr>
              <w:pStyle w:val="14"/>
            </w:pPr>
            <w:r>
              <w:t>其他社会保障和就业支出</w:t>
            </w:r>
          </w:p>
        </w:tc>
        <w:tc>
          <w:tcPr>
            <w:tcW w:w="758" w:type="dxa"/>
            <w:vAlign w:val="center"/>
          </w:tcPr>
          <w:p>
            <w:pPr>
              <w:pStyle w:val="13"/>
            </w:pPr>
            <w:r>
              <w:t>0.63</w:t>
            </w:r>
          </w:p>
        </w:tc>
        <w:tc>
          <w:tcPr>
            <w:tcW w:w="758" w:type="dxa"/>
            <w:vAlign w:val="center"/>
          </w:tcPr>
          <w:p>
            <w:pPr>
              <w:pStyle w:val="13"/>
            </w:pPr>
            <w:r>
              <w:t>0.63</w:t>
            </w:r>
          </w:p>
        </w:tc>
        <w:tc>
          <w:tcPr>
            <w:tcW w:w="758" w:type="dxa"/>
            <w:vAlign w:val="center"/>
          </w:tcPr>
          <w:p>
            <w:pPr>
              <w:pStyle w:val="13"/>
            </w:pPr>
            <w:r>
              <w:t>0.63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3.69</w:t>
            </w:r>
          </w:p>
        </w:tc>
        <w:tc>
          <w:tcPr>
            <w:tcW w:w="758" w:type="dxa"/>
            <w:vAlign w:val="center"/>
          </w:tcPr>
          <w:p>
            <w:pPr>
              <w:pStyle w:val="13"/>
            </w:pPr>
            <w:r>
              <w:t>3.69</w:t>
            </w:r>
          </w:p>
        </w:tc>
        <w:tc>
          <w:tcPr>
            <w:tcW w:w="758" w:type="dxa"/>
            <w:vAlign w:val="center"/>
          </w:tcPr>
          <w:p>
            <w:pPr>
              <w:pStyle w:val="13"/>
            </w:pPr>
            <w:r>
              <w:t>3.69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3.69</w:t>
            </w:r>
          </w:p>
        </w:tc>
        <w:tc>
          <w:tcPr>
            <w:tcW w:w="758" w:type="dxa"/>
            <w:vAlign w:val="center"/>
          </w:tcPr>
          <w:p>
            <w:pPr>
              <w:pStyle w:val="13"/>
            </w:pPr>
            <w:r>
              <w:t>3.69</w:t>
            </w:r>
          </w:p>
        </w:tc>
        <w:tc>
          <w:tcPr>
            <w:tcW w:w="758" w:type="dxa"/>
            <w:vAlign w:val="center"/>
          </w:tcPr>
          <w:p>
            <w:pPr>
              <w:pStyle w:val="13"/>
            </w:pPr>
            <w:r>
              <w:t>3.69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3.69</w:t>
            </w:r>
          </w:p>
        </w:tc>
        <w:tc>
          <w:tcPr>
            <w:tcW w:w="758" w:type="dxa"/>
            <w:vAlign w:val="center"/>
          </w:tcPr>
          <w:p>
            <w:pPr>
              <w:pStyle w:val="13"/>
            </w:pPr>
            <w:r>
              <w:t>3.69</w:t>
            </w:r>
          </w:p>
        </w:tc>
        <w:tc>
          <w:tcPr>
            <w:tcW w:w="758" w:type="dxa"/>
            <w:vAlign w:val="center"/>
          </w:tcPr>
          <w:p>
            <w:pPr>
              <w:pStyle w:val="13"/>
            </w:pPr>
            <w:r>
              <w:t>3.69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7.09</w:t>
            </w:r>
          </w:p>
        </w:tc>
        <w:tc>
          <w:tcPr>
            <w:tcW w:w="758" w:type="dxa"/>
            <w:vAlign w:val="center"/>
          </w:tcPr>
          <w:p>
            <w:pPr>
              <w:pStyle w:val="13"/>
            </w:pPr>
            <w:r>
              <w:t>7.09</w:t>
            </w:r>
          </w:p>
        </w:tc>
        <w:tc>
          <w:tcPr>
            <w:tcW w:w="758" w:type="dxa"/>
            <w:vAlign w:val="center"/>
          </w:tcPr>
          <w:p>
            <w:pPr>
              <w:pStyle w:val="13"/>
            </w:pPr>
            <w:r>
              <w:t>7.09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7.09</w:t>
            </w:r>
          </w:p>
        </w:tc>
        <w:tc>
          <w:tcPr>
            <w:tcW w:w="758" w:type="dxa"/>
            <w:vAlign w:val="center"/>
          </w:tcPr>
          <w:p>
            <w:pPr>
              <w:pStyle w:val="13"/>
            </w:pPr>
            <w:r>
              <w:t>7.09</w:t>
            </w:r>
          </w:p>
        </w:tc>
        <w:tc>
          <w:tcPr>
            <w:tcW w:w="758" w:type="dxa"/>
            <w:vAlign w:val="center"/>
          </w:tcPr>
          <w:p>
            <w:pPr>
              <w:pStyle w:val="13"/>
            </w:pPr>
            <w:r>
              <w:t>7.09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7.09</w:t>
            </w:r>
          </w:p>
        </w:tc>
        <w:tc>
          <w:tcPr>
            <w:tcW w:w="758" w:type="dxa"/>
            <w:vAlign w:val="center"/>
          </w:tcPr>
          <w:p>
            <w:pPr>
              <w:pStyle w:val="13"/>
            </w:pPr>
            <w:r>
              <w:t>7.09</w:t>
            </w:r>
          </w:p>
        </w:tc>
        <w:tc>
          <w:tcPr>
            <w:tcW w:w="758" w:type="dxa"/>
            <w:vAlign w:val="center"/>
          </w:tcPr>
          <w:p>
            <w:pPr>
              <w:pStyle w:val="13"/>
            </w:pPr>
            <w:r>
              <w:t>7.09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286新乐市市直工委</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139.06</w:t>
            </w:r>
          </w:p>
        </w:tc>
        <w:tc>
          <w:tcPr>
            <w:tcW w:w="1095" w:type="dxa"/>
            <w:vAlign w:val="center"/>
          </w:tcPr>
          <w:p>
            <w:pPr>
              <w:pStyle w:val="17"/>
            </w:pPr>
            <w:r>
              <w:t>136.06</w:t>
            </w:r>
          </w:p>
        </w:tc>
        <w:tc>
          <w:tcPr>
            <w:tcW w:w="1095" w:type="dxa"/>
            <w:vAlign w:val="center"/>
          </w:tcPr>
          <w:p>
            <w:pPr>
              <w:pStyle w:val="17"/>
            </w:pPr>
            <w:r>
              <w:t>3.00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73.22</w:t>
            </w:r>
          </w:p>
        </w:tc>
        <w:tc>
          <w:tcPr>
            <w:tcW w:w="1095" w:type="dxa"/>
            <w:vAlign w:val="center"/>
          </w:tcPr>
          <w:p>
            <w:pPr>
              <w:pStyle w:val="13"/>
            </w:pPr>
            <w:r>
              <w:t>70.22</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20131</w:t>
            </w:r>
          </w:p>
        </w:tc>
        <w:tc>
          <w:tcPr>
            <w:tcW w:w="1095" w:type="dxa"/>
            <w:vAlign w:val="center"/>
          </w:tcPr>
          <w:p>
            <w:pPr>
              <w:pStyle w:val="14"/>
            </w:pPr>
            <w:r>
              <w:t>党委办公厅（室）及相关机构事务</w:t>
            </w:r>
          </w:p>
        </w:tc>
        <w:tc>
          <w:tcPr>
            <w:tcW w:w="1095" w:type="dxa"/>
            <w:vAlign w:val="center"/>
          </w:tcPr>
          <w:p>
            <w:pPr>
              <w:pStyle w:val="13"/>
            </w:pPr>
            <w:r>
              <w:t>73.22</w:t>
            </w:r>
          </w:p>
        </w:tc>
        <w:tc>
          <w:tcPr>
            <w:tcW w:w="1095" w:type="dxa"/>
            <w:vAlign w:val="center"/>
          </w:tcPr>
          <w:p>
            <w:pPr>
              <w:pStyle w:val="13"/>
            </w:pPr>
            <w:r>
              <w:t>70.22</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2013101</w:t>
            </w:r>
          </w:p>
        </w:tc>
        <w:tc>
          <w:tcPr>
            <w:tcW w:w="1095" w:type="dxa"/>
            <w:vAlign w:val="center"/>
          </w:tcPr>
          <w:p>
            <w:pPr>
              <w:pStyle w:val="14"/>
            </w:pPr>
            <w:r>
              <w:t>行政运行</w:t>
            </w:r>
          </w:p>
        </w:tc>
        <w:tc>
          <w:tcPr>
            <w:tcW w:w="1095" w:type="dxa"/>
            <w:vAlign w:val="center"/>
          </w:tcPr>
          <w:p>
            <w:pPr>
              <w:pStyle w:val="13"/>
            </w:pPr>
            <w:r>
              <w:t>73.22</w:t>
            </w:r>
          </w:p>
        </w:tc>
        <w:tc>
          <w:tcPr>
            <w:tcW w:w="1095" w:type="dxa"/>
            <w:vAlign w:val="center"/>
          </w:tcPr>
          <w:p>
            <w:pPr>
              <w:pStyle w:val="13"/>
            </w:pPr>
            <w:r>
              <w:t>70.22</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55.06</w:t>
            </w:r>
          </w:p>
        </w:tc>
        <w:tc>
          <w:tcPr>
            <w:tcW w:w="1095" w:type="dxa"/>
            <w:vAlign w:val="center"/>
          </w:tcPr>
          <w:p>
            <w:pPr>
              <w:pStyle w:val="13"/>
            </w:pPr>
            <w:r>
              <w:t>55.06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54.44</w:t>
            </w:r>
          </w:p>
        </w:tc>
        <w:tc>
          <w:tcPr>
            <w:tcW w:w="1095" w:type="dxa"/>
            <w:vAlign w:val="center"/>
          </w:tcPr>
          <w:p>
            <w:pPr>
              <w:pStyle w:val="13"/>
            </w:pPr>
            <w:r>
              <w:t>54.44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35.25</w:t>
            </w:r>
          </w:p>
        </w:tc>
        <w:tc>
          <w:tcPr>
            <w:tcW w:w="1095" w:type="dxa"/>
            <w:vAlign w:val="center"/>
          </w:tcPr>
          <w:p>
            <w:pPr>
              <w:pStyle w:val="13"/>
            </w:pPr>
            <w:r>
              <w:t>35.25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8.01</w:t>
            </w:r>
          </w:p>
        </w:tc>
        <w:tc>
          <w:tcPr>
            <w:tcW w:w="1095" w:type="dxa"/>
            <w:vAlign w:val="center"/>
          </w:tcPr>
          <w:p>
            <w:pPr>
              <w:pStyle w:val="13"/>
            </w:pPr>
            <w:r>
              <w:t>8.01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11.18</w:t>
            </w:r>
          </w:p>
        </w:tc>
        <w:tc>
          <w:tcPr>
            <w:tcW w:w="1095" w:type="dxa"/>
            <w:vAlign w:val="center"/>
          </w:tcPr>
          <w:p>
            <w:pPr>
              <w:pStyle w:val="13"/>
            </w:pPr>
            <w:r>
              <w:t>11.18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20899</w:t>
            </w:r>
          </w:p>
        </w:tc>
        <w:tc>
          <w:tcPr>
            <w:tcW w:w="1095" w:type="dxa"/>
            <w:vAlign w:val="center"/>
          </w:tcPr>
          <w:p>
            <w:pPr>
              <w:pStyle w:val="14"/>
            </w:pPr>
            <w:r>
              <w:t>其他社会保障和就业支出</w:t>
            </w:r>
          </w:p>
        </w:tc>
        <w:tc>
          <w:tcPr>
            <w:tcW w:w="1095" w:type="dxa"/>
            <w:vAlign w:val="center"/>
          </w:tcPr>
          <w:p>
            <w:pPr>
              <w:pStyle w:val="13"/>
            </w:pPr>
            <w:r>
              <w:t>0.63</w:t>
            </w:r>
          </w:p>
        </w:tc>
        <w:tc>
          <w:tcPr>
            <w:tcW w:w="1095" w:type="dxa"/>
            <w:vAlign w:val="center"/>
          </w:tcPr>
          <w:p>
            <w:pPr>
              <w:pStyle w:val="13"/>
            </w:pPr>
            <w:r>
              <w:t>0.63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2089999</w:t>
            </w:r>
          </w:p>
        </w:tc>
        <w:tc>
          <w:tcPr>
            <w:tcW w:w="1095" w:type="dxa"/>
            <w:vAlign w:val="center"/>
          </w:tcPr>
          <w:p>
            <w:pPr>
              <w:pStyle w:val="14"/>
            </w:pPr>
            <w:r>
              <w:t>其他社会保障和就业支出</w:t>
            </w:r>
          </w:p>
        </w:tc>
        <w:tc>
          <w:tcPr>
            <w:tcW w:w="1095" w:type="dxa"/>
            <w:vAlign w:val="center"/>
          </w:tcPr>
          <w:p>
            <w:pPr>
              <w:pStyle w:val="13"/>
            </w:pPr>
            <w:r>
              <w:t>0.63</w:t>
            </w:r>
          </w:p>
        </w:tc>
        <w:tc>
          <w:tcPr>
            <w:tcW w:w="1095" w:type="dxa"/>
            <w:vAlign w:val="center"/>
          </w:tcPr>
          <w:p>
            <w:pPr>
              <w:pStyle w:val="13"/>
            </w:pPr>
            <w:r>
              <w:t>0.63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3.69</w:t>
            </w:r>
          </w:p>
        </w:tc>
        <w:tc>
          <w:tcPr>
            <w:tcW w:w="1095" w:type="dxa"/>
            <w:vAlign w:val="center"/>
          </w:tcPr>
          <w:p>
            <w:pPr>
              <w:pStyle w:val="13"/>
            </w:pPr>
            <w:r>
              <w:t>3.69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3.69</w:t>
            </w:r>
          </w:p>
        </w:tc>
        <w:tc>
          <w:tcPr>
            <w:tcW w:w="1095" w:type="dxa"/>
            <w:vAlign w:val="center"/>
          </w:tcPr>
          <w:p>
            <w:pPr>
              <w:pStyle w:val="13"/>
            </w:pPr>
            <w:r>
              <w:t>3.69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3.69</w:t>
            </w:r>
          </w:p>
        </w:tc>
        <w:tc>
          <w:tcPr>
            <w:tcW w:w="1095" w:type="dxa"/>
            <w:vAlign w:val="center"/>
          </w:tcPr>
          <w:p>
            <w:pPr>
              <w:pStyle w:val="13"/>
            </w:pPr>
            <w:r>
              <w:t>3.69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7.09</w:t>
            </w:r>
          </w:p>
        </w:tc>
        <w:tc>
          <w:tcPr>
            <w:tcW w:w="1095" w:type="dxa"/>
            <w:vAlign w:val="center"/>
          </w:tcPr>
          <w:p>
            <w:pPr>
              <w:pStyle w:val="13"/>
            </w:pPr>
            <w:r>
              <w:t>7.09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7.09</w:t>
            </w:r>
          </w:p>
        </w:tc>
        <w:tc>
          <w:tcPr>
            <w:tcW w:w="1095" w:type="dxa"/>
            <w:vAlign w:val="center"/>
          </w:tcPr>
          <w:p>
            <w:pPr>
              <w:pStyle w:val="13"/>
            </w:pPr>
            <w:r>
              <w:t>7.09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7.09</w:t>
            </w:r>
          </w:p>
        </w:tc>
        <w:tc>
          <w:tcPr>
            <w:tcW w:w="1095" w:type="dxa"/>
            <w:vAlign w:val="center"/>
          </w:tcPr>
          <w:p>
            <w:pPr>
              <w:pStyle w:val="13"/>
            </w:pPr>
            <w:r>
              <w:t>7.09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286新乐市市直工委</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139.06</w:t>
            </w:r>
          </w:p>
        </w:tc>
        <w:tc>
          <w:tcPr>
            <w:tcW w:w="1232" w:type="dxa"/>
            <w:vAlign w:val="center"/>
          </w:tcPr>
          <w:p>
            <w:pPr>
              <w:pStyle w:val="14"/>
            </w:pPr>
            <w:r>
              <w:t>一、一般公共服务支出</w:t>
            </w:r>
          </w:p>
        </w:tc>
        <w:tc>
          <w:tcPr>
            <w:tcW w:w="1232" w:type="dxa"/>
            <w:vAlign w:val="center"/>
          </w:tcPr>
          <w:p>
            <w:pPr>
              <w:pStyle w:val="13"/>
            </w:pPr>
            <w:r>
              <w:t>73.22</w:t>
            </w:r>
          </w:p>
        </w:tc>
        <w:tc>
          <w:tcPr>
            <w:tcW w:w="1232" w:type="dxa"/>
            <w:vAlign w:val="center"/>
          </w:tcPr>
          <w:p>
            <w:pPr>
              <w:pStyle w:val="13"/>
            </w:pPr>
            <w:r>
              <w:t>73.22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55.06</w:t>
            </w:r>
          </w:p>
        </w:tc>
        <w:tc>
          <w:tcPr>
            <w:tcW w:w="1232" w:type="dxa"/>
            <w:vAlign w:val="center"/>
          </w:tcPr>
          <w:p>
            <w:pPr>
              <w:pStyle w:val="13"/>
            </w:pPr>
            <w:r>
              <w:t>55.06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3.69</w:t>
            </w:r>
          </w:p>
        </w:tc>
        <w:tc>
          <w:tcPr>
            <w:tcW w:w="1232" w:type="dxa"/>
            <w:vAlign w:val="center"/>
          </w:tcPr>
          <w:p>
            <w:pPr>
              <w:pStyle w:val="13"/>
            </w:pPr>
            <w:r>
              <w:t>3.69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7.09</w:t>
            </w:r>
          </w:p>
        </w:tc>
        <w:tc>
          <w:tcPr>
            <w:tcW w:w="1232" w:type="dxa"/>
            <w:vAlign w:val="center"/>
          </w:tcPr>
          <w:p>
            <w:pPr>
              <w:pStyle w:val="13"/>
            </w:pPr>
            <w:r>
              <w:t>7.09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139.06</w:t>
            </w:r>
          </w:p>
        </w:tc>
        <w:tc>
          <w:tcPr>
            <w:tcW w:w="1232" w:type="dxa"/>
            <w:vAlign w:val="center"/>
          </w:tcPr>
          <w:p>
            <w:pPr>
              <w:pStyle w:val="16"/>
            </w:pPr>
            <w:r>
              <w:t>本年支出合计</w:t>
            </w:r>
          </w:p>
        </w:tc>
        <w:tc>
          <w:tcPr>
            <w:tcW w:w="1232" w:type="dxa"/>
            <w:vAlign w:val="center"/>
          </w:tcPr>
          <w:p>
            <w:pPr>
              <w:pStyle w:val="17"/>
            </w:pPr>
            <w:r>
              <w:t>139.06</w:t>
            </w:r>
          </w:p>
        </w:tc>
        <w:tc>
          <w:tcPr>
            <w:tcW w:w="1232" w:type="dxa"/>
            <w:vAlign w:val="center"/>
          </w:tcPr>
          <w:p>
            <w:pPr>
              <w:pStyle w:val="17"/>
            </w:pPr>
            <w:r>
              <w:t>139.06</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139.06</w:t>
            </w:r>
          </w:p>
        </w:tc>
        <w:tc>
          <w:tcPr>
            <w:tcW w:w="1232" w:type="dxa"/>
            <w:vAlign w:val="center"/>
          </w:tcPr>
          <w:p>
            <w:pPr>
              <w:pStyle w:val="16"/>
            </w:pPr>
            <w:r>
              <w:t>支出总计</w:t>
            </w:r>
          </w:p>
        </w:tc>
        <w:tc>
          <w:tcPr>
            <w:tcW w:w="1232" w:type="dxa"/>
            <w:vAlign w:val="center"/>
          </w:tcPr>
          <w:p>
            <w:pPr>
              <w:pStyle w:val="17"/>
            </w:pPr>
            <w:r>
              <w:t>139.06</w:t>
            </w:r>
          </w:p>
        </w:tc>
        <w:tc>
          <w:tcPr>
            <w:tcW w:w="1232" w:type="dxa"/>
            <w:vAlign w:val="center"/>
          </w:tcPr>
          <w:p>
            <w:pPr>
              <w:pStyle w:val="17"/>
            </w:pPr>
            <w:r>
              <w:t>139.06</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286新乐市市直工委</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139.06</w:t>
            </w:r>
          </w:p>
        </w:tc>
        <w:tc>
          <w:tcPr>
            <w:tcW w:w="1643" w:type="dxa"/>
            <w:vAlign w:val="center"/>
          </w:tcPr>
          <w:p>
            <w:pPr>
              <w:pStyle w:val="17"/>
            </w:pPr>
            <w:r>
              <w:t>136.06</w:t>
            </w:r>
          </w:p>
        </w:tc>
        <w:tc>
          <w:tcPr>
            <w:tcW w:w="1643"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73.22</w:t>
            </w:r>
          </w:p>
        </w:tc>
        <w:tc>
          <w:tcPr>
            <w:tcW w:w="1643" w:type="dxa"/>
            <w:vAlign w:val="center"/>
          </w:tcPr>
          <w:p>
            <w:pPr>
              <w:pStyle w:val="13"/>
            </w:pPr>
            <w:r>
              <w:t>70.22</w:t>
            </w: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20131</w:t>
            </w:r>
          </w:p>
        </w:tc>
        <w:tc>
          <w:tcPr>
            <w:tcW w:w="1643" w:type="dxa"/>
            <w:vAlign w:val="center"/>
          </w:tcPr>
          <w:p>
            <w:pPr>
              <w:pStyle w:val="14"/>
            </w:pPr>
            <w:r>
              <w:t>党委办公厅（室）及相关机构事务</w:t>
            </w:r>
          </w:p>
        </w:tc>
        <w:tc>
          <w:tcPr>
            <w:tcW w:w="1643" w:type="dxa"/>
            <w:vAlign w:val="center"/>
          </w:tcPr>
          <w:p>
            <w:pPr>
              <w:pStyle w:val="13"/>
            </w:pPr>
            <w:r>
              <w:t>73.22</w:t>
            </w:r>
          </w:p>
        </w:tc>
        <w:tc>
          <w:tcPr>
            <w:tcW w:w="1643" w:type="dxa"/>
            <w:vAlign w:val="center"/>
          </w:tcPr>
          <w:p>
            <w:pPr>
              <w:pStyle w:val="13"/>
            </w:pPr>
            <w:r>
              <w:t>70.22</w:t>
            </w: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2013101</w:t>
            </w:r>
          </w:p>
        </w:tc>
        <w:tc>
          <w:tcPr>
            <w:tcW w:w="1643" w:type="dxa"/>
            <w:vAlign w:val="center"/>
          </w:tcPr>
          <w:p>
            <w:pPr>
              <w:pStyle w:val="14"/>
            </w:pPr>
            <w:r>
              <w:t>行政运行</w:t>
            </w:r>
          </w:p>
        </w:tc>
        <w:tc>
          <w:tcPr>
            <w:tcW w:w="1643" w:type="dxa"/>
            <w:vAlign w:val="center"/>
          </w:tcPr>
          <w:p>
            <w:pPr>
              <w:pStyle w:val="13"/>
            </w:pPr>
            <w:r>
              <w:t>73.22</w:t>
            </w:r>
          </w:p>
        </w:tc>
        <w:tc>
          <w:tcPr>
            <w:tcW w:w="1643" w:type="dxa"/>
            <w:vAlign w:val="center"/>
          </w:tcPr>
          <w:p>
            <w:pPr>
              <w:pStyle w:val="13"/>
            </w:pPr>
            <w:r>
              <w:t>70.22</w:t>
            </w: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55.06</w:t>
            </w:r>
          </w:p>
        </w:tc>
        <w:tc>
          <w:tcPr>
            <w:tcW w:w="1643" w:type="dxa"/>
            <w:vAlign w:val="center"/>
          </w:tcPr>
          <w:p>
            <w:pPr>
              <w:pStyle w:val="13"/>
            </w:pPr>
            <w:r>
              <w:t>55.06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54.44</w:t>
            </w:r>
          </w:p>
        </w:tc>
        <w:tc>
          <w:tcPr>
            <w:tcW w:w="1643" w:type="dxa"/>
            <w:vAlign w:val="center"/>
          </w:tcPr>
          <w:p>
            <w:pPr>
              <w:pStyle w:val="13"/>
            </w:pPr>
            <w:r>
              <w:t>54.44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35.25</w:t>
            </w:r>
          </w:p>
        </w:tc>
        <w:tc>
          <w:tcPr>
            <w:tcW w:w="1643" w:type="dxa"/>
            <w:vAlign w:val="center"/>
          </w:tcPr>
          <w:p>
            <w:pPr>
              <w:pStyle w:val="13"/>
            </w:pPr>
            <w:r>
              <w:t>35.25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8.01</w:t>
            </w:r>
          </w:p>
        </w:tc>
        <w:tc>
          <w:tcPr>
            <w:tcW w:w="1643" w:type="dxa"/>
            <w:vAlign w:val="center"/>
          </w:tcPr>
          <w:p>
            <w:pPr>
              <w:pStyle w:val="13"/>
            </w:pPr>
            <w:r>
              <w:t>8.01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11.18</w:t>
            </w:r>
          </w:p>
        </w:tc>
        <w:tc>
          <w:tcPr>
            <w:tcW w:w="1643" w:type="dxa"/>
            <w:vAlign w:val="center"/>
          </w:tcPr>
          <w:p>
            <w:pPr>
              <w:pStyle w:val="13"/>
            </w:pPr>
            <w:r>
              <w:t>11.18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20899</w:t>
            </w:r>
          </w:p>
        </w:tc>
        <w:tc>
          <w:tcPr>
            <w:tcW w:w="1643" w:type="dxa"/>
            <w:vAlign w:val="center"/>
          </w:tcPr>
          <w:p>
            <w:pPr>
              <w:pStyle w:val="14"/>
            </w:pPr>
            <w:r>
              <w:t>其他社会保障和就业支出</w:t>
            </w:r>
          </w:p>
        </w:tc>
        <w:tc>
          <w:tcPr>
            <w:tcW w:w="1643" w:type="dxa"/>
            <w:vAlign w:val="center"/>
          </w:tcPr>
          <w:p>
            <w:pPr>
              <w:pStyle w:val="13"/>
            </w:pPr>
            <w:r>
              <w:t>0.63</w:t>
            </w:r>
          </w:p>
        </w:tc>
        <w:tc>
          <w:tcPr>
            <w:tcW w:w="1643" w:type="dxa"/>
            <w:vAlign w:val="center"/>
          </w:tcPr>
          <w:p>
            <w:pPr>
              <w:pStyle w:val="13"/>
            </w:pPr>
            <w:r>
              <w:t>0.63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2089999</w:t>
            </w:r>
          </w:p>
        </w:tc>
        <w:tc>
          <w:tcPr>
            <w:tcW w:w="1643" w:type="dxa"/>
            <w:vAlign w:val="center"/>
          </w:tcPr>
          <w:p>
            <w:pPr>
              <w:pStyle w:val="14"/>
            </w:pPr>
            <w:r>
              <w:t>其他社会保障和就业支出</w:t>
            </w:r>
          </w:p>
        </w:tc>
        <w:tc>
          <w:tcPr>
            <w:tcW w:w="1643" w:type="dxa"/>
            <w:vAlign w:val="center"/>
          </w:tcPr>
          <w:p>
            <w:pPr>
              <w:pStyle w:val="13"/>
            </w:pPr>
            <w:r>
              <w:t>0.63</w:t>
            </w:r>
          </w:p>
        </w:tc>
        <w:tc>
          <w:tcPr>
            <w:tcW w:w="1643" w:type="dxa"/>
            <w:vAlign w:val="center"/>
          </w:tcPr>
          <w:p>
            <w:pPr>
              <w:pStyle w:val="13"/>
            </w:pPr>
            <w:r>
              <w:t>0.63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3.69</w:t>
            </w:r>
          </w:p>
        </w:tc>
        <w:tc>
          <w:tcPr>
            <w:tcW w:w="1643" w:type="dxa"/>
            <w:vAlign w:val="center"/>
          </w:tcPr>
          <w:p>
            <w:pPr>
              <w:pStyle w:val="13"/>
            </w:pPr>
            <w:r>
              <w:t>3.69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3.69</w:t>
            </w:r>
          </w:p>
        </w:tc>
        <w:tc>
          <w:tcPr>
            <w:tcW w:w="1643" w:type="dxa"/>
            <w:vAlign w:val="center"/>
          </w:tcPr>
          <w:p>
            <w:pPr>
              <w:pStyle w:val="13"/>
            </w:pPr>
            <w:r>
              <w:t>3.69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3.69</w:t>
            </w:r>
          </w:p>
        </w:tc>
        <w:tc>
          <w:tcPr>
            <w:tcW w:w="1643" w:type="dxa"/>
            <w:vAlign w:val="center"/>
          </w:tcPr>
          <w:p>
            <w:pPr>
              <w:pStyle w:val="13"/>
            </w:pPr>
            <w:r>
              <w:t>3.69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7.09</w:t>
            </w:r>
          </w:p>
        </w:tc>
        <w:tc>
          <w:tcPr>
            <w:tcW w:w="1643" w:type="dxa"/>
            <w:vAlign w:val="center"/>
          </w:tcPr>
          <w:p>
            <w:pPr>
              <w:pStyle w:val="13"/>
            </w:pPr>
            <w:r>
              <w:t>7.09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7.09</w:t>
            </w:r>
          </w:p>
        </w:tc>
        <w:tc>
          <w:tcPr>
            <w:tcW w:w="1643" w:type="dxa"/>
            <w:vAlign w:val="center"/>
          </w:tcPr>
          <w:p>
            <w:pPr>
              <w:pStyle w:val="13"/>
            </w:pPr>
            <w:r>
              <w:t>7.09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7.09</w:t>
            </w:r>
          </w:p>
        </w:tc>
        <w:tc>
          <w:tcPr>
            <w:tcW w:w="1643" w:type="dxa"/>
            <w:vAlign w:val="center"/>
          </w:tcPr>
          <w:p>
            <w:pPr>
              <w:pStyle w:val="13"/>
            </w:pPr>
            <w:r>
              <w:t>7.09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286新乐市市直工委</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136.06</w:t>
            </w:r>
          </w:p>
        </w:tc>
        <w:tc>
          <w:tcPr>
            <w:tcW w:w="1643" w:type="dxa"/>
            <w:vAlign w:val="center"/>
          </w:tcPr>
          <w:p>
            <w:pPr>
              <w:pStyle w:val="17"/>
            </w:pPr>
            <w:r>
              <w:t>133.11</w:t>
            </w:r>
          </w:p>
        </w:tc>
        <w:tc>
          <w:tcPr>
            <w:tcW w:w="1643" w:type="dxa"/>
            <w:vAlign w:val="center"/>
          </w:tcPr>
          <w:p>
            <w:pPr>
              <w:pStyle w:val="17"/>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89.94</w:t>
            </w:r>
          </w:p>
        </w:tc>
        <w:tc>
          <w:tcPr>
            <w:tcW w:w="1643" w:type="dxa"/>
            <w:vAlign w:val="center"/>
          </w:tcPr>
          <w:p>
            <w:pPr>
              <w:pStyle w:val="13"/>
            </w:pPr>
            <w:r>
              <w:t>89.94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30.60</w:t>
            </w:r>
          </w:p>
        </w:tc>
        <w:tc>
          <w:tcPr>
            <w:tcW w:w="1643" w:type="dxa"/>
            <w:vAlign w:val="center"/>
          </w:tcPr>
          <w:p>
            <w:pPr>
              <w:pStyle w:val="13"/>
            </w:pPr>
            <w:r>
              <w:t>30.60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14.66</w:t>
            </w:r>
          </w:p>
        </w:tc>
        <w:tc>
          <w:tcPr>
            <w:tcW w:w="1643" w:type="dxa"/>
            <w:vAlign w:val="center"/>
          </w:tcPr>
          <w:p>
            <w:pPr>
              <w:pStyle w:val="13"/>
            </w:pPr>
            <w:r>
              <w:t>14.66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14.09</w:t>
            </w:r>
          </w:p>
        </w:tc>
        <w:tc>
          <w:tcPr>
            <w:tcW w:w="1643" w:type="dxa"/>
            <w:vAlign w:val="center"/>
          </w:tcPr>
          <w:p>
            <w:pPr>
              <w:pStyle w:val="13"/>
            </w:pPr>
            <w:r>
              <w:t>14.09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8.01</w:t>
            </w:r>
          </w:p>
        </w:tc>
        <w:tc>
          <w:tcPr>
            <w:tcW w:w="1643" w:type="dxa"/>
            <w:vAlign w:val="center"/>
          </w:tcPr>
          <w:p>
            <w:pPr>
              <w:pStyle w:val="13"/>
            </w:pPr>
            <w:r>
              <w:t>8.01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11.18</w:t>
            </w:r>
          </w:p>
        </w:tc>
        <w:tc>
          <w:tcPr>
            <w:tcW w:w="1643" w:type="dxa"/>
            <w:vAlign w:val="center"/>
          </w:tcPr>
          <w:p>
            <w:pPr>
              <w:pStyle w:val="13"/>
            </w:pPr>
            <w:r>
              <w:t>11.18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3.69</w:t>
            </w:r>
          </w:p>
        </w:tc>
        <w:tc>
          <w:tcPr>
            <w:tcW w:w="1643" w:type="dxa"/>
            <w:vAlign w:val="center"/>
          </w:tcPr>
          <w:p>
            <w:pPr>
              <w:pStyle w:val="13"/>
            </w:pPr>
            <w:r>
              <w:t>3.69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0.63</w:t>
            </w:r>
          </w:p>
        </w:tc>
        <w:tc>
          <w:tcPr>
            <w:tcW w:w="1643" w:type="dxa"/>
            <w:vAlign w:val="center"/>
          </w:tcPr>
          <w:p>
            <w:pPr>
              <w:pStyle w:val="13"/>
            </w:pPr>
            <w:r>
              <w:t>0.63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7.09</w:t>
            </w:r>
          </w:p>
        </w:tc>
        <w:tc>
          <w:tcPr>
            <w:tcW w:w="1643" w:type="dxa"/>
            <w:vAlign w:val="center"/>
          </w:tcPr>
          <w:p>
            <w:pPr>
              <w:pStyle w:val="13"/>
            </w:pPr>
            <w:r>
              <w:t>7.09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10.57</w:t>
            </w:r>
          </w:p>
        </w:tc>
        <w:tc>
          <w:tcPr>
            <w:tcW w:w="1643" w:type="dxa"/>
            <w:vAlign w:val="center"/>
          </w:tcPr>
          <w:p>
            <w:pPr>
              <w:pStyle w:val="13"/>
            </w:pPr>
            <w:r>
              <w:t>7.62</w:t>
            </w:r>
          </w:p>
        </w:tc>
        <w:tc>
          <w:tcPr>
            <w:tcW w:w="1643" w:type="dxa"/>
            <w:vAlign w:val="center"/>
          </w:tcPr>
          <w:p>
            <w:pPr>
              <w:pStyle w:val="13"/>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0.33</w:t>
            </w:r>
          </w:p>
        </w:tc>
        <w:tc>
          <w:tcPr>
            <w:tcW w:w="1643" w:type="dxa"/>
            <w:vAlign w:val="center"/>
          </w:tcPr>
          <w:p>
            <w:pPr>
              <w:pStyle w:val="13"/>
            </w:pPr>
          </w:p>
        </w:tc>
        <w:tc>
          <w:tcPr>
            <w:tcW w:w="1643" w:type="dxa"/>
            <w:vAlign w:val="center"/>
          </w:tcPr>
          <w:p>
            <w:pPr>
              <w:pStyle w:val="13"/>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3.24</w:t>
            </w:r>
          </w:p>
        </w:tc>
        <w:tc>
          <w:tcPr>
            <w:tcW w:w="1643" w:type="dxa"/>
            <w:vAlign w:val="center"/>
          </w:tcPr>
          <w:p>
            <w:pPr>
              <w:pStyle w:val="13"/>
            </w:pPr>
            <w:r>
              <w:t>2.88</w:t>
            </w:r>
          </w:p>
        </w:tc>
        <w:tc>
          <w:tcPr>
            <w:tcW w:w="1643"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0.22</w:t>
            </w:r>
          </w:p>
        </w:tc>
        <w:tc>
          <w:tcPr>
            <w:tcW w:w="1643" w:type="dxa"/>
            <w:vAlign w:val="center"/>
          </w:tcPr>
          <w:p>
            <w:pPr>
              <w:pStyle w:val="13"/>
            </w:pPr>
          </w:p>
        </w:tc>
        <w:tc>
          <w:tcPr>
            <w:tcW w:w="1643"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0.36</w:t>
            </w:r>
          </w:p>
        </w:tc>
        <w:tc>
          <w:tcPr>
            <w:tcW w:w="1643" w:type="dxa"/>
            <w:vAlign w:val="center"/>
          </w:tcPr>
          <w:p>
            <w:pPr>
              <w:pStyle w:val="13"/>
            </w:pPr>
            <w:r>
              <w:t>0.36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0.77</w:t>
            </w:r>
          </w:p>
        </w:tc>
        <w:tc>
          <w:tcPr>
            <w:tcW w:w="1643" w:type="dxa"/>
            <w:vAlign w:val="center"/>
          </w:tcPr>
          <w:p>
            <w:pPr>
              <w:pStyle w:val="13"/>
            </w:pPr>
          </w:p>
        </w:tc>
        <w:tc>
          <w:tcPr>
            <w:tcW w:w="1643" w:type="dxa"/>
            <w:vAlign w:val="center"/>
          </w:tcPr>
          <w:p>
            <w:pPr>
              <w:pStyle w:val="13"/>
            </w:pPr>
            <w:r>
              <w:t>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4.38</w:t>
            </w:r>
          </w:p>
        </w:tc>
        <w:tc>
          <w:tcPr>
            <w:tcW w:w="1643" w:type="dxa"/>
            <w:vAlign w:val="center"/>
          </w:tcPr>
          <w:p>
            <w:pPr>
              <w:pStyle w:val="13"/>
            </w:pPr>
            <w:r>
              <w:t>4.38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0.67</w:t>
            </w:r>
          </w:p>
        </w:tc>
        <w:tc>
          <w:tcPr>
            <w:tcW w:w="1643" w:type="dxa"/>
            <w:vAlign w:val="center"/>
          </w:tcPr>
          <w:p>
            <w:pPr>
              <w:pStyle w:val="13"/>
            </w:pPr>
          </w:p>
        </w:tc>
        <w:tc>
          <w:tcPr>
            <w:tcW w:w="1643" w:type="dxa"/>
            <w:vAlign w:val="center"/>
          </w:tcPr>
          <w:p>
            <w:pPr>
              <w:pStyle w:val="13"/>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35.55</w:t>
            </w:r>
          </w:p>
        </w:tc>
        <w:tc>
          <w:tcPr>
            <w:tcW w:w="1643" w:type="dxa"/>
            <w:vAlign w:val="center"/>
          </w:tcPr>
          <w:p>
            <w:pPr>
              <w:pStyle w:val="13"/>
            </w:pPr>
            <w:r>
              <w:t>35.55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35.25</w:t>
            </w:r>
          </w:p>
        </w:tc>
        <w:tc>
          <w:tcPr>
            <w:tcW w:w="1643" w:type="dxa"/>
            <w:vAlign w:val="center"/>
          </w:tcPr>
          <w:p>
            <w:pPr>
              <w:pStyle w:val="13"/>
            </w:pPr>
            <w:r>
              <w:t>35.25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286新乐市市直工委</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286新乐市市直工委</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286新乐市市直工委</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新乐市市直工委2023年部门预算信息公开情况说明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新乐市市直工委2023年部门预算信息公开情况说明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、《地方预决算公开操作规程》和《关于进一步推进预算公开工作的实施意见》规定，现将新乐市市直工委2023年部门预算公开如下：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（一）统一组织、规划、部署市直机关党的工作，提出加强和改进机关党的建设的意见和建议，研究制定工作规划，并抓好组织实施。</w:t>
      </w:r>
    </w:p>
    <w:p>
      <w:pPr>
        <w:pStyle w:val="19"/>
      </w:pPr>
      <w:r>
        <w:t>（二）指导市直机关党的政治建设、思想建设、组织建设、作风建设、纪律建设，把制度建设贯穿其中，深入推进反腐败斗争。</w:t>
      </w:r>
    </w:p>
    <w:p>
      <w:pPr>
        <w:pStyle w:val="19"/>
      </w:pPr>
      <w:r>
        <w:t>（三）指导市直机关各级党组织和广大党员学习马克思列宁主义、毛泽东思想、邓小平理论、“三个代表”重要思想、科学发展观、习近平新时代中国特色社会主义思想。</w:t>
      </w:r>
    </w:p>
    <w:p>
      <w:pPr>
        <w:pStyle w:val="19"/>
      </w:pPr>
      <w:r>
        <w:t>（四）对市直机关各级党组织、党员领导干部落实党建责任制、遵守政治纪律和政治规矩情况进行监督检查，并向市委报告。</w:t>
      </w:r>
    </w:p>
    <w:p>
      <w:pPr>
        <w:pStyle w:val="19"/>
      </w:pPr>
      <w:r>
        <w:t>（五）指导市直机关各级党组织实施对党员特别是党员领导干部的监督和管理，及时向市委反映各部门领导班子、领导干部的情况。</w:t>
      </w:r>
    </w:p>
    <w:p>
      <w:pPr>
        <w:pStyle w:val="19"/>
      </w:pPr>
      <w:r>
        <w:t>（六）配合市委有关部门抓好市直机关各部门领导班子思想政治建设，参与对党员领导干部民主生活会和党组（党委）理论学习中心组学习的督促检查和指导，了解掌握情况，按规定报送情况报告。</w:t>
      </w:r>
    </w:p>
    <w:p>
      <w:pPr>
        <w:pStyle w:val="19"/>
      </w:pPr>
      <w:r>
        <w:t>（七）督促指导市直机关各部门机关党委按期换届，审批关于召开党员大会或党员代表大会的请示，审批市直机关各部门机关党委和机关纪委领导班子的组成及书记、副书记的任免。</w:t>
      </w:r>
    </w:p>
    <w:p>
      <w:pPr>
        <w:pStyle w:val="19"/>
      </w:pPr>
      <w:r>
        <w:t>（八）指导市直机关各级党组织加强基层组织建设，做好党员发展、教育和管理等工作。</w:t>
      </w:r>
    </w:p>
    <w:p>
      <w:pPr>
        <w:pStyle w:val="19"/>
      </w:pPr>
      <w:r>
        <w:t>（九）领导市直机关各部门机关党的纪律检查工作。</w:t>
      </w:r>
    </w:p>
    <w:p>
      <w:pPr>
        <w:pStyle w:val="19"/>
      </w:pPr>
      <w:r>
        <w:t>（十）了解掌握市直机关工作人员的思想状况，指导市直机关各级党组织加强思想政治工作和精神文明建设。</w:t>
      </w:r>
    </w:p>
    <w:p>
      <w:pPr>
        <w:pStyle w:val="19"/>
      </w:pPr>
      <w:r>
        <w:t>（十一）领导市直机关工会、共青团、妇委会等群团组织的工作，指导市直机关各级党组织做好党的群众工作、统一战线和人民武装工作。</w:t>
      </w:r>
    </w:p>
    <w:p>
      <w:pPr>
        <w:pStyle w:val="19"/>
      </w:pPr>
      <w:r>
        <w:t>（十二）协同有关部门指导、规划、协调、监督、检</w:t>
      </w:r>
      <w:r>
        <w:rPr>
          <w:rFonts w:hint="eastAsia"/>
          <w:lang w:eastAsia="zh-CN"/>
        </w:rPr>
        <w:t>查</w:t>
      </w:r>
      <w:r>
        <w:t>市直机关干部教育培训工作，培训轮训市直机关正科级党员领导干部和党务干部。</w:t>
      </w:r>
    </w:p>
    <w:p>
      <w:pPr>
        <w:pStyle w:val="19"/>
      </w:pPr>
      <w:r>
        <w:t>（十三）完成市委交办的其他任务。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新乐市市直工委本级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按照预算管理有关规定，目前我省部门预算的编制实行综合预算管理，即全部收入和支出都反映在预算中。新乐市市直工委机关及所属事业单位的收支包含在部门预算中。</w:t>
      </w:r>
    </w:p>
    <w:p>
      <w:pPr>
        <w:pStyle w:val="20"/>
      </w:pPr>
      <w:r>
        <w:t>1、收入说明，2023年预算收入139</w:t>
      </w:r>
      <w:r>
        <w:rPr>
          <w:rFonts w:hint="eastAsia"/>
          <w:lang w:val="en-US" w:eastAsia="zh-CN"/>
        </w:rPr>
        <w:t>.06</w:t>
      </w:r>
      <w:r>
        <w:t>万元，其中：一般公共预算收入139</w:t>
      </w:r>
      <w:r>
        <w:rPr>
          <w:rFonts w:hint="eastAsia"/>
          <w:lang w:val="en-US" w:eastAsia="zh-CN"/>
        </w:rPr>
        <w:t>.06</w:t>
      </w:r>
      <w:r>
        <w:t>万元，基金预算收入0万元，财政专户核拨收入0万元，其他来源收入0万元，上年结转结余0万元。</w:t>
      </w:r>
    </w:p>
    <w:p>
      <w:pPr>
        <w:pStyle w:val="20"/>
      </w:pPr>
      <w:r>
        <w:t>2、支出说明，收支预算总表支出栏、基本支出表、项目支出表按经济分类和支出功能分类科目编制，反映市直工委预算中支出预算的总体情况。2023年支出预算139</w:t>
      </w:r>
      <w:r>
        <w:rPr>
          <w:rFonts w:hint="eastAsia"/>
          <w:lang w:val="en-US" w:eastAsia="zh-CN"/>
        </w:rPr>
        <w:t>.06</w:t>
      </w:r>
      <w:r>
        <w:t>万元，其中基本支出136</w:t>
      </w:r>
      <w:r>
        <w:rPr>
          <w:rFonts w:hint="eastAsia"/>
          <w:lang w:val="en-US" w:eastAsia="zh-CN"/>
        </w:rPr>
        <w:t>.06</w:t>
      </w:r>
      <w:r>
        <w:t>万元，包括人员经费133</w:t>
      </w:r>
      <w:r>
        <w:rPr>
          <w:rFonts w:hint="eastAsia"/>
          <w:lang w:val="en-US" w:eastAsia="zh-CN"/>
        </w:rPr>
        <w:t>.11</w:t>
      </w:r>
      <w:r>
        <w:t>万元和日常公用经费</w:t>
      </w:r>
      <w:r>
        <w:rPr>
          <w:rFonts w:hint="eastAsia"/>
          <w:lang w:val="en-US" w:eastAsia="zh-CN"/>
        </w:rPr>
        <w:t>2.95</w:t>
      </w:r>
      <w:r>
        <w:t>万元；项目支出3万元，主要为党员的教育和管理。</w:t>
      </w:r>
    </w:p>
    <w:p>
      <w:pPr>
        <w:pStyle w:val="20"/>
      </w:pPr>
      <w:r>
        <w:t>3、比上年增减情况，2023年预算收支安排</w:t>
      </w:r>
      <w:r>
        <w:rPr>
          <w:rFonts w:hint="eastAsia"/>
          <w:lang w:val="en-US" w:eastAsia="zh-CN"/>
        </w:rPr>
        <w:t>139.06</w:t>
      </w:r>
      <w:r>
        <w:t>万元，较2022年预算</w:t>
      </w:r>
      <w:r>
        <w:rPr>
          <w:rFonts w:hint="eastAsia"/>
          <w:lang w:val="en-US" w:eastAsia="zh-CN"/>
        </w:rPr>
        <w:t>增加11.06</w:t>
      </w:r>
      <w:r>
        <w:t>万元，其中：基本支出</w:t>
      </w:r>
      <w:r>
        <w:rPr>
          <w:rFonts w:hint="eastAsia"/>
          <w:lang w:val="en-US" w:eastAsia="zh-CN"/>
        </w:rPr>
        <w:t>增加12.06</w:t>
      </w:r>
      <w:r>
        <w:t>万元，主要为人员经费减少；项目支出与去年</w:t>
      </w:r>
      <w:r>
        <w:rPr>
          <w:rFonts w:hint="eastAsia"/>
          <w:lang w:val="en-US" w:eastAsia="zh-CN"/>
        </w:rPr>
        <w:t>相比减少1万元，主要为项目减少</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2023年，市直工委机关运行经费共计安排</w:t>
      </w:r>
      <w:r>
        <w:rPr>
          <w:rFonts w:hint="eastAsia"/>
          <w:lang w:val="en-US" w:eastAsia="zh-CN"/>
        </w:rPr>
        <w:t>2.95</w:t>
      </w:r>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2023年，市直工委财政拨款“三公”经费预算安排</w:t>
      </w:r>
      <w:r>
        <w:rPr>
          <w:rFonts w:hint="eastAsia"/>
          <w:lang w:val="en-US" w:eastAsia="zh-CN"/>
        </w:rPr>
        <w:t>2.5</w:t>
      </w:r>
      <w:r>
        <w:t>万元，其中因公出国（境）费0万元；公务用车购置及运维费</w:t>
      </w:r>
      <w:r>
        <w:rPr>
          <w:rFonts w:hint="eastAsia"/>
          <w:lang w:val="en-US" w:eastAsia="zh-CN"/>
        </w:rPr>
        <w:t>2.5</w:t>
      </w:r>
      <w:r>
        <w:t>万元（其中：公务用车购置费为0万元，公务用车运维费</w:t>
      </w:r>
      <w:r>
        <w:rPr>
          <w:rFonts w:hint="eastAsia"/>
          <w:lang w:val="en-US" w:eastAsia="zh-CN"/>
        </w:rPr>
        <w:t>2.5</w:t>
      </w:r>
      <w:r>
        <w:t>万元)；公务接待费0万元。</w:t>
      </w:r>
    </w:p>
    <w:p>
      <w:pPr>
        <w:pStyle w:val="22"/>
      </w:pPr>
      <w:r>
        <w:t>因公出国（境）费0万元，与上年相比持平，无增减变化，主要原因是年初没有安排因公出国费；</w:t>
      </w:r>
    </w:p>
    <w:p>
      <w:pPr>
        <w:pStyle w:val="22"/>
      </w:pPr>
      <w:r>
        <w:t>公务用车购置及运行维护费</w:t>
      </w:r>
      <w:r>
        <w:rPr>
          <w:rFonts w:hint="eastAsia"/>
          <w:lang w:val="en-US" w:eastAsia="zh-CN"/>
        </w:rPr>
        <w:t>2.5</w:t>
      </w:r>
      <w:r>
        <w:t>万元(其中公务用车购0万元，公务用车运行维护费</w:t>
      </w:r>
      <w:r>
        <w:rPr>
          <w:rFonts w:hint="eastAsia"/>
          <w:lang w:val="en-US" w:eastAsia="zh-CN"/>
        </w:rPr>
        <w:t>2.5</w:t>
      </w:r>
      <w:r>
        <w:t>万元）,与上年相比</w:t>
      </w:r>
      <w:r>
        <w:rPr>
          <w:rFonts w:hint="eastAsia"/>
          <w:lang w:val="en-US" w:eastAsia="zh-CN"/>
        </w:rPr>
        <w:t>持平</w:t>
      </w:r>
      <w:r>
        <w:t>，(其中公务用车购置与上年</w:t>
      </w:r>
      <w:r>
        <w:rPr>
          <w:rFonts w:hint="eastAsia"/>
          <w:lang w:val="en-US" w:eastAsia="zh-CN"/>
        </w:rPr>
        <w:t>相比</w:t>
      </w:r>
      <w:r>
        <w:t>持平，无增减变化；公务用车运行维护费与上年相比持平，无增减变化）；</w:t>
      </w:r>
    </w:p>
    <w:p>
      <w:pPr>
        <w:pStyle w:val="22"/>
      </w:pPr>
      <w:r>
        <w:t>公务接待费0万元，与上年相比持平，无增减变化。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1.党务干部培训数量不低于95%。</w:t>
      </w:r>
    </w:p>
    <w:p>
      <w:pPr>
        <w:pStyle w:val="23"/>
      </w:pPr>
      <w:r>
        <w:t>2.党支部换届占应换届的支部数量不低于95%。</w:t>
      </w:r>
    </w:p>
    <w:p>
      <w:pPr>
        <w:pStyle w:val="23"/>
      </w:pPr>
      <w:r>
        <w:t>3.受教育党员人数占参加红色教育及廉政教育的数量不低于95%。</w:t>
      </w:r>
    </w:p>
    <w:p>
      <w:pPr>
        <w:pStyle w:val="23"/>
      </w:pPr>
      <w:r>
        <w:t>4.按预定进度完成党员教育与管理不低于95%。</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党员的教育与管理：</w:t>
      </w:r>
    </w:p>
    <w:p>
      <w:pPr>
        <w:pStyle w:val="24"/>
      </w:pPr>
      <w:r>
        <w:t>1.党务干部培训数量不低于95%。</w:t>
      </w:r>
    </w:p>
    <w:p>
      <w:pPr>
        <w:pStyle w:val="24"/>
      </w:pPr>
      <w:r>
        <w:t>2.党支部换届占应换届的支部数量不低于95%。</w:t>
      </w:r>
    </w:p>
    <w:p>
      <w:pPr>
        <w:pStyle w:val="24"/>
      </w:pPr>
      <w:r>
        <w:t>3.受教育党员人数占参加红色教育及廉政教育的数量不低于95%。</w:t>
      </w:r>
    </w:p>
    <w:p>
      <w:pPr>
        <w:pStyle w:val="24"/>
      </w:pPr>
      <w:r>
        <w:t>4.按预定进度完成党员教育与管理不低于95%。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pPr>
      <w:r>
        <w:t>6、加强宣传培训。加强人员培训，加大宣传力度，强化预算绩效管理意识，促进预算绩效管理水平提升。</w:t>
      </w:r>
    </w:p>
    <w:p>
      <w:pPr>
        <w:pStyle w:val="25"/>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jc w:val="left"/>
        <w:outlineLvl w:val="9"/>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1、2023年本级支出-党员的教育和管理绩效目标表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完成率</w:t>
            </w:r>
          </w:p>
        </w:tc>
        <w:tc>
          <w:tcPr>
            <w:tcW w:w="2466" w:type="dxa"/>
            <w:vAlign w:val="center"/>
          </w:tcPr>
          <w:p>
            <w:pPr>
              <w:pStyle w:val="14"/>
            </w:pPr>
            <w:r>
              <w:t>党务干部参加培训的数量</w:t>
            </w:r>
          </w:p>
        </w:tc>
        <w:tc>
          <w:tcPr>
            <w:tcW w:w="2466" w:type="dxa"/>
            <w:vAlign w:val="center"/>
          </w:tcPr>
          <w:p>
            <w:pPr>
              <w:pStyle w:val="14"/>
            </w:pPr>
            <w:r>
              <w:t>≥95人</w:t>
            </w:r>
          </w:p>
        </w:tc>
        <w:tc>
          <w:tcPr>
            <w:tcW w:w="2466"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优良率</w:t>
            </w:r>
          </w:p>
        </w:tc>
        <w:tc>
          <w:tcPr>
            <w:tcW w:w="2466" w:type="dxa"/>
            <w:vAlign w:val="center"/>
          </w:tcPr>
          <w:p>
            <w:pPr>
              <w:pStyle w:val="14"/>
            </w:pPr>
            <w:r>
              <w:t>受教育党员人数占参加红色教育及廉政教育的数量</w:t>
            </w:r>
          </w:p>
        </w:tc>
        <w:tc>
          <w:tcPr>
            <w:tcW w:w="2466" w:type="dxa"/>
            <w:vAlign w:val="center"/>
          </w:tcPr>
          <w:p>
            <w:pPr>
              <w:pStyle w:val="14"/>
            </w:pPr>
            <w:r>
              <w:t>≥95人</w:t>
            </w:r>
          </w:p>
        </w:tc>
        <w:tc>
          <w:tcPr>
            <w:tcW w:w="2466"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预定进度的准确性</w:t>
            </w:r>
          </w:p>
        </w:tc>
        <w:tc>
          <w:tcPr>
            <w:tcW w:w="2466" w:type="dxa"/>
            <w:vAlign w:val="center"/>
          </w:tcPr>
          <w:p>
            <w:pPr>
              <w:pStyle w:val="14"/>
            </w:pPr>
            <w:r>
              <w:t>按预定进度完成党员教育与管理</w:t>
            </w:r>
          </w:p>
        </w:tc>
        <w:tc>
          <w:tcPr>
            <w:tcW w:w="2466" w:type="dxa"/>
            <w:vAlign w:val="center"/>
          </w:tcPr>
          <w:p>
            <w:pPr>
              <w:pStyle w:val="14"/>
            </w:pPr>
            <w:r>
              <w:t>≥95人</w:t>
            </w:r>
          </w:p>
        </w:tc>
        <w:tc>
          <w:tcPr>
            <w:tcW w:w="2466"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项目预算成本</w:t>
            </w:r>
          </w:p>
        </w:tc>
        <w:tc>
          <w:tcPr>
            <w:tcW w:w="2466" w:type="dxa"/>
            <w:vAlign w:val="center"/>
          </w:tcPr>
          <w:p>
            <w:pPr>
              <w:pStyle w:val="14"/>
            </w:pPr>
            <w:r>
              <w:t>按预定成本进行党员教育与管理无奖金</w:t>
            </w:r>
          </w:p>
        </w:tc>
        <w:tc>
          <w:tcPr>
            <w:tcW w:w="2466" w:type="dxa"/>
            <w:vAlign w:val="center"/>
          </w:tcPr>
          <w:p>
            <w:pPr>
              <w:pStyle w:val="14"/>
            </w:pPr>
            <w:r>
              <w:t>≥95元</w:t>
            </w:r>
          </w:p>
        </w:tc>
        <w:tc>
          <w:tcPr>
            <w:tcW w:w="2466"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开展宣传教育培训</w:t>
            </w:r>
          </w:p>
        </w:tc>
        <w:tc>
          <w:tcPr>
            <w:tcW w:w="2466" w:type="dxa"/>
            <w:vAlign w:val="center"/>
          </w:tcPr>
          <w:p>
            <w:pPr>
              <w:pStyle w:val="14"/>
            </w:pPr>
            <w:r>
              <w:t>组织前往爱国主义教育基地参观的数量</w:t>
            </w:r>
          </w:p>
        </w:tc>
        <w:tc>
          <w:tcPr>
            <w:tcW w:w="2466" w:type="dxa"/>
            <w:vAlign w:val="center"/>
          </w:tcPr>
          <w:p>
            <w:pPr>
              <w:pStyle w:val="14"/>
            </w:pPr>
            <w:r>
              <w:t>≥95人</w:t>
            </w:r>
          </w:p>
        </w:tc>
        <w:tc>
          <w:tcPr>
            <w:tcW w:w="2466"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接受教育的党员满意程度</w:t>
            </w:r>
          </w:p>
        </w:tc>
        <w:tc>
          <w:tcPr>
            <w:tcW w:w="2466" w:type="dxa"/>
            <w:vAlign w:val="center"/>
          </w:tcPr>
          <w:p>
            <w:pPr>
              <w:pStyle w:val="14"/>
            </w:pPr>
            <w:r>
              <w:t>≥95个</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2023年，新乐市市直工委安排政府采购预算0.00万元。具体内容见下表。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286新乐市市直工委</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新乐市市直工委（含所属单位）上年末固定资产金额为3.04万元（详见下表）。本年度拟购置固定资产总额为0.00万元，已按要求列入政府采购预算，详见政府采购预算表。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286新乐市市直工委</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1</w:t>
            </w:r>
          </w:p>
        </w:tc>
        <w:tc>
          <w:tcPr>
            <w:tcW w:w="4933" w:type="dxa"/>
            <w:vAlign w:val="center"/>
          </w:tcPr>
          <w:p>
            <w:pPr>
              <w:pStyle w:val="13"/>
            </w:pPr>
            <w:r>
              <w:t>3.04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05BF6E"/>
    <w:multiLevelType w:val="singleLevel"/>
    <w:tmpl w:val="A705BF6E"/>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U0YmUxZjIzMmE4OTI4OWJkYjBjODNkMWQzOTc2MDAifQ=="/>
  </w:docVars>
  <w:rsids>
    <w:rsidRoot w:val="00000000"/>
    <w:rsid w:val="0EB76780"/>
    <w:rsid w:val="10471AD7"/>
    <w:rsid w:val="168B4916"/>
    <w:rsid w:val="1AF12506"/>
    <w:rsid w:val="329B0F08"/>
    <w:rsid w:val="345A7D0A"/>
    <w:rsid w:val="3A29213A"/>
    <w:rsid w:val="4B6A4726"/>
    <w:rsid w:val="507850C5"/>
    <w:rsid w:val="60493955"/>
    <w:rsid w:val="72ED67AD"/>
    <w:rsid w:val="7E860B5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2023-03-23T09:50:04Z</dcterms:created>
  <dcterms:modified xsi:type="dcterms:W3CDTF">2023-03-23T01:50:03Z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2023-03-23T09:50:04Z</dcterms:created>
  <dcterms:modified xsi:type="dcterms:W3CDTF">2023-03-23T01:50:04Z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2023-03-23T09:50:04Z</dcterms:created>
  <dcterms:modified xsi:type="dcterms:W3CDTF">2023-03-23T01:50:04Z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2023-03-23T09:49:59Z</dcterms:created>
  <dcterms:modified xsi:type="dcterms:W3CDTF">2023-03-23T01:49:59Z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2023-03-23T09:50:00Z</dcterms:created>
  <dcterms:modified xsi:type="dcterms:W3CDTF">2023-03-23T01:50:00Z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2023-03-23T09:50:00Z</dcterms:created>
  <dcterms:modified xsi:type="dcterms:W3CDTF">2023-03-23T01:50:00Z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2023-03-23T09:50:00Z</dcterms:created>
  <dcterms:modified xsi:type="dcterms:W3CDTF">2023-03-23T01:50:00Z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3ceb6d6-a381-4f67-af7c-89e1979e34f0}">
  <ds:schemaRefs/>
</ds:datastoreItem>
</file>

<file path=customXml/itemProps10.xml><?xml version="1.0" encoding="utf-8"?>
<ds:datastoreItem xmlns:ds="http://schemas.openxmlformats.org/officeDocument/2006/customXml" ds:itemID="{eed17713-3c9d-47d7-ba53-f5c2775ffea2}">
  <ds:schemaRefs/>
</ds:datastoreItem>
</file>

<file path=customXml/itemProps11.xml><?xml version="1.0" encoding="utf-8"?>
<ds:datastoreItem xmlns:ds="http://schemas.openxmlformats.org/officeDocument/2006/customXml" ds:itemID="{ac6c3360-f31d-49c1-9339-9b9355ee4769}">
  <ds:schemaRefs/>
</ds:datastoreItem>
</file>

<file path=customXml/itemProps12.xml><?xml version="1.0" encoding="utf-8"?>
<ds:datastoreItem xmlns:ds="http://schemas.openxmlformats.org/officeDocument/2006/customXml" ds:itemID="{3a83d724-81ab-4526-b77f-8398670b5706}">
  <ds:schemaRefs/>
</ds:datastoreItem>
</file>

<file path=customXml/itemProps13.xml><?xml version="1.0" encoding="utf-8"?>
<ds:datastoreItem xmlns:ds="http://schemas.openxmlformats.org/officeDocument/2006/customXml" ds:itemID="{a6fe11d4-d663-4a2c-9562-55095d536717}">
  <ds:schemaRefs/>
</ds:datastoreItem>
</file>

<file path=customXml/itemProps14.xml><?xml version="1.0" encoding="utf-8"?>
<ds:datastoreItem xmlns:ds="http://schemas.openxmlformats.org/officeDocument/2006/customXml" ds:itemID="{623792b6-3c54-45fd-8ace-4779004f9094}">
  <ds:schemaRefs/>
</ds:datastoreItem>
</file>

<file path=customXml/itemProps2.xml><?xml version="1.0" encoding="utf-8"?>
<ds:datastoreItem xmlns:ds="http://schemas.openxmlformats.org/officeDocument/2006/customXml" ds:itemID="{77e6e83e-0f18-4dae-aeff-ebc1f9d2adc6}">
  <ds:schemaRefs/>
</ds:datastoreItem>
</file>

<file path=customXml/itemProps3.xml><?xml version="1.0" encoding="utf-8"?>
<ds:datastoreItem xmlns:ds="http://schemas.openxmlformats.org/officeDocument/2006/customXml" ds:itemID="{778d5fc9-18e8-453e-8a7e-3239c783efa6}">
  <ds:schemaRefs/>
</ds:datastoreItem>
</file>

<file path=customXml/itemProps4.xml><?xml version="1.0" encoding="utf-8"?>
<ds:datastoreItem xmlns:ds="http://schemas.openxmlformats.org/officeDocument/2006/customXml" ds:itemID="{a8a5f349-758a-4d40-b14f-c0fdc8375907}">
  <ds:schemaRefs/>
</ds:datastoreItem>
</file>

<file path=customXml/itemProps5.xml><?xml version="1.0" encoding="utf-8"?>
<ds:datastoreItem xmlns:ds="http://schemas.openxmlformats.org/officeDocument/2006/customXml" ds:itemID="{bde41fea-0dd4-43d5-b3de-bd54352cb904}">
  <ds:schemaRefs/>
</ds:datastoreItem>
</file>

<file path=customXml/itemProps6.xml><?xml version="1.0" encoding="utf-8"?>
<ds:datastoreItem xmlns:ds="http://schemas.openxmlformats.org/officeDocument/2006/customXml" ds:itemID="{f3c74fd4-d9a9-4bfc-bf30-561821dc5ca9}">
  <ds:schemaRefs/>
</ds:datastoreItem>
</file>

<file path=customXml/itemProps7.xml><?xml version="1.0" encoding="utf-8"?>
<ds:datastoreItem xmlns:ds="http://schemas.openxmlformats.org/officeDocument/2006/customXml" ds:itemID="{3afda5d0-e388-4ff7-bc6d-eb97ecbac9bc}">
  <ds:schemaRefs/>
</ds:datastoreItem>
</file>

<file path=customXml/itemProps8.xml><?xml version="1.0" encoding="utf-8"?>
<ds:datastoreItem xmlns:ds="http://schemas.openxmlformats.org/officeDocument/2006/customXml" ds:itemID="{9b0c22e7-d476-42ba-a16d-1f408ab0e7e9}">
  <ds:schemaRefs/>
</ds:datastoreItem>
</file>

<file path=customXml/itemProps9.xml><?xml version="1.0" encoding="utf-8"?>
<ds:datastoreItem xmlns:ds="http://schemas.openxmlformats.org/officeDocument/2006/customXml" ds:itemID="{cf28053d-c4fd-455d-8b95-d494dbb9aca1}">
  <ds:schemaRefs/>
</ds:datastoreItem>
</file>

<file path=docProps/app.xml><?xml version="1.0" encoding="utf-8"?>
<Properties xmlns="http://schemas.openxmlformats.org/officeDocument/2006/extended-properties" xmlns:vt="http://schemas.openxmlformats.org/officeDocument/2006/docPropsVTypes">
  <Pages>35</Pages>
  <Words>3454</Words>
  <Characters>4611</Characters>
  <TotalTime>0</TotalTime>
  <ScaleCrop>false</ScaleCrop>
  <LinksUpToDate>false</LinksUpToDate>
  <CharactersWithSpaces>4717</CharactersWithSpaces>
  <Application>WPS Office_11.8.2.10972_F1E327BC-269C-435d-A152-05C5408002CA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2023-03-23T09:50:00Z</dcterms:created>
  <dc:creator>Administrator</dc:creator>
  <cp:lastModifiedBy>Administrator</cp:lastModifiedBy>
  <dcterms:modified xsi:type="dcterms:W3CDTF">2026-05-24T02:57:04Z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2E4ECA9FADCD4A8785C818FC43B319FE_12</vt:lpwstr>
  </property>
  <property fmtid="{D5CDD505-2E9C-101B-9397-08002B2CF9AE}" pid="4" name="KSOTemplateDocerSaveRecord">
    <vt:lpwstr>eyJoZGlkIjoiZDYwNzliNDc0NGQ5MjAwNjlmMzJlMjljZjgzNjhkZjAiLCJ1c2VySWQiOiI1OTA5Mzk1ODQifQ==</vt:lpwstr>
  </property>
</Properties>
</file>