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hint="eastAsia" w:ascii="方正小标宋_GBK" w:hAnsi="Times New Roman" w:eastAsia="方正小标宋_GBK" w:cs="Times New Roman"/>
          <w:bCs/>
          <w:sz w:val="44"/>
          <w:szCs w:val="44"/>
          <w:lang w:eastAsia="zh-CN"/>
        </w:rPr>
      </w:pPr>
      <w:bookmarkStart w:id="12" w:name="_GoBack"/>
      <w:bookmarkEnd w:id="12"/>
      <w:r>
        <w:rPr>
          <w:rFonts w:hint="eastAsia" w:ascii="方正小标宋_GBK" w:hAnsi="Times New Roman" w:eastAsia="方正小标宋_GBK" w:cs="Times New Roman"/>
          <w:bCs/>
          <w:sz w:val="44"/>
          <w:szCs w:val="44"/>
          <w:lang w:eastAsia="zh-CN"/>
        </w:rPr>
        <w:t>新乐市医疗保障局</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w:t>
      </w:r>
      <w:r>
        <w:rPr>
          <w:rFonts w:hint="eastAsia" w:ascii="Times New Roman" w:hAnsi="Times New Roman" w:eastAsia="仿宋" w:cs="Times New Roman"/>
          <w:sz w:val="32"/>
          <w:szCs w:val="32"/>
          <w:lang w:eastAsia="zh-CN"/>
        </w:rPr>
        <w:t>《中华人民共和国预算法》</w:t>
      </w:r>
      <w:r>
        <w:rPr>
          <w:rFonts w:hint="eastAsia" w:ascii="Times New Roman" w:hAnsi="Times New Roman" w:eastAsia="仿宋" w:cs="Times New Roman"/>
          <w:sz w:val="32"/>
          <w:szCs w:val="32"/>
        </w:rPr>
        <w:t>、《地方预决算公开操作规程》和《河北省省级预算公开办法》规定，现将</w:t>
      </w:r>
      <w:r>
        <w:rPr>
          <w:rFonts w:hint="eastAsia" w:ascii="Times New Roman" w:hAnsi="Times New Roman" w:eastAsia="仿宋" w:cs="Times New Roman"/>
          <w:sz w:val="32"/>
          <w:szCs w:val="32"/>
          <w:lang w:eastAsia="zh-CN"/>
        </w:rPr>
        <w:t>新乐市医疗保障局</w:t>
      </w:r>
      <w:r>
        <w:rPr>
          <w:rFonts w:hint="eastAsia" w:ascii="Times New Roman" w:hAnsi="Times New Roman" w:eastAsia="仿宋" w:cs="Times New Roman"/>
          <w:sz w:val="32"/>
          <w:szCs w:val="32"/>
        </w:rPr>
        <w:t>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widowControl w:val="0"/>
        <w:snapToGrid w:val="0"/>
        <w:spacing w:before="0" w:after="0" w:line="566" w:lineRule="atLeast"/>
        <w:ind w:left="0" w:right="0" w:firstLine="623"/>
        <w:jc w:val="both"/>
        <w:textAlignment w:val="baseline"/>
      </w:pPr>
      <w:r>
        <w:rPr>
          <w:rFonts w:hint="eastAsia" w:ascii="仿宋" w:hAnsi="仿宋" w:eastAsia="仿宋" w:cs="Times New Roman"/>
          <w:b/>
          <w:sz w:val="32"/>
          <w:szCs w:val="32"/>
        </w:rPr>
        <w:t>部门</w:t>
      </w:r>
      <w:r>
        <w:rPr>
          <w:rFonts w:ascii="仿宋" w:hAnsi="仿宋" w:eastAsia="仿宋" w:cs="Times New Roman"/>
          <w:b/>
          <w:sz w:val="32"/>
          <w:szCs w:val="32"/>
        </w:rPr>
        <w:t>职责：</w:t>
      </w:r>
      <w:r>
        <w:rPr>
          <w:rFonts w:eastAsia="方正仿宋简体"/>
          <w:sz w:val="31"/>
        </w:rPr>
        <w:t>贯彻落实党中央和省委、石家庄市委及新乐市委关于医疗保障工作的方针政策和决策部署，坚持和加强党对医疗保障工作的集中统一领导。主要职责是：</w:t>
      </w:r>
    </w:p>
    <w:p>
      <w:pPr>
        <w:widowControl w:val="0"/>
        <w:snapToGrid w:val="0"/>
        <w:spacing w:before="0" w:after="0" w:line="566" w:lineRule="atLeast"/>
        <w:ind w:left="0" w:right="0" w:firstLine="623"/>
        <w:jc w:val="both"/>
        <w:textAlignment w:val="baseline"/>
      </w:pPr>
      <w:r>
        <w:rPr>
          <w:rFonts w:eastAsia="方正仿宋简体"/>
          <w:sz w:val="31"/>
        </w:rPr>
        <w:t>（一）贯彻落实省、石家庄市城镇职工和城乡居民医疗保险、生育保险、长期护理保险、医疗救助等医疗保障地方性法规、政府规章以及政策、制度、规划和标准。</w:t>
      </w:r>
    </w:p>
    <w:p>
      <w:pPr>
        <w:widowControl w:val="0"/>
        <w:snapToGrid w:val="0"/>
        <w:spacing w:before="0" w:after="0" w:line="566" w:lineRule="atLeast"/>
        <w:ind w:left="0" w:right="0" w:firstLine="623"/>
        <w:jc w:val="both"/>
        <w:textAlignment w:val="baseline"/>
      </w:pPr>
      <w:r>
        <w:rPr>
          <w:rFonts w:eastAsia="方正仿宋简体"/>
          <w:sz w:val="31"/>
        </w:rPr>
        <w:t>（二）贯彻落实省、石家庄市医疗保障基金监督管理办法，建立健全医疗保障基金安全防控机制，使用维护网络信息和智能监控平台，推进医疗保障基金支付方式改革，并组织实施。</w:t>
      </w:r>
    </w:p>
    <w:p>
      <w:pPr>
        <w:widowControl w:val="0"/>
        <w:snapToGrid w:val="0"/>
        <w:spacing w:before="0" w:after="0" w:line="566" w:lineRule="atLeast"/>
        <w:ind w:left="0" w:right="0" w:firstLine="623"/>
        <w:jc w:val="both"/>
        <w:textAlignment w:val="baseline"/>
      </w:pPr>
      <w:r>
        <w:rPr>
          <w:rFonts w:eastAsia="方正仿宋简体"/>
          <w:sz w:val="31"/>
        </w:rPr>
        <w:t>（三）贯彻落实省、石家庄市城镇职工、城乡居民参保筹资和保障待遇政策，统筹城乡医疗保障政策标准，建立健全与筹资水平相适应的待遇调整机制。组织实施长期护理保险制度方案及政策标准。</w:t>
      </w:r>
    </w:p>
    <w:p>
      <w:pPr>
        <w:widowControl w:val="0"/>
        <w:snapToGrid w:val="0"/>
        <w:spacing w:before="0" w:after="0" w:line="566" w:lineRule="atLeast"/>
        <w:ind w:left="0" w:right="0" w:firstLine="623"/>
        <w:jc w:val="both"/>
        <w:textAlignment w:val="baseline"/>
      </w:pPr>
      <w:r>
        <w:rPr>
          <w:rFonts w:eastAsia="方正仿宋简体"/>
          <w:sz w:val="31"/>
        </w:rPr>
        <w:t>（四）贯彻落实省、石家庄市城乡统一的药品、医用耗材、医疗服务项目、医疗服务设施等医保支付标准，实行动态调整。</w:t>
      </w:r>
    </w:p>
    <w:p>
      <w:pPr>
        <w:widowControl w:val="0"/>
        <w:snapToGrid w:val="0"/>
        <w:spacing w:before="0" w:after="0" w:line="566" w:lineRule="atLeast"/>
        <w:ind w:left="0" w:right="0" w:firstLine="623"/>
        <w:jc w:val="both"/>
        <w:textAlignment w:val="baseline"/>
      </w:pPr>
      <w:r>
        <w:rPr>
          <w:rFonts w:eastAsia="方正仿宋简体"/>
          <w:sz w:val="31"/>
        </w:rPr>
        <w:t>（五）按照政策规定和职责权限，制定和调整公立基层医疗机构医疗服务价格。贯彻落实省、石家庄市药品、医用耗材价格和医疗服务项目、医疗服务设施收费等政策。实行医保支付医药服务价格合理确定和动态调整，依法监管药品、医用耗材、医疗服务价格政策执行情况。实施药品、医用耗材和医疗服务价格监测信息发布制度。</w:t>
      </w:r>
    </w:p>
    <w:p>
      <w:pPr>
        <w:widowControl w:val="0"/>
        <w:snapToGrid w:val="0"/>
        <w:spacing w:before="0" w:after="0" w:line="566" w:lineRule="atLeast"/>
        <w:ind w:left="0" w:right="0" w:firstLine="623"/>
        <w:jc w:val="both"/>
        <w:textAlignment w:val="baseline"/>
      </w:pPr>
      <w:r>
        <w:rPr>
          <w:rFonts w:eastAsia="方正仿宋简体"/>
          <w:sz w:val="31"/>
        </w:rPr>
        <w:t>（六）落实省、石家庄市药品、医用耗材的招标采购政策，指导药品、医用耗材招投标采购平台建设。</w:t>
      </w:r>
    </w:p>
    <w:p>
      <w:pPr>
        <w:widowControl w:val="0"/>
        <w:snapToGrid w:val="0"/>
        <w:spacing w:before="0" w:after="0" w:line="566" w:lineRule="atLeast"/>
        <w:ind w:left="0" w:right="0" w:firstLine="623"/>
        <w:jc w:val="both"/>
        <w:textAlignment w:val="baseline"/>
      </w:pPr>
      <w:r>
        <w:rPr>
          <w:rFonts w:eastAsia="方正仿宋简体"/>
          <w:sz w:val="31"/>
        </w:rPr>
        <w:t>（七）落实省、石家庄市定点医药机构协议和支付管理办法。建立健全医疗保障信用评价体系和信息披露制度，监督管理定点医药机构的医疗服务行为、医疗费用和医药价格，依法查处医疗保障领域违法违规行为。</w:t>
      </w:r>
    </w:p>
    <w:p>
      <w:pPr>
        <w:widowControl w:val="0"/>
        <w:snapToGrid w:val="0"/>
        <w:spacing w:before="0" w:after="0" w:line="566" w:lineRule="atLeast"/>
        <w:ind w:left="0" w:right="0" w:firstLine="623"/>
        <w:jc w:val="both"/>
        <w:textAlignment w:val="baseline"/>
      </w:pPr>
      <w:r>
        <w:rPr>
          <w:rFonts w:eastAsia="方正仿宋简体"/>
          <w:sz w:val="31"/>
        </w:rPr>
        <w:t>（八）负责医疗保障经办管理、公共服务体系和信息化建设。执行异地就医管理、费用结算政策和医疗保障关系转移接续制度。</w:t>
      </w:r>
    </w:p>
    <w:p>
      <w:pPr>
        <w:widowControl w:val="0"/>
        <w:snapToGrid w:val="0"/>
        <w:spacing w:before="0" w:after="0" w:line="566" w:lineRule="atLeast"/>
        <w:ind w:left="0" w:right="0" w:firstLine="623"/>
        <w:jc w:val="both"/>
        <w:textAlignment w:val="baseline"/>
      </w:pPr>
      <w:r>
        <w:rPr>
          <w:rFonts w:eastAsia="方正仿宋简体"/>
          <w:sz w:val="31"/>
        </w:rPr>
        <w:t>（九）完成市委、市政府交办的其他任务。</w:t>
      </w:r>
    </w:p>
    <w:p>
      <w:pPr>
        <w:ind w:firstLine="640"/>
        <w:rPr>
          <w:rFonts w:ascii="Times New Roman" w:hAnsi="Times New Roman" w:eastAsia="仿宋" w:cs="Times New Roman"/>
          <w:sz w:val="32"/>
          <w:szCs w:val="32"/>
        </w:rPr>
      </w:pPr>
    </w:p>
    <w:p>
      <w:pPr>
        <w:rPr>
          <w:rFonts w:ascii="仿宋" w:hAnsi="仿宋" w:eastAsia="仿宋" w:cs="Times New Roman"/>
          <w:sz w:val="32"/>
          <w:szCs w:val="32"/>
        </w:rPr>
      </w:pP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5" w:hRule="atLeast"/>
          <w:jc w:val="center"/>
        </w:trPr>
        <w:tc>
          <w:tcPr>
            <w:tcW w:w="4417" w:type="dxa"/>
            <w:vAlign w:val="center"/>
          </w:tcPr>
          <w:p>
            <w:pPr>
              <w:spacing w:line="300" w:lineRule="exact"/>
              <w:jc w:val="left"/>
              <w:rPr>
                <w:rFonts w:hint="eastAsia" w:ascii="Times New Roman" w:hAnsi="Times New Roman" w:eastAsia="方正书宋_GBK" w:cs="Times New Roman"/>
                <w:szCs w:val="24"/>
                <w:lang w:eastAsia="zh-CN"/>
              </w:rPr>
            </w:pPr>
            <w:r>
              <w:rPr>
                <w:rFonts w:hint="eastAsia" w:ascii="方正书宋_GBK" w:eastAsia="方正书宋_GBK"/>
                <w:lang w:val="en-US" w:eastAsia="zh-CN"/>
              </w:rPr>
              <w:t xml:space="preserve"> 新乐市医疗保障局</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pPr>
              <w:spacing w:line="300" w:lineRule="exact"/>
              <w:jc w:val="center"/>
              <w:rPr>
                <w:rFonts w:hint="eastAsia" w:ascii="Times New Roman" w:hAnsi="Times New Roman" w:eastAsia="方正书宋_GBK" w:cs="Times New Roman"/>
                <w:szCs w:val="24"/>
                <w:lang w:eastAsia="zh-CN"/>
              </w:rPr>
            </w:pPr>
            <w:r>
              <w:rPr>
                <w:rFonts w:hint="eastAsia" w:ascii="方正书宋_GBK" w:eastAsia="方正书宋_GBK"/>
                <w:lang w:eastAsia="zh-CN"/>
              </w:rPr>
              <w:t>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5" w:hRule="atLeast"/>
          <w:jc w:val="center"/>
        </w:trPr>
        <w:tc>
          <w:tcPr>
            <w:tcW w:w="4417" w:type="dxa"/>
            <w:vAlign w:val="center"/>
          </w:tcPr>
          <w:p>
            <w:pPr>
              <w:spacing w:line="300" w:lineRule="exact"/>
              <w:jc w:val="left"/>
              <w:rPr>
                <w:rFonts w:hint="eastAsia" w:ascii="Times New Roman" w:hAnsi="Times New Roman" w:eastAsia="方正书宋_GBK" w:cs="Times New Roman"/>
                <w:szCs w:val="24"/>
                <w:lang w:eastAsia="zh-CN"/>
              </w:rPr>
            </w:pPr>
            <w:r>
              <w:rPr>
                <w:rFonts w:hint="eastAsia" w:ascii="方正书宋_GBK" w:eastAsia="方正书宋_GBK"/>
                <w:lang w:eastAsia="zh-CN"/>
              </w:rPr>
              <w:t>新乐市医疗保障服务中心</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lang w:eastAsia="zh-CN"/>
              </w:rPr>
              <w:t>全额</w:t>
            </w:r>
            <w:r>
              <w:rPr>
                <w:rFonts w:hint="eastAsia" w:ascii="方正书宋_GBK" w:eastAsia="方正书宋_GBK"/>
              </w:rPr>
              <w:t>事业</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lang w:eastAsia="zh-CN"/>
              </w:rPr>
              <w:t>股级</w:t>
            </w:r>
          </w:p>
        </w:tc>
        <w:tc>
          <w:tcPr>
            <w:tcW w:w="2902" w:type="dxa"/>
            <w:vAlign w:val="center"/>
          </w:tcPr>
          <w:p>
            <w:pPr>
              <w:spacing w:line="300" w:lineRule="exact"/>
              <w:jc w:val="center"/>
              <w:rPr>
                <w:rFonts w:hint="default" w:ascii="Times New Roman" w:hAnsi="Times New Roman" w:eastAsia="方正书宋_GBK" w:cs="Times New Roman"/>
                <w:szCs w:val="24"/>
                <w:lang w:val="en-US" w:eastAsia="zh-CN"/>
              </w:rPr>
            </w:pPr>
            <w:r>
              <w:rPr>
                <w:rFonts w:hint="eastAsia" w:ascii="方正书宋_GBK" w:eastAsia="方正书宋_GBK"/>
                <w:lang w:val="en-US" w:eastAsia="zh-CN"/>
              </w:rPr>
              <w:t>财政性资金基本保证</w:t>
            </w: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w:t>
      </w:r>
      <w:r>
        <w:rPr>
          <w:rFonts w:hint="eastAsia" w:ascii="Times New Roman" w:hAnsi="Times New Roman" w:eastAsia="仿宋" w:cs="Times New Roman"/>
          <w:sz w:val="32"/>
          <w:szCs w:val="32"/>
          <w:lang w:eastAsia="zh-CN"/>
        </w:rPr>
        <w:t>市</w:t>
      </w:r>
      <w:r>
        <w:rPr>
          <w:rFonts w:ascii="Times New Roman" w:hAnsi="Times New Roman" w:eastAsia="仿宋" w:cs="Times New Roman"/>
          <w:sz w:val="32"/>
          <w:szCs w:val="32"/>
        </w:rPr>
        <w:t>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lang w:eastAsia="zh-CN"/>
        </w:rPr>
        <w:t>新乐市医疗保障局</w:t>
      </w:r>
      <w:r>
        <w:rPr>
          <w:rFonts w:ascii="Times New Roman" w:hAnsi="Times New Roman" w:eastAsia="仿宋" w:cs="Times New Roman"/>
          <w:sz w:val="32"/>
          <w:szCs w:val="32"/>
        </w:rPr>
        <w:t>及所属事业单位的收支包含在部门预算中。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反映本部门当年全部收入。2020年预算收入21949</w:t>
      </w:r>
      <w:r>
        <w:rPr>
          <w:rFonts w:hint="eastAsia" w:ascii="Times New Roman" w:hAnsi="Times New Roman" w:eastAsia="仿宋" w:cs="Times New Roman"/>
          <w:sz w:val="32"/>
          <w:szCs w:val="32"/>
          <w:lang w:val="en-US" w:eastAsia="zh-CN"/>
        </w:rPr>
        <w:t>.3</w:t>
      </w:r>
      <w:r>
        <w:rPr>
          <w:rFonts w:hint="eastAsia" w:ascii="Times New Roman" w:hAnsi="Times New Roman" w:eastAsia="仿宋" w:cs="Times New Roman"/>
          <w:sz w:val="32"/>
          <w:szCs w:val="32"/>
        </w:rPr>
        <w:t>万元，其中：一般公共预算收入21812</w:t>
      </w:r>
      <w:r>
        <w:rPr>
          <w:rFonts w:hint="eastAsia" w:ascii="Times New Roman" w:hAnsi="Times New Roman" w:eastAsia="仿宋" w:cs="Times New Roman"/>
          <w:sz w:val="32"/>
          <w:szCs w:val="32"/>
          <w:lang w:val="en-US" w:eastAsia="zh-CN"/>
        </w:rPr>
        <w:t>.3</w:t>
      </w:r>
      <w:r>
        <w:rPr>
          <w:rFonts w:hint="eastAsia" w:ascii="Times New Roman" w:hAnsi="Times New Roman" w:eastAsia="仿宋" w:cs="Times New Roman"/>
          <w:sz w:val="32"/>
          <w:szCs w:val="32"/>
        </w:rPr>
        <w:t>万元，基金预算收入</w:t>
      </w:r>
      <w:r>
        <w:rPr>
          <w:rFonts w:hint="eastAsia" w:ascii="Times New Roman" w:hAnsi="Times New Roman" w:eastAsia="仿宋" w:cs="Times New Roman"/>
          <w:sz w:val="32"/>
          <w:szCs w:val="32"/>
          <w:lang w:val="en-US" w:eastAsia="zh-CN"/>
        </w:rPr>
        <w:t>137</w:t>
      </w:r>
      <w:r>
        <w:rPr>
          <w:rFonts w:hint="eastAsia" w:ascii="Times New Roman" w:hAnsi="Times New Roman" w:eastAsia="仿宋" w:cs="Times New Roman"/>
          <w:sz w:val="32"/>
          <w:szCs w:val="32"/>
        </w:rPr>
        <w:t>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Times New Roman" w:hAnsi="Times New Roman" w:eastAsia="仿宋" w:cs="Times New Roman"/>
          <w:sz w:val="32"/>
          <w:szCs w:val="32"/>
          <w:lang w:eastAsia="zh-CN"/>
        </w:rPr>
        <w:t>新乐市医疗保障局</w:t>
      </w:r>
      <w:r>
        <w:rPr>
          <w:rFonts w:hint="eastAsia" w:ascii="Times New Roman" w:hAnsi="Times New Roman" w:eastAsia="仿宋" w:cs="Times New Roman"/>
          <w:sz w:val="32"/>
          <w:szCs w:val="32"/>
        </w:rPr>
        <w:t>年度部门预算中支出预算的总体情况。2020年部门支出预算为21949</w:t>
      </w:r>
      <w:r>
        <w:rPr>
          <w:rFonts w:hint="eastAsia" w:ascii="Times New Roman" w:hAnsi="Times New Roman" w:eastAsia="仿宋" w:cs="Times New Roman"/>
          <w:sz w:val="32"/>
          <w:szCs w:val="32"/>
          <w:lang w:val="en-US" w:eastAsia="zh-CN"/>
        </w:rPr>
        <w:t>.3</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414.2</w:t>
      </w:r>
      <w:r>
        <w:rPr>
          <w:rFonts w:hint="eastAsia" w:ascii="Times New Roman" w:hAnsi="Times New Roman" w:eastAsia="仿宋" w:cs="Times New Roman"/>
          <w:sz w:val="32"/>
          <w:szCs w:val="32"/>
        </w:rPr>
        <w:t>万元，包括人员经费389</w:t>
      </w:r>
      <w:r>
        <w:rPr>
          <w:rFonts w:hint="eastAsia" w:ascii="Times New Roman" w:hAnsi="Times New Roman" w:eastAsia="仿宋" w:cs="Times New Roman"/>
          <w:sz w:val="32"/>
          <w:szCs w:val="32"/>
          <w:lang w:val="en-US" w:eastAsia="zh-CN"/>
        </w:rPr>
        <w:t>.5</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24.7</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21535.1</w:t>
      </w:r>
      <w:r>
        <w:rPr>
          <w:rFonts w:hint="eastAsia" w:ascii="Times New Roman" w:hAnsi="Times New Roman" w:eastAsia="仿宋" w:cs="Times New Roman"/>
          <w:sz w:val="32"/>
          <w:szCs w:val="32"/>
        </w:rPr>
        <w:t>万元，主要为困难企业职工医疗保险</w:t>
      </w:r>
      <w:r>
        <w:rPr>
          <w:rFonts w:hint="eastAsia" w:ascii="Times New Roman" w:hAnsi="Times New Roman" w:eastAsia="仿宋" w:cs="Times New Roman"/>
          <w:sz w:val="32"/>
          <w:szCs w:val="32"/>
          <w:lang w:val="en-US" w:eastAsia="zh-CN"/>
        </w:rPr>
        <w:t>167万，长期护理险890万元，一至六级残疾军人医疗费245万元，离休干部医疗费153万元，建档立卡贫困人口医疗报销提高40万元，医保智能监控系统服务费61.1万元，基金监管经费20万元，医疗保障经办工作经费20万元，城乡居民医疗保险财政补助5361万元，中央财政城乡居民基本医疗保险补助资金预算（第一批）13898万元，省级城乡居民基本医疗保险财政补助资金（第二批）165万元，中央财政医疗救助补助资金预算（第一批）92万元，中央财政医疗救助补助资金预算（第一批）彩票公益金137万元，省级财政医疗救助补助资金预算285万元，中央财政医疗救助补助资金预算6万元，省级财政城乡居民医保村级代办员补助资金5万元</w:t>
      </w:r>
      <w:r>
        <w:rPr>
          <w:rFonts w:hint="eastAsia" w:ascii="Times New Roman" w:hAnsi="Times New Roman" w:eastAsia="仿宋" w:cs="Times New Roman"/>
          <w:sz w:val="32"/>
          <w:szCs w:val="32"/>
          <w:lang w:eastAsia="zh-CN"/>
        </w:rPr>
        <w:t>。</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21949</w:t>
      </w:r>
      <w:r>
        <w:rPr>
          <w:rFonts w:hint="eastAsia" w:ascii="Times New Roman" w:hAnsi="Times New Roman" w:eastAsia="仿宋" w:cs="Times New Roman"/>
          <w:sz w:val="32"/>
          <w:szCs w:val="32"/>
          <w:lang w:val="en-US" w:eastAsia="zh-CN"/>
        </w:rPr>
        <w:t>.3</w:t>
      </w:r>
      <w:r>
        <w:rPr>
          <w:rFonts w:hint="eastAsia" w:ascii="Times New Roman" w:hAnsi="Times New Roman" w:eastAsia="仿宋" w:cs="Times New Roman"/>
          <w:sz w:val="32"/>
          <w:szCs w:val="32"/>
        </w:rPr>
        <w:t>万</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其中基本支</w:t>
      </w:r>
      <w:r>
        <w:rPr>
          <w:rFonts w:hint="eastAsia" w:ascii="Times New Roman" w:hAnsi="Times New Roman" w:eastAsia="仿宋" w:cs="Times New Roman"/>
          <w:sz w:val="32"/>
          <w:szCs w:val="32"/>
          <w:lang w:eastAsia="zh-CN"/>
        </w:rPr>
        <w:t>出</w:t>
      </w:r>
      <w:r>
        <w:rPr>
          <w:rFonts w:hint="eastAsia" w:ascii="Times New Roman" w:hAnsi="Times New Roman" w:eastAsia="仿宋" w:cs="Times New Roman"/>
          <w:sz w:val="32"/>
          <w:szCs w:val="32"/>
          <w:lang w:val="en-US" w:eastAsia="zh-CN"/>
        </w:rPr>
        <w:t>414.2</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389.5</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24.7</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21535.1</w:t>
      </w:r>
      <w:r>
        <w:rPr>
          <w:rFonts w:hint="eastAsia" w:ascii="Times New Roman" w:hAnsi="Times New Roman" w:eastAsia="仿宋" w:cs="Times New Roman"/>
          <w:sz w:val="32"/>
          <w:szCs w:val="32"/>
        </w:rPr>
        <w:t>万元，包括社会保障和就业支出</w:t>
      </w:r>
      <w:r>
        <w:rPr>
          <w:rFonts w:hint="eastAsia" w:ascii="Times New Roman" w:hAnsi="Times New Roman" w:eastAsia="仿宋" w:cs="Times New Roman"/>
          <w:sz w:val="32"/>
          <w:szCs w:val="32"/>
          <w:lang w:val="en-US" w:eastAsia="zh-CN"/>
        </w:rPr>
        <w:t>5</w:t>
      </w:r>
      <w:r>
        <w:rPr>
          <w:rFonts w:hint="eastAsia" w:ascii="Times New Roman" w:hAnsi="Times New Roman" w:eastAsia="仿宋" w:cs="Times New Roman"/>
          <w:sz w:val="32"/>
          <w:szCs w:val="32"/>
        </w:rPr>
        <w:t>万元，卫生健康支出</w:t>
      </w:r>
      <w:r>
        <w:rPr>
          <w:rFonts w:hint="eastAsia" w:ascii="Times New Roman" w:hAnsi="Times New Roman" w:eastAsia="仿宋" w:cs="Times New Roman"/>
          <w:sz w:val="32"/>
          <w:szCs w:val="32"/>
          <w:lang w:val="en-US" w:eastAsia="zh-CN"/>
        </w:rPr>
        <w:t>21393.1</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其他支出</w:t>
      </w:r>
      <w:r>
        <w:rPr>
          <w:rFonts w:hint="eastAsia" w:ascii="Times New Roman" w:hAnsi="Times New Roman" w:eastAsia="仿宋" w:cs="Times New Roman"/>
          <w:sz w:val="32"/>
          <w:szCs w:val="32"/>
          <w:lang w:val="en-US" w:eastAsia="zh-CN"/>
        </w:rPr>
        <w:t>137万元</w:t>
      </w:r>
      <w:r>
        <w:rPr>
          <w:rFonts w:hint="eastAsia" w:ascii="Times New Roman" w:hAnsi="Times New Roman" w:eastAsia="仿宋" w:cs="Times New Roman"/>
          <w:sz w:val="32"/>
          <w:szCs w:val="32"/>
        </w:rPr>
        <w:t>。</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较上年增减变化:</w:t>
      </w:r>
    </w:p>
    <w:p>
      <w:pPr>
        <w:ind w:firstLine="640"/>
        <w:rPr>
          <w:rFonts w:ascii="Times New Roman" w:hAnsi="Times New Roman" w:eastAsia="仿宋" w:cs="Times New Roman"/>
          <w:sz w:val="32"/>
          <w:szCs w:val="32"/>
          <w:lang w:val="en-US"/>
        </w:rPr>
      </w:pPr>
      <w:r>
        <w:rPr>
          <w:rFonts w:hint="eastAsia" w:ascii="Times New Roman" w:hAnsi="Times New Roman" w:eastAsia="仿宋" w:cs="Times New Roman"/>
          <w:sz w:val="32"/>
          <w:szCs w:val="32"/>
        </w:rPr>
        <w:t xml:space="preserve">  2020年预算收支安排21949</w:t>
      </w:r>
      <w:r>
        <w:rPr>
          <w:rFonts w:hint="eastAsia" w:ascii="Times New Roman" w:hAnsi="Times New Roman" w:eastAsia="仿宋" w:cs="Times New Roman"/>
          <w:sz w:val="32"/>
          <w:szCs w:val="32"/>
          <w:lang w:val="en-US" w:eastAsia="zh-CN"/>
        </w:rPr>
        <w:t>.3</w:t>
      </w:r>
      <w:r>
        <w:rPr>
          <w:rFonts w:hint="eastAsia" w:ascii="Times New Roman" w:hAnsi="Times New Roman" w:eastAsia="仿宋" w:cs="Times New Roman"/>
          <w:sz w:val="32"/>
          <w:szCs w:val="32"/>
        </w:rPr>
        <w:t>万元，较2019 年预算收支安排</w:t>
      </w:r>
      <w:r>
        <w:rPr>
          <w:rFonts w:hint="eastAsia" w:ascii="Times New Roman" w:hAnsi="Times New Roman" w:eastAsia="仿宋" w:cs="Times New Roman"/>
          <w:sz w:val="32"/>
          <w:szCs w:val="32"/>
          <w:lang w:val="en-US" w:eastAsia="zh-CN"/>
        </w:rPr>
        <w:t>29910.38</w:t>
      </w:r>
      <w:r>
        <w:rPr>
          <w:rFonts w:hint="eastAsia" w:ascii="Times New Roman" w:hAnsi="Times New Roman" w:eastAsia="仿宋" w:cs="Times New Roman"/>
          <w:sz w:val="32"/>
          <w:szCs w:val="32"/>
        </w:rPr>
        <w:t>万元减少</w:t>
      </w:r>
      <w:r>
        <w:rPr>
          <w:rFonts w:hint="eastAsia" w:ascii="Times New Roman" w:hAnsi="Times New Roman" w:eastAsia="仿宋" w:cs="Times New Roman"/>
          <w:sz w:val="32"/>
          <w:szCs w:val="32"/>
          <w:lang w:val="en-US" w:eastAsia="zh-CN"/>
        </w:rPr>
        <w:t>7961.08</w:t>
      </w:r>
      <w:r>
        <w:rPr>
          <w:rFonts w:hint="eastAsia" w:ascii="Times New Roman" w:hAnsi="Times New Roman" w:eastAsia="仿宋" w:cs="Times New Roman"/>
          <w:sz w:val="32"/>
          <w:szCs w:val="32"/>
        </w:rPr>
        <w:t>万元。主要原因是</w:t>
      </w:r>
      <w:r>
        <w:rPr>
          <w:rFonts w:hint="eastAsia" w:ascii="Times New Roman" w:hAnsi="Times New Roman" w:eastAsia="仿宋" w:cs="Times New Roman"/>
          <w:sz w:val="32"/>
          <w:szCs w:val="32"/>
          <w:lang w:eastAsia="zh-CN"/>
        </w:rPr>
        <w:t>项目支出中卫生健康支出中</w:t>
      </w:r>
      <w:r>
        <w:rPr>
          <w:rFonts w:hint="eastAsia" w:ascii="Times New Roman" w:hAnsi="Times New Roman" w:eastAsia="仿宋" w:cs="Times New Roman"/>
          <w:sz w:val="32"/>
          <w:szCs w:val="32"/>
          <w:lang w:val="en-US" w:eastAsia="zh-CN"/>
        </w:rPr>
        <w:t>省级城乡居民基本医疗保险财政补助资金（第一批）5377万元于2019年提前下达。</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2020年，我部门机关运行经费共计安排2</w:t>
      </w:r>
      <w:r>
        <w:rPr>
          <w:rFonts w:hint="eastAsia" w:ascii="Times New Roman" w:hAnsi="Times New Roman" w:eastAsia="仿宋" w:cs="Times New Roman"/>
          <w:sz w:val="32"/>
          <w:szCs w:val="32"/>
          <w:lang w:val="en-US" w:eastAsia="zh-CN"/>
        </w:rPr>
        <w:t>4.7</w:t>
      </w:r>
      <w:r>
        <w:rPr>
          <w:rFonts w:hint="eastAsia" w:ascii="Times New Roman" w:hAnsi="Times New Roman" w:eastAsia="仿宋" w:cs="Times New Roman"/>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rPr>
        <w:t>2020年，我部门财政拨款“三公”经费预算安排</w:t>
      </w:r>
      <w:r>
        <w:rPr>
          <w:rFonts w:hint="eastAsia" w:ascii="Times New Roman" w:hAnsi="Times New Roman" w:eastAsia="仿宋" w:cs="Times New Roman"/>
          <w:sz w:val="32"/>
          <w:szCs w:val="32"/>
          <w:lang w:val="en-US" w:eastAsia="zh-CN"/>
        </w:rPr>
        <w:t>3.1</w:t>
      </w:r>
      <w:r>
        <w:rPr>
          <w:rFonts w:hint="eastAsia" w:ascii="Times New Roman" w:hAnsi="Times New Roman" w:eastAsia="仿宋" w:cs="Times New Roman"/>
          <w:sz w:val="32"/>
          <w:szCs w:val="32"/>
        </w:rPr>
        <w:t>万元，其中：因公出国（境）费</w:t>
      </w:r>
      <w:r>
        <w:rPr>
          <w:rFonts w:hint="eastAsia" w:ascii="Times New Roman" w:hAnsi="Times New Roman" w:eastAsia="仿宋" w:cs="Times New Roman"/>
          <w:sz w:val="32"/>
          <w:szCs w:val="32"/>
          <w:lang w:val="en-US" w:eastAsia="zh-CN"/>
        </w:rPr>
        <w:t>0</w:t>
      </w:r>
      <w:r>
        <w:rPr>
          <w:rFonts w:hint="eastAsia" w:ascii="Times New Roman" w:hAnsi="Times New Roman" w:eastAsia="仿宋" w:cs="Times New Roman"/>
          <w:sz w:val="32"/>
          <w:szCs w:val="32"/>
        </w:rPr>
        <w:t>万元；公务用车购置及运维费</w:t>
      </w:r>
      <w:r>
        <w:rPr>
          <w:rFonts w:hint="eastAsia" w:ascii="Times New Roman" w:hAnsi="Times New Roman" w:eastAsia="仿宋" w:cs="Times New Roman"/>
          <w:sz w:val="32"/>
          <w:szCs w:val="32"/>
          <w:lang w:val="en-US" w:eastAsia="zh-CN"/>
        </w:rPr>
        <w:t>2.5</w:t>
      </w:r>
      <w:r>
        <w:rPr>
          <w:rFonts w:hint="eastAsia" w:ascii="Times New Roman" w:hAnsi="Times New Roman" w:eastAsia="仿宋" w:cs="Times New Roman"/>
          <w:sz w:val="32"/>
          <w:szCs w:val="32"/>
        </w:rPr>
        <w:t>万元（其中：公务用车购置费0万元，公务用车运行维护费2</w:t>
      </w:r>
      <w:r>
        <w:rPr>
          <w:rFonts w:hint="eastAsia" w:ascii="Times New Roman" w:hAnsi="Times New Roman" w:eastAsia="仿宋" w:cs="Times New Roman"/>
          <w:sz w:val="32"/>
          <w:szCs w:val="32"/>
          <w:lang w:val="en-US" w:eastAsia="zh-CN"/>
        </w:rPr>
        <w:t>.5</w:t>
      </w:r>
      <w:r>
        <w:rPr>
          <w:rFonts w:hint="eastAsia" w:ascii="Times New Roman" w:hAnsi="Times New Roman" w:eastAsia="仿宋" w:cs="Times New Roman"/>
          <w:sz w:val="32"/>
          <w:szCs w:val="32"/>
        </w:rPr>
        <w:t>万元)；公务接待费</w:t>
      </w:r>
      <w:r>
        <w:rPr>
          <w:rFonts w:hint="eastAsia" w:ascii="Times New Roman" w:hAnsi="Times New Roman" w:eastAsia="仿宋" w:cs="Times New Roman"/>
          <w:sz w:val="32"/>
          <w:szCs w:val="32"/>
          <w:lang w:val="en-US" w:eastAsia="zh-CN"/>
        </w:rPr>
        <w:t>0.6</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与上年相比，</w:t>
      </w:r>
      <w:r>
        <w:rPr>
          <w:rFonts w:hint="eastAsia" w:ascii="Times New Roman" w:hAnsi="Times New Roman" w:eastAsia="仿宋" w:cs="Times New Roman"/>
          <w:sz w:val="32"/>
          <w:szCs w:val="32"/>
        </w:rPr>
        <w:t>公务用车购置及运维费</w:t>
      </w:r>
      <w:r>
        <w:rPr>
          <w:rFonts w:hint="eastAsia" w:ascii="Times New Roman" w:hAnsi="Times New Roman" w:eastAsia="仿宋" w:cs="Times New Roman"/>
          <w:sz w:val="32"/>
          <w:szCs w:val="32"/>
          <w:lang w:eastAsia="zh-CN"/>
        </w:rPr>
        <w:t>无变化，</w:t>
      </w:r>
      <w:r>
        <w:rPr>
          <w:rFonts w:hint="eastAsia" w:ascii="Times New Roman" w:hAnsi="Times New Roman" w:eastAsia="仿宋" w:cs="Times New Roman"/>
          <w:sz w:val="32"/>
          <w:szCs w:val="32"/>
        </w:rPr>
        <w:t>公务接待费</w:t>
      </w:r>
      <w:r>
        <w:rPr>
          <w:rFonts w:hint="eastAsia" w:ascii="Times New Roman" w:hAnsi="Times New Roman" w:eastAsia="仿宋" w:cs="Times New Roman"/>
          <w:sz w:val="32"/>
          <w:szCs w:val="32"/>
          <w:lang w:val="en-US" w:eastAsia="zh-CN"/>
        </w:rPr>
        <w:t>为新增加内容（我单位是机构改革新增单位）。</w:t>
      </w:r>
    </w:p>
    <w:p>
      <w:pPr>
        <w:autoSpaceDE w:val="0"/>
        <w:autoSpaceDN w:val="0"/>
        <w:adjustRightInd w:val="0"/>
        <w:ind w:left="198" w:firstLine="640" w:firstLineChars="200"/>
        <w:jc w:val="left"/>
        <w:rPr>
          <w:rFonts w:hint="eastAsia" w:ascii="Times New Roman" w:hAnsi="Times New Roman" w:eastAsia="仿宋" w:cs="Times New Roman"/>
          <w:sz w:val="32"/>
          <w:szCs w:val="32"/>
        </w:rPr>
      </w:pP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3"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3" w:firstLineChars="200"/>
        <w:jc w:val="left"/>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p>
    <w:p>
      <w:pPr>
        <w:autoSpaceDE w:val="0"/>
        <w:autoSpaceDN w:val="0"/>
        <w:adjustRightInd w:val="0"/>
        <w:ind w:left="198"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1、</w:t>
      </w:r>
      <w:r>
        <w:rPr>
          <w:rFonts w:hint="eastAsia" w:ascii="仿宋" w:hAnsi="仿宋" w:eastAsia="仿宋" w:cs="仿宋"/>
          <w:sz w:val="32"/>
          <w:szCs w:val="32"/>
        </w:rPr>
        <w:t>贯彻实施城镇职工医疗保险、城乡居民医疗保险和生育保险等政策法规</w:t>
      </w:r>
    </w:p>
    <w:p>
      <w:pPr>
        <w:autoSpaceDE w:val="0"/>
        <w:autoSpaceDN w:val="0"/>
        <w:adjustRightInd w:val="0"/>
        <w:ind w:left="198"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2、</w:t>
      </w:r>
      <w:r>
        <w:rPr>
          <w:rFonts w:hint="eastAsia" w:ascii="仿宋" w:hAnsi="仿宋" w:eastAsia="仿宋" w:cs="仿宋"/>
          <w:sz w:val="32"/>
          <w:szCs w:val="32"/>
        </w:rPr>
        <w:t>组织实施医保基金监督管理</w:t>
      </w:r>
    </w:p>
    <w:p>
      <w:pPr>
        <w:autoSpaceDE w:val="0"/>
        <w:autoSpaceDN w:val="0"/>
        <w:adjustRightInd w:val="0"/>
        <w:ind w:left="198"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3、</w:t>
      </w:r>
      <w:r>
        <w:rPr>
          <w:rFonts w:hint="eastAsia" w:ascii="仿宋" w:hAnsi="仿宋" w:eastAsia="仿宋" w:cs="仿宋"/>
          <w:sz w:val="32"/>
          <w:szCs w:val="32"/>
        </w:rPr>
        <w:t>推进医保基金支付方式改革</w:t>
      </w:r>
    </w:p>
    <w:p>
      <w:pPr>
        <w:autoSpaceDE w:val="0"/>
        <w:autoSpaceDN w:val="0"/>
        <w:adjustRightInd w:val="0"/>
        <w:ind w:left="198"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4、</w:t>
      </w:r>
      <w:r>
        <w:rPr>
          <w:rFonts w:hint="eastAsia" w:ascii="仿宋" w:hAnsi="仿宋" w:eastAsia="仿宋" w:cs="仿宋"/>
          <w:sz w:val="32"/>
          <w:szCs w:val="32"/>
        </w:rPr>
        <w:t>依法管理药品、医用耗材、医疗服务价格</w:t>
      </w:r>
    </w:p>
    <w:p>
      <w:pPr>
        <w:autoSpaceDE w:val="0"/>
        <w:autoSpaceDN w:val="0"/>
        <w:adjustRightInd w:val="0"/>
        <w:ind w:left="198"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5、</w:t>
      </w:r>
      <w:r>
        <w:rPr>
          <w:rFonts w:hint="eastAsia" w:ascii="仿宋" w:hAnsi="仿宋" w:eastAsia="仿宋" w:cs="仿宋"/>
          <w:sz w:val="32"/>
          <w:szCs w:val="32"/>
        </w:rPr>
        <w:t>负责医疗保障经办管理</w:t>
      </w:r>
    </w:p>
    <w:p>
      <w:pPr>
        <w:autoSpaceDE w:val="0"/>
        <w:autoSpaceDN w:val="0"/>
        <w:adjustRightInd w:val="0"/>
        <w:ind w:left="198"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6、</w:t>
      </w:r>
      <w:r>
        <w:rPr>
          <w:rFonts w:hint="eastAsia" w:ascii="仿宋" w:hAnsi="仿宋" w:eastAsia="仿宋" w:cs="仿宋"/>
          <w:sz w:val="32"/>
          <w:szCs w:val="32"/>
        </w:rPr>
        <w:t>落实定点医药机构协议管理</w:t>
      </w:r>
    </w:p>
    <w:p>
      <w:pPr>
        <w:autoSpaceDE w:val="0"/>
        <w:autoSpaceDN w:val="0"/>
        <w:adjustRightInd w:val="0"/>
        <w:ind w:left="198" w:firstLine="640" w:firstLineChars="200"/>
        <w:jc w:val="left"/>
        <w:rPr>
          <w:rFonts w:hint="eastAsia" w:ascii="仿宋" w:hAnsi="仿宋" w:eastAsia="仿宋" w:cs="仿宋"/>
          <w:b/>
          <w:sz w:val="32"/>
          <w:szCs w:val="32"/>
        </w:rPr>
      </w:pPr>
      <w:r>
        <w:rPr>
          <w:rFonts w:hint="eastAsia" w:ascii="仿宋" w:hAnsi="仿宋" w:eastAsia="仿宋" w:cs="仿宋"/>
          <w:sz w:val="32"/>
          <w:szCs w:val="32"/>
          <w:lang w:val="en-US" w:eastAsia="zh-CN"/>
        </w:rPr>
        <w:t>7、</w:t>
      </w:r>
      <w:r>
        <w:rPr>
          <w:rFonts w:hint="eastAsia" w:ascii="仿宋" w:hAnsi="仿宋" w:eastAsia="仿宋" w:cs="仿宋"/>
          <w:sz w:val="32"/>
          <w:szCs w:val="32"/>
        </w:rPr>
        <w:t>扎实做好医疗救助、医保扶贫、长期护理保险等。</w:t>
      </w:r>
      <w:r>
        <w:rPr>
          <w:rFonts w:hint="eastAsia" w:ascii="仿宋" w:hAnsi="仿宋" w:eastAsia="仿宋" w:cs="仿宋"/>
          <w:b/>
          <w:sz w:val="32"/>
          <w:szCs w:val="32"/>
        </w:rPr>
        <w:fldChar w:fldCharType="begin"/>
      </w:r>
      <w:r>
        <w:rPr>
          <w:rFonts w:hint="eastAsia" w:ascii="仿宋" w:hAnsi="仿宋" w:eastAsia="仿宋" w:cs="仿宋"/>
          <w:b/>
          <w:sz w:val="32"/>
          <w:szCs w:val="32"/>
        </w:rPr>
        <w:instrText xml:space="preserve"> TC </w:instrText>
      </w:r>
      <w:bookmarkStart w:id="1" w:name="_Toc29484628"/>
      <w:r>
        <w:rPr>
          <w:rFonts w:hint="eastAsia" w:ascii="仿宋" w:hAnsi="仿宋" w:eastAsia="仿宋" w:cs="仿宋"/>
          <w:b/>
          <w:sz w:val="32"/>
          <w:szCs w:val="32"/>
        </w:rPr>
        <w:instrText xml:space="preserve">总体绩效目标</w:instrText>
      </w:r>
      <w:bookmarkEnd w:id="1"/>
      <w:r>
        <w:rPr>
          <w:rFonts w:hint="eastAsia" w:ascii="仿宋" w:hAnsi="仿宋" w:eastAsia="仿宋" w:cs="仿宋"/>
          <w:b/>
          <w:sz w:val="32"/>
          <w:szCs w:val="32"/>
        </w:rPr>
        <w:instrText xml:space="preserve"> \f A \l 1 </w:instrText>
      </w:r>
      <w:r>
        <w:rPr>
          <w:rFonts w:hint="eastAsia" w:ascii="仿宋" w:hAnsi="仿宋" w:eastAsia="仿宋" w:cs="仿宋"/>
          <w:b/>
          <w:sz w:val="32"/>
          <w:szCs w:val="32"/>
        </w:rPr>
        <w:fldChar w:fldCharType="end"/>
      </w:r>
    </w:p>
    <w:p>
      <w:pPr>
        <w:autoSpaceDE w:val="0"/>
        <w:autoSpaceDN w:val="0"/>
        <w:adjustRightInd w:val="0"/>
        <w:ind w:left="198" w:firstLine="643" w:firstLineChars="200"/>
        <w:jc w:val="left"/>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rPr>
        <w:t>1、</w:t>
      </w:r>
      <w:r>
        <w:rPr>
          <w:rFonts w:hint="eastAsia" w:ascii="Times New Roman" w:hAnsi="Times New Roman" w:eastAsia="仿宋" w:cs="Times New Roman"/>
          <w:sz w:val="32"/>
          <w:szCs w:val="32"/>
          <w:lang w:eastAsia="zh-CN"/>
        </w:rPr>
        <w:t>困难企业职工医疗保险</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eastAsia="zh-CN"/>
        </w:rPr>
        <w:t>绩效目标：</w:t>
      </w:r>
      <w:r>
        <w:rPr>
          <w:rFonts w:hint="eastAsia" w:ascii="Times New Roman" w:hAnsi="Times New Roman" w:eastAsia="仿宋" w:cs="Times New Roman"/>
          <w:sz w:val="32"/>
          <w:szCs w:val="32"/>
        </w:rPr>
        <w:t>根据《石家庄市劳动和社会保障局关于对医疗保险制度改革有关政策问题解释的通知》（市劳社【2004】77号），保障困难单位按时、足额享受职工医疗。补贴人员数量应达到100%。</w:t>
      </w:r>
    </w:p>
    <w:p>
      <w:pPr>
        <w:autoSpaceDE w:val="0"/>
        <w:autoSpaceDN w:val="0"/>
        <w:adjustRightInd w:val="0"/>
        <w:ind w:left="198" w:firstLine="640" w:firstLineChars="2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lang w:eastAsia="zh-CN"/>
        </w:rPr>
        <w:t>绩效指标：补助个人数量、综合业务管理工作完成率、补助人群生活改善情况、享受保险基金补助覆盖面。</w:t>
      </w:r>
    </w:p>
    <w:p>
      <w:pPr>
        <w:numPr>
          <w:ilvl w:val="0"/>
          <w:numId w:val="1"/>
        </w:num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离休干部医疗费</w:t>
      </w:r>
    </w:p>
    <w:p>
      <w:pPr>
        <w:numPr>
          <w:ilvl w:val="0"/>
          <w:numId w:val="0"/>
        </w:numPr>
        <w:autoSpaceDE w:val="0"/>
        <w:autoSpaceDN w:val="0"/>
        <w:adjustRightInd w:val="0"/>
        <w:ind w:leftChars="200" w:firstLine="320" w:firstLineChars="1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绩效目标：每位离休干部、建国前老工人医疗费按8000元每年测算，由财政局将资金拨付到社保局。医保超支费用按</w:t>
      </w:r>
      <w:r>
        <w:rPr>
          <w:rFonts w:hint="eastAsia" w:ascii="Times New Roman" w:hAnsi="Times New Roman" w:eastAsia="仿宋" w:cs="Times New Roman"/>
          <w:sz w:val="32"/>
          <w:szCs w:val="32"/>
          <w:lang w:eastAsia="zh-CN"/>
        </w:rPr>
        <w:t>季</w:t>
      </w:r>
      <w:r>
        <w:rPr>
          <w:rFonts w:hint="eastAsia" w:ascii="Times New Roman" w:hAnsi="Times New Roman" w:eastAsia="仿宋" w:cs="Times New Roman"/>
          <w:sz w:val="32"/>
          <w:szCs w:val="32"/>
        </w:rPr>
        <w:t>结算，由财政局按季度据实拨付到社保局，社保局审核后再拨付的定点医院。</w:t>
      </w:r>
    </w:p>
    <w:p>
      <w:pPr>
        <w:numPr>
          <w:ilvl w:val="0"/>
          <w:numId w:val="0"/>
        </w:numPr>
        <w:autoSpaceDE w:val="0"/>
        <w:autoSpaceDN w:val="0"/>
        <w:adjustRightInd w:val="0"/>
        <w:ind w:leftChars="200" w:firstLine="320" w:firstLineChars="1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lang w:eastAsia="zh-CN"/>
        </w:rPr>
        <w:t>绩效指标：补助金发放率、综合事务管理工作完成率。</w:t>
      </w:r>
    </w:p>
    <w:p>
      <w:pPr>
        <w:numPr>
          <w:ilvl w:val="0"/>
          <w:numId w:val="0"/>
        </w:numPr>
        <w:autoSpaceDE w:val="0"/>
        <w:autoSpaceDN w:val="0"/>
        <w:adjustRightInd w:val="0"/>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3、</w:t>
      </w:r>
      <w:r>
        <w:rPr>
          <w:rFonts w:hint="eastAsia" w:ascii="Times New Roman" w:hAnsi="Times New Roman" w:eastAsia="仿宋" w:cs="Times New Roman"/>
          <w:sz w:val="32"/>
          <w:szCs w:val="32"/>
        </w:rPr>
        <w:t>一至六级残疾军人医疗费</w:t>
      </w:r>
    </w:p>
    <w:p>
      <w:pPr>
        <w:numPr>
          <w:ilvl w:val="0"/>
          <w:numId w:val="0"/>
        </w:numPr>
        <w:autoSpaceDE w:val="0"/>
        <w:autoSpaceDN w:val="0"/>
        <w:adjustRightInd w:val="0"/>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绩效目标：用于一至六级残疾军人发生的医疗费基本医疗和大额医疗报销后的合规医疗费</w:t>
      </w:r>
    </w:p>
    <w:p>
      <w:pPr>
        <w:numPr>
          <w:ilvl w:val="0"/>
          <w:numId w:val="0"/>
        </w:numPr>
        <w:autoSpaceDE w:val="0"/>
        <w:autoSpaceDN w:val="0"/>
        <w:adjustRightInd w:val="0"/>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绩效指标：补助金发放率</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 xml:space="preserve"> 受益对象满意度</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4、建档立卡贫困人口医疗报销提高</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绩效目标：加强与人力资源社会保障部门的沟通协调、密切配合，及时拨付补助资金，按规定加强资金管理，确保专款专用，任何地区，部门、单位和个人，均不得截留、挤占和挪用。补贴人员数量应达到100%。</w:t>
      </w:r>
    </w:p>
    <w:p>
      <w:pPr>
        <w:autoSpaceDE w:val="0"/>
        <w:autoSpaceDN w:val="0"/>
        <w:adjustRightInd w:val="0"/>
        <w:ind w:left="198" w:firstLine="640" w:firstLineChars="2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rPr>
        <w:t>绩效指标：享受保险基金补助人数</w:t>
      </w:r>
      <w:r>
        <w:rPr>
          <w:rFonts w:hint="eastAsia" w:ascii="Times New Roman" w:hAnsi="Times New Roman" w:eastAsia="仿宋" w:cs="Times New Roman"/>
          <w:sz w:val="32"/>
          <w:szCs w:val="32"/>
          <w:lang w:eastAsia="zh-CN"/>
        </w:rPr>
        <w:t>、享受补助人员覆盖面</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5、医保智能监控系统</w:t>
      </w:r>
    </w:p>
    <w:p>
      <w:pPr>
        <w:autoSpaceDE w:val="0"/>
        <w:autoSpaceDN w:val="0"/>
        <w:adjustRightInd w:val="0"/>
        <w:ind w:left="198" w:firstLine="640" w:firstLineChars="2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rPr>
        <w:t>绩效目标：加强医疗保障基金监督管理，保障基金安全</w:t>
      </w:r>
      <w:r>
        <w:rPr>
          <w:rFonts w:hint="eastAsia" w:ascii="Times New Roman" w:hAnsi="Times New Roman" w:eastAsia="仿宋" w:cs="Times New Roman"/>
          <w:sz w:val="32"/>
          <w:szCs w:val="32"/>
          <w:lang w:eastAsia="zh-CN"/>
        </w:rPr>
        <w:t>，提高基金使用效率，维护医疗保障相关主体的合法权益。</w:t>
      </w:r>
    </w:p>
    <w:p>
      <w:pPr>
        <w:autoSpaceDE w:val="0"/>
        <w:autoSpaceDN w:val="0"/>
        <w:adjustRightInd w:val="0"/>
        <w:ind w:left="198" w:firstLine="640" w:firstLineChars="2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rPr>
        <w:t>绩效指标：定点医疗机构监控数量</w:t>
      </w:r>
      <w:r>
        <w:rPr>
          <w:rFonts w:hint="eastAsia" w:ascii="Times New Roman" w:hAnsi="Times New Roman" w:eastAsia="仿宋" w:cs="Times New Roman"/>
          <w:sz w:val="32"/>
          <w:szCs w:val="32"/>
          <w:lang w:eastAsia="zh-CN"/>
        </w:rPr>
        <w:t>、群众满意度</w:t>
      </w:r>
    </w:p>
    <w:p>
      <w:pPr>
        <w:autoSpaceDE w:val="0"/>
        <w:autoSpaceDN w:val="0"/>
        <w:adjustRightInd w:val="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 xml:space="preserve">     6、医疗保障经办工作经费</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绩效目标：贯彻落实石家庄市城镇职工医疗保险、生育保险、居民医疗保险、医疗救助、长期护理险等医疗保障地方性法规、政府规章、政策及制度</w:t>
      </w:r>
    </w:p>
    <w:p>
      <w:pPr>
        <w:autoSpaceDE w:val="0"/>
        <w:autoSpaceDN w:val="0"/>
        <w:adjustRightInd w:val="0"/>
        <w:ind w:left="198" w:firstLine="640" w:firstLineChars="2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rPr>
        <w:t>绩效指标：综合业务管理工作完成率</w:t>
      </w:r>
      <w:r>
        <w:rPr>
          <w:rFonts w:hint="eastAsia" w:ascii="Times New Roman" w:hAnsi="Times New Roman" w:eastAsia="仿宋" w:cs="Times New Roman"/>
          <w:sz w:val="32"/>
          <w:szCs w:val="32"/>
          <w:lang w:eastAsia="zh-CN"/>
        </w:rPr>
        <w:t>、为群众提供优质政务服务完成率、群众满意度。</w:t>
      </w:r>
    </w:p>
    <w:p>
      <w:pPr>
        <w:numPr>
          <w:ilvl w:val="0"/>
          <w:numId w:val="2"/>
        </w:numPr>
        <w:autoSpaceDE w:val="0"/>
        <w:autoSpaceDN w:val="0"/>
        <w:adjustRightInd w:val="0"/>
        <w:ind w:left="198" w:firstLine="640" w:firstLineChars="200"/>
        <w:jc w:val="left"/>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长期护理险</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绩效目标：逐步建立覆盖全员、多元筹资、保障基本、待遇分级的长护险制度，努力减轻参保患者家庭的事务性和经济负担，不断增加人民群众在共建共享发展中的获得感和幸福感。</w:t>
      </w:r>
    </w:p>
    <w:p>
      <w:pPr>
        <w:numPr>
          <w:ilvl w:val="0"/>
          <w:numId w:val="0"/>
        </w:numPr>
        <w:autoSpaceDE w:val="0"/>
        <w:autoSpaceDN w:val="0"/>
        <w:adjustRightInd w:val="0"/>
        <w:ind w:firstLine="320" w:firstLineChars="1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rPr>
        <w:t>绩效指标：综合业务管理工作完成率</w:t>
      </w:r>
      <w:r>
        <w:rPr>
          <w:rFonts w:hint="eastAsia" w:ascii="Times New Roman" w:hAnsi="Times New Roman" w:eastAsia="仿宋" w:cs="Times New Roman"/>
          <w:sz w:val="32"/>
          <w:szCs w:val="32"/>
          <w:lang w:eastAsia="zh-CN"/>
        </w:rPr>
        <w:t>、补助人群生活改善情况、享受保险基金补助覆盖面、群众满意度。</w:t>
      </w:r>
    </w:p>
    <w:p>
      <w:pPr>
        <w:numPr>
          <w:ilvl w:val="0"/>
          <w:numId w:val="2"/>
        </w:numPr>
        <w:autoSpaceDE w:val="0"/>
        <w:autoSpaceDN w:val="0"/>
        <w:adjustRightInd w:val="0"/>
        <w:ind w:left="198" w:leftChars="0" w:firstLine="640" w:firstLineChars="200"/>
        <w:jc w:val="left"/>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城乡居民基本医疗保险财政补助资金</w:t>
      </w:r>
    </w:p>
    <w:p>
      <w:pPr>
        <w:numPr>
          <w:ilvl w:val="0"/>
          <w:numId w:val="0"/>
        </w:numPr>
        <w:autoSpaceDE w:val="0"/>
        <w:autoSpaceDN w:val="0"/>
        <w:adjustRightInd w:val="0"/>
        <w:ind w:leftChars="200"/>
        <w:jc w:val="left"/>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 xml:space="preserve">  绩效目标：建立统一的城乡居民基本医疗保险制度，实现城乡居民公平享有基本医疗保险权益。</w:t>
      </w:r>
    </w:p>
    <w:p>
      <w:pPr>
        <w:numPr>
          <w:ilvl w:val="0"/>
          <w:numId w:val="0"/>
        </w:numPr>
        <w:autoSpaceDE w:val="0"/>
        <w:autoSpaceDN w:val="0"/>
        <w:adjustRightInd w:val="0"/>
        <w:ind w:leftChars="200"/>
        <w:jc w:val="left"/>
        <w:rPr>
          <w:rFonts w:hint="eastAsia" w:ascii="Times New Roman" w:hAnsi="Times New Roman" w:eastAsia="仿宋" w:cs="Times New Roman"/>
          <w:sz w:val="32"/>
          <w:szCs w:val="32"/>
          <w:lang w:eastAsia="zh-CN"/>
        </w:rPr>
      </w:pPr>
      <w:r>
        <w:rPr>
          <w:rFonts w:hint="eastAsia" w:ascii="Times New Roman" w:hAnsi="Times New Roman" w:eastAsia="仿宋" w:cs="Times New Roman"/>
          <w:sz w:val="32"/>
          <w:szCs w:val="32"/>
          <w:lang w:val="en-US" w:eastAsia="zh-CN"/>
        </w:rPr>
        <w:t xml:space="preserve">  绩效指标：综合业务管理工作完成率、覆盖率、补助人群生活改善情况、</w:t>
      </w:r>
      <w:r>
        <w:rPr>
          <w:rFonts w:hint="eastAsia" w:ascii="Times New Roman" w:hAnsi="Times New Roman" w:eastAsia="仿宋" w:cs="Times New Roman"/>
          <w:sz w:val="32"/>
          <w:szCs w:val="32"/>
          <w:lang w:eastAsia="zh-CN"/>
        </w:rPr>
        <w:t>群众满意度。</w:t>
      </w:r>
    </w:p>
    <w:p>
      <w:pPr>
        <w:numPr>
          <w:ilvl w:val="0"/>
          <w:numId w:val="2"/>
        </w:numPr>
        <w:autoSpaceDE w:val="0"/>
        <w:autoSpaceDN w:val="0"/>
        <w:adjustRightInd w:val="0"/>
        <w:ind w:left="198" w:leftChars="0" w:firstLine="640" w:firstLineChars="200"/>
        <w:jc w:val="left"/>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医疗救助补助预算</w:t>
      </w:r>
    </w:p>
    <w:p>
      <w:pPr>
        <w:numPr>
          <w:ilvl w:val="0"/>
          <w:numId w:val="0"/>
        </w:numPr>
        <w:autoSpaceDE w:val="0"/>
        <w:autoSpaceDN w:val="0"/>
        <w:adjustRightInd w:val="0"/>
        <w:ind w:leftChars="200" w:firstLine="640" w:firstLineChars="200"/>
        <w:jc w:val="left"/>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绩效目标：持续实施重特大疾病医疗救助、重点对象自付费用年度限额内住院救助比例达到70%</w:t>
      </w:r>
    </w:p>
    <w:p>
      <w:pPr>
        <w:numPr>
          <w:ilvl w:val="0"/>
          <w:numId w:val="0"/>
        </w:numPr>
        <w:autoSpaceDE w:val="0"/>
        <w:autoSpaceDN w:val="0"/>
        <w:adjustRightInd w:val="0"/>
        <w:ind w:leftChars="200" w:firstLine="640" w:firstLineChars="200"/>
        <w:jc w:val="left"/>
        <w:rPr>
          <w:rFonts w:hint="eastAsia"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绩效指标：参保资助率、负担减轻程度、接受救助对象的满意度。</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1、加强制度建设。建立健全机关预算绩效管理制度，为全年预算绩效目标的实现奠定制度基础。</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2、规范财务管理。进一步完善财务管理制度，通过科学编制预算、优化支出结构、加快政府采购、加快项目建设、及时拨付资金，确保经费支出进度达到规定标准。</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3、加强内部监督。加强内部监督制度建设，对绩效运行、重大支出事项、资产处置及其他重要经济业务事项决策和执行进行监督，定期开展财务内部审计，确保财政资金使用安全合规。</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4、加强绩效监控。积极开展绩效运行监控，发现问题及时采取措施，确保绩效目标如期保质实现。</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5、做好绩效自评。按要求开展部门预算绩效自评和重点项目评价工作，对评价中发现的问题及时整改。</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6、加强宣传培训。加强人员培训，加大宣传力度，强化预算绩效管理意识，促进预算绩效管理水平提升。</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第二部分  预算项目绩效目标</w:t>
      </w:r>
    </w:p>
    <w:p>
      <w:pPr>
        <w:jc w:val="left"/>
        <w:outlineLvl w:val="1"/>
        <w:rPr>
          <w:rFonts w:ascii="Times New Roman" w:hAnsi="宋体"/>
          <w:b/>
          <w:sz w:val="28"/>
        </w:rPr>
      </w:pPr>
      <w:r>
        <w:rPr>
          <w:rFonts w:hint="eastAsia" w:ascii="仿宋" w:hAnsi="仿宋" w:eastAsia="仿宋" w:cs="仿宋"/>
          <w:b w:val="0"/>
          <w:bCs/>
          <w:sz w:val="32"/>
          <w:szCs w:val="32"/>
        </w:rPr>
        <w:t xml:space="preserve">  1、</w:t>
      </w:r>
      <w:r>
        <w:rPr>
          <w:rFonts w:hint="eastAsia" w:ascii="仿宋" w:hAnsi="仿宋" w:eastAsia="仿宋" w:cs="仿宋"/>
          <w:b w:val="0"/>
          <w:bCs/>
          <w:sz w:val="32"/>
          <w:szCs w:val="32"/>
          <w:lang w:eastAsia="zh-CN"/>
        </w:rPr>
        <w:t>困难企业职工医疗保险</w:t>
      </w:r>
      <w:r>
        <w:rPr>
          <w:rFonts w:hint="eastAsia" w:ascii="仿宋" w:hAnsi="仿宋" w:eastAsia="仿宋" w:cs="仿宋"/>
          <w:b w:val="0"/>
          <w:bCs/>
          <w:sz w:val="32"/>
          <w:szCs w:val="32"/>
        </w:rPr>
        <w:t>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29484634"/>
      <w:r>
        <w:rPr>
          <w:rFonts w:hint="eastAsia" w:ascii="方正仿宋_GBK" w:eastAsia="方正仿宋_GBK"/>
          <w:b/>
          <w:sz w:val="28"/>
        </w:rPr>
        <w:instrText xml:space="preserve">3、第三方评价工作经费绩效目标表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pPr w:leftFromText="180" w:rightFromText="180" w:vertAnchor="text" w:horzAnchor="page" w:tblpX="1062" w:tblpY="757"/>
        <w:tblOverlap w:val="never"/>
        <w:tblW w:w="988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945"/>
        <w:gridCol w:w="1350"/>
        <w:gridCol w:w="1800"/>
        <w:gridCol w:w="2680"/>
        <w:gridCol w:w="555"/>
        <w:gridCol w:w="870"/>
        <w:gridCol w:w="660"/>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60" w:hRule="atLeast"/>
        </w:trPr>
        <w:tc>
          <w:tcPr>
            <w:tcW w:w="9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绩效目标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758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根据《石家庄市劳动和社会保障局关于对医疗保险制度改革有关政策问题解释的通知》（市劳社【2004】77号），保障困难单位按时、足额享受职工医疗。补贴人员数量应达到100%。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20" w:hRule="atLeast"/>
        </w:trPr>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758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享受补助覆盖面应到达100%。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rPr>
        <w:tc>
          <w:tcPr>
            <w:tcW w:w="9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13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8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26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208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10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rPr>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8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26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rPr>
        <w:tc>
          <w:tcPr>
            <w:tcW w:w="9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补助个人数量</w:t>
            </w:r>
          </w:p>
        </w:tc>
        <w:tc>
          <w:tcPr>
            <w:tcW w:w="26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补助的人数</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00" w:hRule="atLeast"/>
        </w:trPr>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综合业务管理工作完成率</w:t>
            </w:r>
          </w:p>
        </w:tc>
        <w:tc>
          <w:tcPr>
            <w:tcW w:w="26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综合业务管理工作完成情况</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55" w:hRule="atLeast"/>
        </w:trPr>
        <w:tc>
          <w:tcPr>
            <w:tcW w:w="9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效果指标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补助人群生活改善情况</w:t>
            </w:r>
          </w:p>
        </w:tc>
        <w:tc>
          <w:tcPr>
            <w:tcW w:w="26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补助人群在生活、医疗、护理、教育等方面的改善情况</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55" w:hRule="atLeast"/>
        </w:trPr>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享受保险基金补助覆盖面（%）</w:t>
            </w:r>
          </w:p>
        </w:tc>
        <w:tc>
          <w:tcPr>
            <w:tcW w:w="26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实际享受各类保险基金补助人数占应享受保险基金补助人数的比率</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10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r>
    </w:tbl>
    <w:p>
      <w:pPr>
        <w:spacing w:line="14" w:lineRule="exact"/>
        <w:ind w:firstLine="420" w:firstLineChars="200"/>
        <w:jc w:val="center"/>
        <w:rPr>
          <w:rFonts w:ascii="Times New Roman" w:hAnsi="宋体"/>
        </w:rPr>
      </w:pPr>
      <w:r>
        <w:rPr>
          <w:rFonts w:ascii="方正书宋_GBK" w:eastAsia="方正书宋_GBK"/>
        </w:rPr>
        <w:t xml:space="preserve"> </w:t>
      </w:r>
    </w:p>
    <w:p>
      <w:pPr>
        <w:spacing w:line="300" w:lineRule="exact"/>
        <w:ind w:firstLine="420" w:firstLineChars="200"/>
        <w:jc w:val="left"/>
      </w:pPr>
    </w:p>
    <w:p>
      <w:pPr>
        <w:spacing w:line="300" w:lineRule="exact"/>
        <w:ind w:firstLine="420" w:firstLineChars="200"/>
        <w:jc w:val="left"/>
      </w:pPr>
    </w:p>
    <w:p>
      <w:pPr>
        <w:numPr>
          <w:ilvl w:val="0"/>
          <w:numId w:val="0"/>
        </w:numPr>
        <w:autoSpaceDE w:val="0"/>
        <w:autoSpaceDN w:val="0"/>
        <w:adjustRightInd w:val="0"/>
        <w:ind w:leftChars="200"/>
        <w:jc w:val="left"/>
        <w:rPr>
          <w:rFonts w:ascii="Times New Roman" w:hAnsi="宋体"/>
          <w:b/>
          <w:sz w:val="28"/>
        </w:rPr>
      </w:pPr>
      <w:r>
        <w:rPr>
          <w:rFonts w:hint="eastAsia" w:ascii="仿宋" w:hAnsi="仿宋" w:eastAsia="仿宋" w:cs="仿宋"/>
          <w:b w:val="0"/>
          <w:bCs/>
          <w:sz w:val="28"/>
        </w:rPr>
        <w:t>2、</w:t>
      </w:r>
      <w:r>
        <w:rPr>
          <w:rFonts w:hint="eastAsia" w:ascii="仿宋" w:hAnsi="仿宋" w:eastAsia="仿宋" w:cs="仿宋"/>
          <w:b w:val="0"/>
          <w:bCs/>
          <w:sz w:val="32"/>
          <w:szCs w:val="32"/>
        </w:rPr>
        <w:t>离休干部医疗费</w:t>
      </w:r>
      <w:r>
        <w:rPr>
          <w:rFonts w:hint="eastAsia" w:ascii="仿宋" w:hAnsi="仿宋" w:eastAsia="仿宋" w:cs="仿宋"/>
          <w:b w:val="0"/>
          <w:bCs/>
          <w:sz w:val="28"/>
        </w:rPr>
        <w:t>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29484636"/>
      <w:r>
        <w:rPr>
          <w:rFonts w:hint="eastAsia" w:ascii="方正仿宋_GBK" w:eastAsia="方正仿宋_GBK"/>
          <w:b/>
          <w:sz w:val="28"/>
        </w:rPr>
        <w:instrText xml:space="preserve">5、河北人大历史陈列馆建设及办公用房修缮资金（预内基建）绩效目标表</w:instrText>
      </w:r>
      <w:bookmarkEnd w:id="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pPr w:leftFromText="180" w:rightFromText="180" w:vertAnchor="text" w:horzAnchor="page" w:tblpX="1017" w:tblpY="140"/>
        <w:tblOverlap w:val="never"/>
        <w:tblW w:w="991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990"/>
        <w:gridCol w:w="855"/>
        <w:gridCol w:w="1357"/>
        <w:gridCol w:w="2940"/>
        <w:gridCol w:w="888"/>
        <w:gridCol w:w="1415"/>
        <w:gridCol w:w="565"/>
        <w:gridCol w:w="9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39" w:hRule="atLeast"/>
        </w:trPr>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绩效目标</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806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每位离休干部、建国前老工人医疗费按8000元每年测算，由财政局将资金拨付到社保局。医保超支费用按结算，由财政局按季度据实拨付到社保局，社保局审核后再拨付的定点医院。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54" w:hRule="atLeast"/>
        </w:trPr>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806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我局高度重视离休干部医疗的医疗保障工作，做到及时足额报销医疗费用。补助金发放率应达到100%，受益对象满意度达到100%。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rPr>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8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35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29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286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9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75" w:hRule="atLeast"/>
        </w:trPr>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35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29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14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5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9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35" w:hRule="atLeast"/>
        </w:trPr>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3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补助金发放率(%)</w:t>
            </w:r>
          </w:p>
        </w:tc>
        <w:tc>
          <w:tcPr>
            <w:tcW w:w="29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实际发放的补助金金额占计划发放金额的比率</w:t>
            </w:r>
          </w:p>
        </w:tc>
        <w:tc>
          <w:tcPr>
            <w:tcW w:w="8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4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100.00</w:t>
            </w:r>
          </w:p>
        </w:tc>
        <w:tc>
          <w:tcPr>
            <w:tcW w:w="5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工作安排</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20" w:hRule="atLeast"/>
        </w:trPr>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8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3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综合事务管理工作完成率</w:t>
            </w:r>
          </w:p>
        </w:tc>
        <w:tc>
          <w:tcPr>
            <w:tcW w:w="29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综合事务管理工作完成情况</w:t>
            </w:r>
          </w:p>
        </w:tc>
        <w:tc>
          <w:tcPr>
            <w:tcW w:w="8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14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100.00</w:t>
            </w:r>
          </w:p>
        </w:tc>
        <w:tc>
          <w:tcPr>
            <w:tcW w:w="5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9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工作安排</w:t>
            </w:r>
          </w:p>
        </w:tc>
      </w:tr>
    </w:tbl>
    <w:p>
      <w:pPr>
        <w:spacing w:line="300" w:lineRule="exact"/>
        <w:ind w:firstLine="420" w:firstLineChars="200"/>
        <w:jc w:val="left"/>
      </w:pPr>
    </w:p>
    <w:p>
      <w:pPr>
        <w:numPr>
          <w:ilvl w:val="0"/>
          <w:numId w:val="1"/>
        </w:numPr>
        <w:ind w:left="198" w:leftChars="0" w:firstLine="640" w:firstLineChars="200"/>
        <w:jc w:val="left"/>
        <w:outlineLvl w:val="1"/>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一至六级残疾军人医疗费</w:t>
      </w:r>
    </w:p>
    <w:tbl>
      <w:tblPr>
        <w:tblStyle w:val="7"/>
        <w:tblW w:w="963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945"/>
        <w:gridCol w:w="1350"/>
        <w:gridCol w:w="1800"/>
        <w:gridCol w:w="2557"/>
        <w:gridCol w:w="645"/>
        <w:gridCol w:w="720"/>
        <w:gridCol w:w="675"/>
        <w:gridCol w:w="94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60" w:hRule="atLeast"/>
        </w:trPr>
        <w:tc>
          <w:tcPr>
            <w:tcW w:w="9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绩效目标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7342"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根据《石家庄市劳动和社会保障局关于对医疗保险制度改革有关政策问题解释的通知》（市劳社【2004】77号），保障困难单位按时、足额享受职工医疗。补贴人员数量应达到100%。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20" w:hRule="atLeast"/>
        </w:trPr>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7342"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享受补助覆盖面应到达100%。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rPr>
        <w:tc>
          <w:tcPr>
            <w:tcW w:w="9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13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8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255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20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9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rPr>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8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255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60" w:hRule="atLeast"/>
        </w:trPr>
        <w:tc>
          <w:tcPr>
            <w:tcW w:w="9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补助个人数量</w:t>
            </w:r>
          </w:p>
        </w:tc>
        <w:tc>
          <w:tcPr>
            <w:tcW w:w="25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补助的人数</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60" w:hRule="atLeast"/>
        </w:trPr>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综合业务管理工作完成率</w:t>
            </w:r>
          </w:p>
        </w:tc>
        <w:tc>
          <w:tcPr>
            <w:tcW w:w="25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综合业务管理工作完成情况</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60" w:hRule="atLeast"/>
        </w:trPr>
        <w:tc>
          <w:tcPr>
            <w:tcW w:w="9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效果指标</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补助人群生活改善情况</w:t>
            </w:r>
          </w:p>
        </w:tc>
        <w:tc>
          <w:tcPr>
            <w:tcW w:w="25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补助人群在生活、医疗、护理、教育等方面的改善情况</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206" w:hRule="atLeast"/>
        </w:trPr>
        <w:tc>
          <w:tcPr>
            <w:tcW w:w="9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8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享受保险基金补助覆盖面（%）</w:t>
            </w:r>
          </w:p>
        </w:tc>
        <w:tc>
          <w:tcPr>
            <w:tcW w:w="25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实际享受各类保险基金补助人数占应享受保险基金补助人数的比率</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9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r>
    </w:tbl>
    <w:p>
      <w:pPr>
        <w:numPr>
          <w:ilvl w:val="0"/>
          <w:numId w:val="0"/>
        </w:numPr>
        <w:jc w:val="left"/>
        <w:outlineLvl w:val="1"/>
        <w:rPr>
          <w:rFonts w:hint="eastAsia" w:ascii="仿宋" w:hAnsi="仿宋" w:eastAsia="仿宋" w:cs="仿宋"/>
          <w:b w:val="0"/>
          <w:bCs w:val="0"/>
          <w:sz w:val="28"/>
        </w:rPr>
      </w:pPr>
      <w:r>
        <w:rPr>
          <w:rFonts w:hint="eastAsia" w:ascii="仿宋" w:hAnsi="仿宋" w:eastAsia="仿宋" w:cs="仿宋"/>
          <w:b w:val="0"/>
          <w:bCs w:val="0"/>
        </w:rPr>
        <w:fldChar w:fldCharType="begin"/>
      </w:r>
      <w:r>
        <w:rPr>
          <w:rFonts w:hint="eastAsia" w:ascii="仿宋" w:hAnsi="仿宋" w:eastAsia="仿宋" w:cs="仿宋"/>
          <w:b w:val="0"/>
          <w:bCs w:val="0"/>
          <w:sz w:val="28"/>
        </w:rPr>
        <w:instrText xml:space="preserve"> TC </w:instrText>
      </w:r>
      <w:bookmarkStart w:id="6" w:name="_Toc29484638"/>
      <w:r>
        <w:rPr>
          <w:rFonts w:hint="eastAsia" w:ascii="仿宋" w:hAnsi="仿宋" w:eastAsia="仿宋" w:cs="仿宋"/>
          <w:b w:val="0"/>
          <w:bCs w:val="0"/>
          <w:sz w:val="28"/>
        </w:rPr>
        <w:instrText xml:space="preserve">7、人大代表培训费绩效目标表</w:instrText>
      </w:r>
      <w:bookmarkEnd w:id="6"/>
      <w:r>
        <w:rPr>
          <w:rFonts w:hint="eastAsia" w:ascii="仿宋" w:hAnsi="仿宋" w:eastAsia="仿宋" w:cs="仿宋"/>
          <w:b w:val="0"/>
          <w:bCs w:val="0"/>
          <w:sz w:val="28"/>
        </w:rPr>
        <w:instrText xml:space="preserve"> \f C \l 1 </w:instrText>
      </w:r>
      <w:r>
        <w:rPr>
          <w:rFonts w:hint="eastAsia" w:ascii="仿宋" w:hAnsi="仿宋" w:eastAsia="仿宋" w:cs="仿宋"/>
          <w:b w:val="0"/>
          <w:bCs w:val="0"/>
          <w:sz w:val="28"/>
        </w:rPr>
        <w:fldChar w:fldCharType="end"/>
      </w:r>
    </w:p>
    <w:p>
      <w:pPr>
        <w:spacing w:line="14" w:lineRule="exact"/>
        <w:ind w:firstLine="420" w:firstLineChars="200"/>
        <w:jc w:val="center"/>
        <w:rPr>
          <w:rFonts w:hint="eastAsia" w:ascii="仿宋" w:hAnsi="仿宋" w:eastAsia="仿宋" w:cs="仿宋"/>
          <w:b w:val="0"/>
          <w:bCs w:val="0"/>
        </w:rPr>
      </w:pPr>
      <w:r>
        <w:rPr>
          <w:rFonts w:hint="eastAsia" w:ascii="仿宋" w:hAnsi="仿宋" w:eastAsia="仿宋" w:cs="仿宋"/>
          <w:b w:val="0"/>
          <w:bCs w:val="0"/>
        </w:rPr>
        <w:t xml:space="preserve"> </w:t>
      </w:r>
    </w:p>
    <w:p>
      <w:pPr>
        <w:spacing w:line="300" w:lineRule="exact"/>
        <w:jc w:val="left"/>
        <w:rPr>
          <w:rFonts w:hint="eastAsia" w:ascii="仿宋" w:hAnsi="仿宋" w:eastAsia="仿宋" w:cs="仿宋"/>
          <w:b w:val="0"/>
          <w:bCs w:val="0"/>
        </w:rPr>
      </w:pPr>
    </w:p>
    <w:p>
      <w:pPr>
        <w:ind w:firstLine="560" w:firstLineChars="200"/>
        <w:jc w:val="left"/>
        <w:outlineLvl w:val="1"/>
        <w:rPr>
          <w:rFonts w:ascii="Times New Roman" w:hAnsi="宋体"/>
          <w:b/>
          <w:sz w:val="28"/>
        </w:rPr>
      </w:pPr>
      <w:r>
        <w:rPr>
          <w:rFonts w:hint="eastAsia" w:ascii="仿宋" w:hAnsi="仿宋" w:eastAsia="仿宋" w:cs="仿宋"/>
          <w:b w:val="0"/>
          <w:bCs w:val="0"/>
          <w:sz w:val="28"/>
        </w:rPr>
        <w:t>4、</w:t>
      </w:r>
      <w:r>
        <w:rPr>
          <w:rFonts w:hint="eastAsia" w:ascii="仿宋" w:hAnsi="仿宋" w:eastAsia="仿宋" w:cs="仿宋"/>
          <w:b w:val="0"/>
          <w:bCs w:val="0"/>
          <w:sz w:val="32"/>
          <w:szCs w:val="32"/>
        </w:rPr>
        <w:t>建档立卡贫困人口医疗报销提高</w:t>
      </w:r>
      <w:r>
        <w:rPr>
          <w:rFonts w:hint="eastAsia" w:ascii="仿宋" w:hAnsi="仿宋" w:eastAsia="仿宋" w:cs="仿宋"/>
          <w:b w:val="0"/>
          <w:bCs w:val="0"/>
          <w:sz w:val="28"/>
        </w:rPr>
        <w:t>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29484641"/>
      <w:r>
        <w:rPr>
          <w:rFonts w:hint="eastAsia" w:ascii="方正仿宋_GBK" w:eastAsia="方正仿宋_GBK"/>
          <w:b/>
          <w:sz w:val="28"/>
        </w:rPr>
        <w:instrText xml:space="preserve">10、省人大办公厅办公用房修缮及基础设施改造资金（预内基建）绩效目标表</w:instrText>
      </w:r>
      <w:bookmarkEnd w:id="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p>
      <w:pPr>
        <w:spacing w:line="14" w:lineRule="exact"/>
        <w:ind w:firstLine="420" w:firstLineChars="200"/>
        <w:jc w:val="center"/>
        <w:rPr>
          <w:rFonts w:ascii="Times New Roman" w:hAnsi="宋体"/>
        </w:rPr>
      </w:pPr>
      <w:r>
        <w:rPr>
          <w:rFonts w:ascii="方正书宋_GBK" w:eastAsia="方正书宋_GBK"/>
        </w:rPr>
        <w:t xml:space="preserve"> </w:t>
      </w:r>
    </w:p>
    <w:tbl>
      <w:tblPr>
        <w:tblStyle w:val="7"/>
        <w:tblW w:w="965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00"/>
        <w:gridCol w:w="1652"/>
        <w:gridCol w:w="1643"/>
        <w:gridCol w:w="2499"/>
        <w:gridCol w:w="765"/>
        <w:gridCol w:w="733"/>
        <w:gridCol w:w="688"/>
        <w:gridCol w:w="47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20" w:hRule="atLeast"/>
        </w:trPr>
        <w:tc>
          <w:tcPr>
            <w:tcW w:w="12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绩效目标</w:t>
            </w:r>
          </w:p>
        </w:tc>
        <w:tc>
          <w:tcPr>
            <w:tcW w:w="16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6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加强与人力资源社会保障部门的沟通协调、密切配合，及时拨付补助资金，按规定加强资金管理，确保专款专用，任何地区，部门、单位和个人，均不得截留、挤占和挪用。补贴人员数量应达到100%。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0" w:hRule="atLeast"/>
        </w:trPr>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6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6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加强与人力资源社会保障部门的沟通协调、密切配合，及时拨付补助资金，按规定加强资金管理，确保专款专用，任何地区，部门、单位和个人，均不得截留、挤占和挪用。补贴人员数量应达到100%。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12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165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643"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249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2186"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47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00" w:hRule="atLeast"/>
        </w:trPr>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65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643"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249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6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47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260" w:hRule="atLeast"/>
        </w:trPr>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6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6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享受保险基金补助人数</w:t>
            </w:r>
          </w:p>
        </w:tc>
        <w:tc>
          <w:tcPr>
            <w:tcW w:w="249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享受各类社会保险基金补助的人数</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100.00</w:t>
            </w:r>
          </w:p>
        </w:tc>
        <w:tc>
          <w:tcPr>
            <w:tcW w:w="6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比率</w:t>
            </w:r>
          </w:p>
        </w:tc>
        <w:tc>
          <w:tcPr>
            <w:tcW w:w="4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020" w:hRule="atLeast"/>
        </w:trPr>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效果指标</w:t>
            </w:r>
          </w:p>
        </w:tc>
        <w:tc>
          <w:tcPr>
            <w:tcW w:w="16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6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享受补助人员覆盖面</w:t>
            </w:r>
          </w:p>
        </w:tc>
        <w:tc>
          <w:tcPr>
            <w:tcW w:w="249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实际享受补助人数占应享受补助人数的比率</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100.00</w:t>
            </w:r>
          </w:p>
        </w:tc>
        <w:tc>
          <w:tcPr>
            <w:tcW w:w="6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比率</w:t>
            </w:r>
          </w:p>
        </w:tc>
        <w:tc>
          <w:tcPr>
            <w:tcW w:w="4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80" w:hRule="atLeast"/>
        </w:trPr>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16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16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群众满意度</w:t>
            </w:r>
          </w:p>
        </w:tc>
        <w:tc>
          <w:tcPr>
            <w:tcW w:w="249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群众满意数量占总数的比例。</w:t>
            </w: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7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6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比率</w:t>
            </w:r>
          </w:p>
        </w:tc>
        <w:tc>
          <w:tcPr>
            <w:tcW w:w="4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r>
    </w:tbl>
    <w:p>
      <w:pPr>
        <w:tabs>
          <w:tab w:val="left" w:pos="577"/>
        </w:tabs>
        <w:jc w:val="left"/>
        <w:rPr>
          <w:rFonts w:ascii="Calibri" w:hAnsi="Calibri" w:eastAsia="宋体" w:cs="黑体"/>
          <w:kern w:val="2"/>
          <w:sz w:val="21"/>
          <w:szCs w:val="22"/>
          <w:lang w:val="en-US" w:eastAsia="zh-CN" w:bidi="ar-SA"/>
        </w:rPr>
      </w:pPr>
    </w:p>
    <w:p>
      <w:pPr>
        <w:spacing w:line="300" w:lineRule="exact"/>
        <w:ind w:firstLine="640" w:firstLineChars="200"/>
        <w:jc w:val="left"/>
        <w:rPr>
          <w:rFonts w:hint="eastAsia" w:ascii="仿宋" w:hAnsi="仿宋" w:eastAsia="仿宋" w:cs="仿宋"/>
          <w:b w:val="0"/>
          <w:bCs w:val="0"/>
          <w:sz w:val="32"/>
          <w:szCs w:val="32"/>
        </w:rPr>
      </w:pPr>
    </w:p>
    <w:p>
      <w:pPr>
        <w:numPr>
          <w:ilvl w:val="0"/>
          <w:numId w:val="0"/>
        </w:numPr>
        <w:autoSpaceDE w:val="0"/>
        <w:autoSpaceDN w:val="0"/>
        <w:adjustRightInd w:val="0"/>
        <w:ind w:leftChars="200"/>
        <w:jc w:val="left"/>
        <w:rPr>
          <w:rFonts w:hint="eastAsia" w:ascii="仿宋" w:hAnsi="仿宋" w:eastAsia="仿宋" w:cs="仿宋"/>
          <w:b w:val="0"/>
          <w:bCs w:val="0"/>
          <w:sz w:val="32"/>
          <w:szCs w:val="32"/>
        </w:rPr>
      </w:pPr>
      <w:r>
        <w:rPr>
          <w:rFonts w:hint="eastAsia" w:ascii="仿宋" w:hAnsi="仿宋" w:eastAsia="仿宋" w:cs="仿宋"/>
          <w:b w:val="0"/>
          <w:bCs w:val="0"/>
          <w:sz w:val="32"/>
          <w:szCs w:val="32"/>
          <w:lang w:val="en-US" w:eastAsia="zh-CN"/>
        </w:rPr>
        <w:t>5、</w:t>
      </w:r>
      <w:r>
        <w:rPr>
          <w:rFonts w:hint="eastAsia" w:ascii="仿宋" w:hAnsi="仿宋" w:eastAsia="仿宋" w:cs="仿宋"/>
          <w:b w:val="0"/>
          <w:bCs w:val="0"/>
          <w:sz w:val="32"/>
          <w:szCs w:val="32"/>
        </w:rPr>
        <w:t>医保智能监控系统绩效目标表</w:t>
      </w:r>
    </w:p>
    <w:tbl>
      <w:tblPr>
        <w:tblStyle w:val="7"/>
        <w:tblW w:w="9592"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00"/>
        <w:gridCol w:w="1140"/>
        <w:gridCol w:w="1440"/>
        <w:gridCol w:w="2895"/>
        <w:gridCol w:w="555"/>
        <w:gridCol w:w="570"/>
        <w:gridCol w:w="780"/>
        <w:gridCol w:w="101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trPr>
        <w:tc>
          <w:tcPr>
            <w:tcW w:w="12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绩效目标</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7252"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加强医疗保障基金监督管理，保障基金安全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00" w:hRule="atLeast"/>
        </w:trPr>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7252"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提高基金使用效率，维护医疗保障相关主体的合法权益</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rPr>
        <w:tc>
          <w:tcPr>
            <w:tcW w:w="12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11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4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28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19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101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rPr>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28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5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10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960" w:hRule="atLeast"/>
        </w:trPr>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4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定点医疗机构监控数量</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每年对5家定点医疗机构进行全面监控</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5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5.00</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所</w:t>
            </w: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工作安排</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40" w:hRule="atLeast"/>
        </w:trPr>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14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群众满意度</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群众满意数量占总数的比例。</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5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80.00</w:t>
            </w:r>
          </w:p>
        </w:tc>
        <w:tc>
          <w:tcPr>
            <w:tcW w:w="7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比率</w:t>
            </w:r>
          </w:p>
        </w:tc>
        <w:tc>
          <w:tcPr>
            <w:tcW w:w="10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工作安排</w:t>
            </w:r>
          </w:p>
        </w:tc>
      </w:tr>
    </w:tbl>
    <w:p>
      <w:pPr>
        <w:numPr>
          <w:ilvl w:val="0"/>
          <w:numId w:val="0"/>
        </w:numPr>
        <w:autoSpaceDE w:val="0"/>
        <w:autoSpaceDN w:val="0"/>
        <w:adjustRightInd w:val="0"/>
        <w:ind w:leftChars="200"/>
        <w:jc w:val="left"/>
        <w:rPr>
          <w:rFonts w:hint="eastAsia" w:ascii="仿宋" w:hAnsi="仿宋" w:eastAsia="仿宋" w:cs="仿宋"/>
          <w:b/>
          <w:sz w:val="32"/>
          <w:szCs w:val="32"/>
        </w:rPr>
      </w:pPr>
      <w:r>
        <w:rPr>
          <w:rFonts w:hint="eastAsia" w:ascii="仿宋" w:hAnsi="仿宋" w:eastAsia="仿宋" w:cs="仿宋"/>
          <w:sz w:val="32"/>
          <w:szCs w:val="32"/>
        </w:rPr>
        <w:fldChar w:fldCharType="begin"/>
      </w:r>
      <w:r>
        <w:rPr>
          <w:rFonts w:hint="eastAsia" w:ascii="仿宋" w:hAnsi="仿宋" w:eastAsia="仿宋" w:cs="仿宋"/>
          <w:b/>
          <w:sz w:val="32"/>
          <w:szCs w:val="32"/>
        </w:rPr>
        <w:instrText xml:space="preserve"> TC </w:instrText>
      </w:r>
      <w:bookmarkStart w:id="8" w:name="_Toc29484642"/>
      <w:r>
        <w:rPr>
          <w:rFonts w:hint="eastAsia" w:ascii="仿宋" w:hAnsi="仿宋" w:eastAsia="仿宋" w:cs="仿宋"/>
          <w:b/>
          <w:sz w:val="32"/>
          <w:szCs w:val="32"/>
        </w:rPr>
        <w:instrText xml:space="preserve">11、省人大常委会办公厅信息化建设资金（预内基建）绩效目标表</w:instrText>
      </w:r>
      <w:bookmarkEnd w:id="8"/>
      <w:r>
        <w:rPr>
          <w:rFonts w:hint="eastAsia" w:ascii="仿宋" w:hAnsi="仿宋" w:eastAsia="仿宋" w:cs="仿宋"/>
          <w:b/>
          <w:sz w:val="32"/>
          <w:szCs w:val="32"/>
        </w:rPr>
        <w:instrText xml:space="preserve"> \f C \l 1 </w:instrText>
      </w:r>
      <w:r>
        <w:rPr>
          <w:rFonts w:hint="eastAsia" w:ascii="仿宋" w:hAnsi="仿宋" w:eastAsia="仿宋" w:cs="仿宋"/>
          <w:b/>
          <w:sz w:val="32"/>
          <w:szCs w:val="32"/>
        </w:rPr>
        <w:fldChar w:fldCharType="end"/>
      </w:r>
    </w:p>
    <w:p>
      <w:pPr>
        <w:spacing w:line="14" w:lineRule="exact"/>
        <w:ind w:firstLine="640" w:firstLineChars="200"/>
        <w:jc w:val="center"/>
        <w:rPr>
          <w:rFonts w:hint="eastAsia" w:ascii="仿宋" w:hAnsi="仿宋" w:eastAsia="仿宋" w:cs="仿宋"/>
          <w:sz w:val="32"/>
          <w:szCs w:val="32"/>
        </w:rPr>
      </w:pPr>
      <w:r>
        <w:rPr>
          <w:rFonts w:hint="eastAsia" w:ascii="仿宋" w:hAnsi="仿宋" w:eastAsia="仿宋" w:cs="仿宋"/>
          <w:sz w:val="32"/>
          <w:szCs w:val="32"/>
        </w:rPr>
        <w:t xml:space="preserve"> </w:t>
      </w:r>
    </w:p>
    <w:p>
      <w:pPr>
        <w:ind w:firstLine="640" w:firstLineChars="200"/>
        <w:jc w:val="left"/>
        <w:outlineLvl w:val="1"/>
        <w:rPr>
          <w:rFonts w:ascii="Times New Roman" w:hAnsi="宋体"/>
          <w:b/>
          <w:sz w:val="28"/>
        </w:rPr>
      </w:pPr>
      <w:r>
        <w:rPr>
          <w:rFonts w:hint="eastAsia" w:ascii="仿宋" w:hAnsi="仿宋" w:eastAsia="仿宋" w:cs="仿宋"/>
          <w:b w:val="0"/>
          <w:bCs/>
          <w:sz w:val="32"/>
          <w:szCs w:val="32"/>
        </w:rPr>
        <w:t>6、医疗保障经办工作经费绩效目标表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29484631"/>
      <w:r>
        <w:rPr>
          <w:rFonts w:hint="eastAsia" w:ascii="方正仿宋_GBK" w:eastAsia="方正仿宋_GBK"/>
          <w:b/>
          <w:sz w:val="28"/>
        </w:rPr>
        <w:instrText xml:space="preserve">1、河北省人民代表大会会议费绩效目标表</w:instrText>
      </w:r>
      <w:bookmarkEnd w:id="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p>
      <w:pPr>
        <w:spacing w:line="14" w:lineRule="exact"/>
        <w:ind w:firstLine="420" w:firstLineChars="200"/>
        <w:jc w:val="center"/>
        <w:rPr>
          <w:rFonts w:ascii="Times New Roman" w:hAnsi="宋体"/>
        </w:rPr>
      </w:pPr>
      <w:r>
        <w:rPr>
          <w:rFonts w:ascii="方正书宋_GBK" w:eastAsia="方正书宋_GBK"/>
        </w:rPr>
        <w:t xml:space="preserve"> </w:t>
      </w:r>
    </w:p>
    <w:p>
      <w:pPr>
        <w:spacing w:line="300" w:lineRule="exact"/>
        <w:ind w:firstLine="420" w:firstLineChars="200"/>
        <w:jc w:val="left"/>
      </w:pPr>
    </w:p>
    <w:p>
      <w:pPr>
        <w:rPr>
          <w:rFonts w:ascii="Calibri" w:hAnsi="Calibri" w:eastAsia="宋体" w:cs="黑体"/>
          <w:kern w:val="2"/>
          <w:sz w:val="21"/>
          <w:szCs w:val="22"/>
          <w:lang w:val="en-US" w:eastAsia="zh-CN" w:bidi="ar-SA"/>
        </w:rPr>
      </w:pPr>
    </w:p>
    <w:tbl>
      <w:tblPr>
        <w:tblStyle w:val="7"/>
        <w:tblW w:w="972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05"/>
        <w:gridCol w:w="1652"/>
        <w:gridCol w:w="1524"/>
        <w:gridCol w:w="2451"/>
        <w:gridCol w:w="735"/>
        <w:gridCol w:w="882"/>
        <w:gridCol w:w="513"/>
        <w:gridCol w:w="76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40" w:hRule="atLeast"/>
        </w:trPr>
        <w:tc>
          <w:tcPr>
            <w:tcW w:w="12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绩效目标</w:t>
            </w:r>
          </w:p>
        </w:tc>
        <w:tc>
          <w:tcPr>
            <w:tcW w:w="16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687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加强与财政的沟通协调、密切配合，及时拨付补助资金，按规定加强资金管理，确保专款专用，任何地区，部门、单位和个人，均不得截留、挤占和挪用。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20" w:hRule="atLeast"/>
        </w:trPr>
        <w:tc>
          <w:tcPr>
            <w:tcW w:w="12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6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687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贯彻落实石家庄市城镇职工医疗保险、生育保险、居民医疗保险、医疗救助、长期护理险等医疗保障地方性法规、政府规章、政策及制度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rPr>
        <w:tc>
          <w:tcPr>
            <w:tcW w:w="12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165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52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245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213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76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60" w:hRule="atLeast"/>
        </w:trPr>
        <w:tc>
          <w:tcPr>
            <w:tcW w:w="12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65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5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245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8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5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7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00" w:hRule="atLeast"/>
        </w:trPr>
        <w:tc>
          <w:tcPr>
            <w:tcW w:w="12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6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时效指标</w:t>
            </w:r>
          </w:p>
        </w:tc>
        <w:tc>
          <w:tcPr>
            <w:tcW w:w="15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综合业务管理工作完成率</w:t>
            </w:r>
          </w:p>
        </w:tc>
        <w:tc>
          <w:tcPr>
            <w:tcW w:w="24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综合业务管理工作完成情况</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5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181" w:hRule="atLeast"/>
        </w:trPr>
        <w:tc>
          <w:tcPr>
            <w:tcW w:w="12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效果指标</w:t>
            </w:r>
          </w:p>
        </w:tc>
        <w:tc>
          <w:tcPr>
            <w:tcW w:w="16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5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为群众提供优质政务服务完成率</w:t>
            </w:r>
          </w:p>
        </w:tc>
        <w:tc>
          <w:tcPr>
            <w:tcW w:w="24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为群众提供优质政务服务案件数量占申请政务服务数量的比例</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5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历史标准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20" w:hRule="atLeast"/>
        </w:trPr>
        <w:tc>
          <w:tcPr>
            <w:tcW w:w="12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16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15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群众满意度</w:t>
            </w:r>
          </w:p>
        </w:tc>
        <w:tc>
          <w:tcPr>
            <w:tcW w:w="245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群众满意数量占总数的比例。</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5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历史标准</w:t>
            </w:r>
          </w:p>
        </w:tc>
      </w:tr>
    </w:tbl>
    <w:p>
      <w:pPr>
        <w:jc w:val="left"/>
        <w:rPr>
          <w:sz w:val="32"/>
          <w:szCs w:val="32"/>
          <w:lang w:val="en-US" w:eastAsia="zh-CN"/>
        </w:rPr>
      </w:pPr>
    </w:p>
    <w:p>
      <w:pPr>
        <w:ind w:firstLine="640" w:firstLineChars="200"/>
        <w:jc w:val="left"/>
        <w:rPr>
          <w:sz w:val="32"/>
          <w:szCs w:val="32"/>
          <w:lang w:val="en-US" w:eastAsia="zh-CN"/>
        </w:rPr>
      </w:pPr>
      <w:r>
        <w:rPr>
          <w:rFonts w:hint="eastAsia"/>
          <w:sz w:val="32"/>
          <w:szCs w:val="32"/>
          <w:lang w:val="en-US" w:eastAsia="zh-CN"/>
        </w:rPr>
        <w:t>7、</w:t>
      </w:r>
      <w:r>
        <w:rPr>
          <w:rFonts w:hint="eastAsia" w:ascii="Times New Roman" w:hAnsi="Times New Roman" w:eastAsia="仿宋" w:cs="Times New Roman"/>
          <w:sz w:val="32"/>
          <w:szCs w:val="32"/>
          <w:lang w:val="en-US" w:eastAsia="zh-CN"/>
        </w:rPr>
        <w:t>长期护理险</w:t>
      </w:r>
      <w:r>
        <w:rPr>
          <w:rFonts w:hint="eastAsia"/>
          <w:sz w:val="32"/>
          <w:szCs w:val="32"/>
          <w:lang w:val="en-US" w:eastAsia="zh-CN"/>
        </w:rPr>
        <w:t>绩效目标表</w:t>
      </w:r>
    </w:p>
    <w:p>
      <w:pPr>
        <w:rPr>
          <w:rFonts w:ascii="Calibri" w:hAnsi="Calibri" w:eastAsia="宋体" w:cs="黑体"/>
          <w:kern w:val="2"/>
          <w:sz w:val="21"/>
          <w:szCs w:val="22"/>
          <w:lang w:val="en-US" w:eastAsia="zh-CN" w:bidi="ar-SA"/>
        </w:rPr>
      </w:pPr>
    </w:p>
    <w:p>
      <w:pPr>
        <w:rPr>
          <w:lang w:val="en-US" w:eastAsia="zh-CN"/>
        </w:rPr>
      </w:pPr>
    </w:p>
    <w:p>
      <w:pPr>
        <w:tabs>
          <w:tab w:val="left" w:pos="457"/>
        </w:tabs>
        <w:jc w:val="left"/>
        <w:rPr>
          <w:rFonts w:hint="eastAsia"/>
          <w:lang w:val="en-US" w:eastAsia="zh-CN"/>
        </w:rPr>
      </w:pPr>
      <w:r>
        <w:rPr>
          <w:rFonts w:hint="eastAsia"/>
          <w:lang w:val="en-US" w:eastAsia="zh-CN"/>
        </w:rPr>
        <w:tab/>
      </w:r>
    </w:p>
    <w:tbl>
      <w:tblPr>
        <w:tblStyle w:val="7"/>
        <w:tblW w:w="978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990"/>
        <w:gridCol w:w="1312"/>
        <w:gridCol w:w="2075"/>
        <w:gridCol w:w="2671"/>
        <w:gridCol w:w="549"/>
        <w:gridCol w:w="630"/>
        <w:gridCol w:w="690"/>
        <w:gridCol w:w="87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20" w:hRule="atLeast"/>
        </w:trPr>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绩效目标</w:t>
            </w:r>
          </w:p>
        </w:tc>
        <w:tc>
          <w:tcPr>
            <w:tcW w:w="13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748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以长期处于失能状态的参保人群为保障对象，重点解决重度失能人员基本生活照料和与基本生活密切相关的医疗护理等所需费用和服务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60" w:hRule="atLeast"/>
        </w:trPr>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748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逐步建立覆盖全员、多元筹资、保障基本、待遇分级的长护险制度，努力减轻参保患者家庭的事务性和经济负担，不断增加人民群众在共建共享发展中的获得感和幸福感。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rPr>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131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20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267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1869"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8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rPr>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31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20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267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5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8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60" w:hRule="atLeast"/>
        </w:trPr>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3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20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补助个人（家庭）数量（人/户）</w:t>
            </w:r>
          </w:p>
        </w:tc>
        <w:tc>
          <w:tcPr>
            <w:tcW w:w="2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补助的人数</w:t>
            </w:r>
          </w:p>
        </w:tc>
        <w:tc>
          <w:tcPr>
            <w:tcW w:w="5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工作安排</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20" w:hRule="atLeast"/>
        </w:trPr>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20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综合事务管理工作完成率</w:t>
            </w:r>
          </w:p>
        </w:tc>
        <w:tc>
          <w:tcPr>
            <w:tcW w:w="2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综合事务管理工作完成情况</w:t>
            </w:r>
          </w:p>
        </w:tc>
        <w:tc>
          <w:tcPr>
            <w:tcW w:w="5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工作安排</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55" w:hRule="atLeast"/>
        </w:trPr>
        <w:tc>
          <w:tcPr>
            <w:tcW w:w="9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效果指标</w:t>
            </w:r>
          </w:p>
        </w:tc>
        <w:tc>
          <w:tcPr>
            <w:tcW w:w="13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20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补助人群生活改善情况</w:t>
            </w:r>
          </w:p>
        </w:tc>
        <w:tc>
          <w:tcPr>
            <w:tcW w:w="2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补助人群在生活、医疗、护理、教育等方面的改善情况</w:t>
            </w:r>
          </w:p>
        </w:tc>
        <w:tc>
          <w:tcPr>
            <w:tcW w:w="5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80.00</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工作安排</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55" w:hRule="atLeast"/>
        </w:trPr>
        <w:tc>
          <w:tcPr>
            <w:tcW w:w="9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3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20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享受保险基金补助覆盖面（%）</w:t>
            </w:r>
          </w:p>
        </w:tc>
        <w:tc>
          <w:tcPr>
            <w:tcW w:w="2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实际享受各类保险基金补助人数占应享受保险基金补助人数的比率</w:t>
            </w:r>
          </w:p>
        </w:tc>
        <w:tc>
          <w:tcPr>
            <w:tcW w:w="5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工作安排</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00" w:hRule="atLeast"/>
        </w:trPr>
        <w:tc>
          <w:tcPr>
            <w:tcW w:w="9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13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20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群众满意度</w:t>
            </w:r>
          </w:p>
        </w:tc>
        <w:tc>
          <w:tcPr>
            <w:tcW w:w="26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群众满意数量占总数的比例。</w:t>
            </w:r>
          </w:p>
        </w:tc>
        <w:tc>
          <w:tcPr>
            <w:tcW w:w="54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90.00</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工作安排</w:t>
            </w:r>
          </w:p>
        </w:tc>
      </w:tr>
    </w:tbl>
    <w:p>
      <w:pPr>
        <w:tabs>
          <w:tab w:val="left" w:pos="457"/>
        </w:tabs>
        <w:jc w:val="left"/>
        <w:rPr>
          <w:lang w:val="en-US" w:eastAsia="zh-CN"/>
        </w:rPr>
      </w:pPr>
    </w:p>
    <w:p>
      <w:pPr>
        <w:rPr>
          <w:rFonts w:ascii="Calibri" w:hAnsi="Calibri" w:eastAsia="宋体" w:cs="黑体"/>
          <w:kern w:val="2"/>
          <w:sz w:val="21"/>
          <w:szCs w:val="22"/>
          <w:lang w:val="en-US" w:eastAsia="zh-CN" w:bidi="ar-SA"/>
        </w:rPr>
      </w:pPr>
    </w:p>
    <w:p>
      <w:pPr>
        <w:rPr>
          <w:lang w:val="en-US" w:eastAsia="zh-CN"/>
        </w:rPr>
      </w:pPr>
    </w:p>
    <w:p>
      <w:pPr>
        <w:numPr>
          <w:ilvl w:val="0"/>
          <w:numId w:val="0"/>
        </w:numPr>
        <w:autoSpaceDE w:val="0"/>
        <w:autoSpaceDN w:val="0"/>
        <w:adjustRightInd w:val="0"/>
        <w:ind w:leftChars="200"/>
        <w:jc w:val="left"/>
        <w:rPr>
          <w:rFonts w:hint="eastAsia" w:ascii="Times New Roman" w:hAnsi="Times New Roman" w:eastAsia="仿宋" w:cs="Times New Roman"/>
          <w:sz w:val="32"/>
          <w:szCs w:val="32"/>
          <w:lang w:val="en-US" w:eastAsia="zh-CN"/>
        </w:rPr>
      </w:pPr>
      <w:r>
        <w:rPr>
          <w:rFonts w:hint="eastAsia"/>
          <w:sz w:val="32"/>
          <w:szCs w:val="32"/>
          <w:lang w:val="en-US" w:eastAsia="zh-CN"/>
        </w:rPr>
        <w:t>8、</w:t>
      </w:r>
      <w:r>
        <w:rPr>
          <w:rFonts w:hint="eastAsia" w:ascii="Times New Roman" w:hAnsi="Times New Roman" w:eastAsia="仿宋" w:cs="Times New Roman"/>
          <w:sz w:val="32"/>
          <w:szCs w:val="32"/>
          <w:lang w:val="en-US" w:eastAsia="zh-CN"/>
        </w:rPr>
        <w:t>城乡居民基本医疗保险财政补助资金绩效目标表</w:t>
      </w:r>
    </w:p>
    <w:p>
      <w:pPr>
        <w:jc w:val="left"/>
        <w:rPr>
          <w:sz w:val="32"/>
          <w:szCs w:val="32"/>
          <w:lang w:val="en-US" w:eastAsia="zh-CN"/>
        </w:rPr>
      </w:pPr>
    </w:p>
    <w:tbl>
      <w:tblPr>
        <w:tblStyle w:val="7"/>
        <w:tblW w:w="957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17"/>
        <w:gridCol w:w="1652"/>
        <w:gridCol w:w="1492"/>
        <w:gridCol w:w="2452"/>
        <w:gridCol w:w="415"/>
        <w:gridCol w:w="890"/>
        <w:gridCol w:w="713"/>
        <w:gridCol w:w="73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80" w:hRule="atLeast"/>
        </w:trPr>
        <w:tc>
          <w:tcPr>
            <w:tcW w:w="121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绩效目标</w:t>
            </w:r>
          </w:p>
        </w:tc>
        <w:tc>
          <w:tcPr>
            <w:tcW w:w="16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6701"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建立统一的城乡居民基本医疗保险制度，实现城乡居民公平享有基本医疗保险权益</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80" w:hRule="atLeast"/>
        </w:trPr>
        <w:tc>
          <w:tcPr>
            <w:tcW w:w="12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6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6701"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城乡居民医保实行个人缴费和政府补助相结合为主的筹资方式，各级政府补助资金标准及划拨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rPr>
        <w:tc>
          <w:tcPr>
            <w:tcW w:w="121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165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49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245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201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739"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rPr>
        <w:tc>
          <w:tcPr>
            <w:tcW w:w="12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65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4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245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4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7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739"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00" w:hRule="atLeast"/>
        </w:trPr>
        <w:tc>
          <w:tcPr>
            <w:tcW w:w="121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6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4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综合业务管理工作完成率</w:t>
            </w:r>
          </w:p>
        </w:tc>
        <w:tc>
          <w:tcPr>
            <w:tcW w:w="24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综合业务管理工作完成情况</w:t>
            </w:r>
          </w:p>
        </w:tc>
        <w:tc>
          <w:tcPr>
            <w:tcW w:w="4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7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12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6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4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覆盖率</w:t>
            </w:r>
          </w:p>
        </w:tc>
        <w:tc>
          <w:tcPr>
            <w:tcW w:w="24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参加医疗保险占辖区内居民比率</w:t>
            </w:r>
          </w:p>
        </w:tc>
        <w:tc>
          <w:tcPr>
            <w:tcW w:w="4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7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55" w:hRule="atLeast"/>
        </w:trPr>
        <w:tc>
          <w:tcPr>
            <w:tcW w:w="12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效果指标</w:t>
            </w:r>
          </w:p>
        </w:tc>
        <w:tc>
          <w:tcPr>
            <w:tcW w:w="16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经济效益指标</w:t>
            </w:r>
          </w:p>
        </w:tc>
        <w:tc>
          <w:tcPr>
            <w:tcW w:w="14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补助人群生活改善情况</w:t>
            </w:r>
          </w:p>
        </w:tc>
        <w:tc>
          <w:tcPr>
            <w:tcW w:w="24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补助人群在生活、医疗、护理、教育等方面的改善情况</w:t>
            </w:r>
          </w:p>
        </w:tc>
        <w:tc>
          <w:tcPr>
            <w:tcW w:w="4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7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20" w:hRule="atLeast"/>
        </w:trPr>
        <w:tc>
          <w:tcPr>
            <w:tcW w:w="12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16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14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群众满意度</w:t>
            </w:r>
          </w:p>
        </w:tc>
        <w:tc>
          <w:tcPr>
            <w:tcW w:w="24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群众满意数量占总数的比例。</w:t>
            </w:r>
          </w:p>
        </w:tc>
        <w:tc>
          <w:tcPr>
            <w:tcW w:w="4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95.00</w:t>
            </w:r>
          </w:p>
        </w:tc>
        <w:tc>
          <w:tcPr>
            <w:tcW w:w="71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73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行业标准</w:t>
            </w:r>
          </w:p>
        </w:tc>
      </w:tr>
    </w:tbl>
    <w:p>
      <w:pPr>
        <w:jc w:val="left"/>
        <w:rPr>
          <w:rFonts w:hint="eastAsia" w:eastAsia="宋体"/>
          <w:sz w:val="32"/>
          <w:szCs w:val="32"/>
          <w:lang w:val="en-US" w:eastAsia="zh-CN"/>
        </w:rPr>
      </w:pPr>
    </w:p>
    <w:p>
      <w:pPr>
        <w:numPr>
          <w:ilvl w:val="0"/>
          <w:numId w:val="0"/>
        </w:numPr>
        <w:autoSpaceDE w:val="0"/>
        <w:autoSpaceDN w:val="0"/>
        <w:adjustRightInd w:val="0"/>
        <w:ind w:leftChars="200"/>
        <w:jc w:val="left"/>
        <w:rPr>
          <w:rFonts w:hint="eastAsia" w:ascii="Times New Roman" w:hAnsi="Times New Roman" w:eastAsia="仿宋" w:cs="Times New Roman"/>
          <w:sz w:val="32"/>
          <w:szCs w:val="32"/>
          <w:lang w:val="en-US" w:eastAsia="zh-CN"/>
        </w:rPr>
      </w:pPr>
      <w:r>
        <w:rPr>
          <w:rFonts w:hint="eastAsia"/>
          <w:sz w:val="32"/>
          <w:szCs w:val="32"/>
          <w:lang w:val="en-US" w:eastAsia="zh-CN"/>
        </w:rPr>
        <w:t>9、</w:t>
      </w:r>
      <w:r>
        <w:rPr>
          <w:rFonts w:hint="eastAsia" w:ascii="Times New Roman" w:hAnsi="Times New Roman" w:eastAsia="仿宋" w:cs="Times New Roman"/>
          <w:sz w:val="32"/>
          <w:szCs w:val="32"/>
          <w:lang w:val="en-US" w:eastAsia="zh-CN"/>
        </w:rPr>
        <w:t>医疗救助补助预算绩效目标表</w:t>
      </w:r>
    </w:p>
    <w:p>
      <w:pPr>
        <w:rPr>
          <w:rFonts w:hint="eastAsia" w:ascii="Calibri" w:hAnsi="Calibri" w:eastAsia="宋体" w:cs="黑体"/>
          <w:kern w:val="2"/>
          <w:sz w:val="21"/>
          <w:szCs w:val="22"/>
          <w:lang w:val="en-US" w:eastAsia="zh-CN" w:bidi="ar-SA"/>
        </w:rPr>
      </w:pPr>
    </w:p>
    <w:p>
      <w:pPr>
        <w:tabs>
          <w:tab w:val="left" w:pos="427"/>
        </w:tabs>
        <w:jc w:val="left"/>
        <w:rPr>
          <w:rFonts w:hint="eastAsia"/>
          <w:lang w:val="en-US" w:eastAsia="zh-CN"/>
        </w:rPr>
      </w:pPr>
      <w:r>
        <w:rPr>
          <w:rFonts w:hint="eastAsia"/>
          <w:lang w:val="en-US" w:eastAsia="zh-CN"/>
        </w:rPr>
        <w:tab/>
      </w:r>
    </w:p>
    <w:tbl>
      <w:tblPr>
        <w:tblStyle w:val="7"/>
        <w:tblW w:w="985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17"/>
        <w:gridCol w:w="1652"/>
        <w:gridCol w:w="1075"/>
        <w:gridCol w:w="2748"/>
        <w:gridCol w:w="906"/>
        <w:gridCol w:w="593"/>
        <w:gridCol w:w="912"/>
        <w:gridCol w:w="75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40" w:hRule="atLeast"/>
        </w:trPr>
        <w:tc>
          <w:tcPr>
            <w:tcW w:w="121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绩效目标</w:t>
            </w:r>
          </w:p>
        </w:tc>
        <w:tc>
          <w:tcPr>
            <w:tcW w:w="16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目标1</w:t>
            </w:r>
          </w:p>
        </w:tc>
        <w:tc>
          <w:tcPr>
            <w:tcW w:w="6986"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持续实施重特大疾病医疗救助</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00" w:hRule="atLeast"/>
        </w:trPr>
        <w:tc>
          <w:tcPr>
            <w:tcW w:w="12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6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目标2</w:t>
            </w:r>
          </w:p>
        </w:tc>
        <w:tc>
          <w:tcPr>
            <w:tcW w:w="6986"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重点对象自付费用年度限额内住院救助比例达到70%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rPr>
        <w:tc>
          <w:tcPr>
            <w:tcW w:w="121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一级指标</w:t>
            </w:r>
          </w:p>
        </w:tc>
        <w:tc>
          <w:tcPr>
            <w:tcW w:w="165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二级指标</w:t>
            </w:r>
          </w:p>
        </w:tc>
        <w:tc>
          <w:tcPr>
            <w:tcW w:w="10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三级指标</w:t>
            </w:r>
          </w:p>
        </w:tc>
        <w:tc>
          <w:tcPr>
            <w:tcW w:w="274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绩效指标描述</w:t>
            </w:r>
          </w:p>
        </w:tc>
        <w:tc>
          <w:tcPr>
            <w:tcW w:w="2411"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w:t>
            </w:r>
          </w:p>
        </w:tc>
        <w:tc>
          <w:tcPr>
            <w:tcW w:w="75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指标值确定依据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75" w:hRule="atLeast"/>
        </w:trPr>
        <w:tc>
          <w:tcPr>
            <w:tcW w:w="121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65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10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274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c>
          <w:tcPr>
            <w:tcW w:w="9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符号</w:t>
            </w:r>
          </w:p>
        </w:tc>
        <w:tc>
          <w:tcPr>
            <w:tcW w:w="5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值</w:t>
            </w:r>
          </w:p>
        </w:tc>
        <w:tc>
          <w:tcPr>
            <w:tcW w:w="9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单位（文字描述）</w:t>
            </w:r>
          </w:p>
        </w:tc>
        <w:tc>
          <w:tcPr>
            <w:tcW w:w="75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hint="eastAsia" w:ascii="宋体" w:hAnsi="宋体" w:eastAsia="宋体" w:cs="宋体"/>
                <w:b/>
                <w:i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035" w:hRule="atLeast"/>
        </w:trPr>
        <w:tc>
          <w:tcPr>
            <w:tcW w:w="12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产出指标</w:t>
            </w:r>
          </w:p>
        </w:tc>
        <w:tc>
          <w:tcPr>
            <w:tcW w:w="16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数量指标</w:t>
            </w:r>
          </w:p>
        </w:tc>
        <w:tc>
          <w:tcPr>
            <w:tcW w:w="10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参保资助率</w:t>
            </w:r>
          </w:p>
        </w:tc>
        <w:tc>
          <w:tcPr>
            <w:tcW w:w="274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资助救助对象参加城镇居民基本医疗保险或新型农村合作医疗的人数占应资助对象数量的比例</w:t>
            </w:r>
          </w:p>
        </w:tc>
        <w:tc>
          <w:tcPr>
            <w:tcW w:w="9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w:t>
            </w:r>
          </w:p>
        </w:tc>
        <w:tc>
          <w:tcPr>
            <w:tcW w:w="5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100.00</w:t>
            </w:r>
          </w:p>
        </w:tc>
        <w:tc>
          <w:tcPr>
            <w:tcW w:w="9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hint="eastAsia" w:ascii="宋体" w:hAnsi="宋体" w:eastAsia="宋体" w:cs="宋体"/>
                <w:i w:val="0"/>
                <w:color w:val="000000"/>
                <w:sz w:val="18"/>
                <w:szCs w:val="18"/>
                <w:u w:val="none"/>
              </w:rPr>
            </w:pPr>
          </w:p>
        </w:tc>
        <w:tc>
          <w:tcPr>
            <w:tcW w:w="7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政府标准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855" w:hRule="atLeast"/>
        </w:trPr>
        <w:tc>
          <w:tcPr>
            <w:tcW w:w="12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效果指标</w:t>
            </w:r>
          </w:p>
        </w:tc>
        <w:tc>
          <w:tcPr>
            <w:tcW w:w="16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社会效益指标</w:t>
            </w:r>
          </w:p>
        </w:tc>
        <w:tc>
          <w:tcPr>
            <w:tcW w:w="10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负担减轻程度</w:t>
            </w:r>
          </w:p>
        </w:tc>
        <w:tc>
          <w:tcPr>
            <w:tcW w:w="274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困难群众医疗费用负担减轻程度</w:t>
            </w:r>
          </w:p>
        </w:tc>
        <w:tc>
          <w:tcPr>
            <w:tcW w:w="9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文字描述</w:t>
            </w:r>
          </w:p>
        </w:tc>
        <w:tc>
          <w:tcPr>
            <w:tcW w:w="5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eastAsia" w:ascii="宋体" w:hAnsi="宋体" w:eastAsia="宋体" w:cs="宋体"/>
                <w:i w:val="0"/>
                <w:color w:val="000000"/>
                <w:sz w:val="18"/>
                <w:szCs w:val="18"/>
                <w:u w:val="none"/>
              </w:rPr>
            </w:pPr>
          </w:p>
        </w:tc>
        <w:tc>
          <w:tcPr>
            <w:tcW w:w="9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有效缓解</w:t>
            </w:r>
          </w:p>
        </w:tc>
        <w:tc>
          <w:tcPr>
            <w:tcW w:w="7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历史标准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040" w:hRule="atLeast"/>
        </w:trPr>
        <w:tc>
          <w:tcPr>
            <w:tcW w:w="121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b/>
                <w:i w:val="0"/>
                <w:color w:val="000000"/>
                <w:sz w:val="18"/>
                <w:szCs w:val="18"/>
                <w:u w:val="none"/>
              </w:rPr>
            </w:pPr>
            <w:r>
              <w:rPr>
                <w:rFonts w:hint="eastAsia" w:ascii="宋体" w:hAnsi="宋体" w:eastAsia="宋体" w:cs="宋体"/>
                <w:b/>
                <w:i w:val="0"/>
                <w:color w:val="000000"/>
                <w:kern w:val="0"/>
                <w:sz w:val="18"/>
                <w:szCs w:val="18"/>
                <w:u w:val="none"/>
                <w:lang w:val="en-US" w:eastAsia="zh-CN" w:bidi="ar"/>
              </w:rPr>
              <w:t>满意度指标</w:t>
            </w:r>
          </w:p>
        </w:tc>
        <w:tc>
          <w:tcPr>
            <w:tcW w:w="16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服务对象满意度指标</w:t>
            </w:r>
          </w:p>
        </w:tc>
        <w:tc>
          <w:tcPr>
            <w:tcW w:w="10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接受救助对象的满意度（%）</w:t>
            </w:r>
          </w:p>
        </w:tc>
        <w:tc>
          <w:tcPr>
            <w:tcW w:w="274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满意和较为满意的救助对象数量占调查总数的比率</w:t>
            </w:r>
          </w:p>
        </w:tc>
        <w:tc>
          <w:tcPr>
            <w:tcW w:w="90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&gt;=</w:t>
            </w:r>
          </w:p>
        </w:tc>
        <w:tc>
          <w:tcPr>
            <w:tcW w:w="59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85.00</w:t>
            </w:r>
          </w:p>
        </w:tc>
        <w:tc>
          <w:tcPr>
            <w:tcW w:w="91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rPr>
                <w:rFonts w:hint="eastAsia" w:ascii="宋体" w:hAnsi="宋体" w:eastAsia="宋体" w:cs="宋体"/>
                <w:i w:val="0"/>
                <w:color w:val="000000"/>
                <w:sz w:val="18"/>
                <w:szCs w:val="18"/>
                <w:u w:val="none"/>
              </w:rPr>
            </w:pPr>
          </w:p>
        </w:tc>
        <w:tc>
          <w:tcPr>
            <w:tcW w:w="7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18"/>
                <w:szCs w:val="18"/>
                <w:u w:val="none"/>
              </w:rPr>
            </w:pPr>
            <w:r>
              <w:rPr>
                <w:rFonts w:hint="eastAsia" w:ascii="宋体" w:hAnsi="宋体" w:eastAsia="宋体" w:cs="宋体"/>
                <w:i w:val="0"/>
                <w:color w:val="000000"/>
                <w:kern w:val="0"/>
                <w:sz w:val="18"/>
                <w:szCs w:val="18"/>
                <w:u w:val="none"/>
                <w:lang w:val="en-US" w:eastAsia="zh-CN" w:bidi="ar"/>
              </w:rPr>
              <w:t>历史标准</w:t>
            </w:r>
          </w:p>
        </w:tc>
      </w:tr>
    </w:tbl>
    <w:p>
      <w:pPr>
        <w:tabs>
          <w:tab w:val="left" w:pos="427"/>
        </w:tabs>
        <w:jc w:val="left"/>
        <w:rPr>
          <w:rFonts w:hint="eastAsia"/>
          <w:lang w:val="en-US" w:eastAsia="zh-CN"/>
        </w:rPr>
        <w:sectPr>
          <w:footerReference r:id="rId3" w:type="default"/>
          <w:pgSz w:w="11907" w:h="16839"/>
          <w:pgMar w:top="1984" w:right="1304" w:bottom="1134" w:left="1304" w:header="851" w:footer="992" w:gutter="0"/>
          <w:cols w:space="720" w:num="1"/>
          <w:docGrid w:type="lines" w:linePitch="312" w:charSpace="0"/>
        </w:sectPr>
      </w:pPr>
    </w:p>
    <w:bookmarkEnd w:id="0"/>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hint="eastAsia" w:ascii="Times New Roman" w:hAnsi="Times New Roman" w:eastAsia="仿宋" w:cs="Times New Roman"/>
          <w:sz w:val="32"/>
          <w:szCs w:val="24"/>
          <w:lang w:eastAsia="zh-CN"/>
        </w:rPr>
      </w:pPr>
      <w:bookmarkStart w:id="10"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bookmarkEnd w:id="10"/>
      <w:r>
        <w:rPr>
          <w:rFonts w:hint="eastAsia" w:ascii="Times New Roman" w:hAnsi="Times New Roman" w:eastAsia="仿宋" w:cs="Times New Roman"/>
          <w:sz w:val="32"/>
          <w:szCs w:val="24"/>
          <w:lang w:eastAsia="zh-CN"/>
        </w:rPr>
        <w:t>没有安排政府采购预算</w:t>
      </w:r>
      <w:r>
        <w:rPr>
          <w:rFonts w:hint="eastAsia" w:ascii="Times New Roman" w:hAnsi="Times New Roman" w:eastAsia="仿宋" w:cs="Times New Roman"/>
          <w:sz w:val="32"/>
          <w:szCs w:val="24"/>
          <w:lang w:val="en-US" w:eastAsia="zh-CN"/>
        </w:rPr>
        <w:t>,空表列示</w:t>
      </w:r>
      <w:r>
        <w:rPr>
          <w:rFonts w:hint="eastAsia" w:ascii="Times New Roman" w:hAnsi="Times New Roman" w:eastAsia="仿宋" w:cs="Times New Roman"/>
          <w:sz w:val="32"/>
          <w:szCs w:val="24"/>
          <w:lang w:eastAsia="zh-CN"/>
        </w:rPr>
        <w:t>。</w:t>
      </w:r>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11" w:name="_Toc28848395"/>
      <w:r>
        <w:rPr>
          <w:rFonts w:hint="eastAsia" w:ascii="方正小标宋_GBK" w:eastAsia="方正小标宋_GBK"/>
          <w:sz w:val="32"/>
        </w:rPr>
        <w:instrText xml:space="preserve">部门政府采购预算</w:instrText>
      </w:r>
      <w:bookmarkEnd w:id="11"/>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7"/>
        <w:tblpPr w:leftFromText="180" w:rightFromText="180" w:vertAnchor="text" w:horzAnchor="page" w:tblpX="111" w:tblpY="602"/>
        <w:tblOverlap w:val="never"/>
        <w:tblW w:w="11839"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71"/>
        <w:gridCol w:w="913"/>
        <w:gridCol w:w="842"/>
        <w:gridCol w:w="713"/>
        <w:gridCol w:w="484"/>
        <w:gridCol w:w="413"/>
        <w:gridCol w:w="1088"/>
        <w:gridCol w:w="1393"/>
        <w:gridCol w:w="773"/>
        <w:gridCol w:w="1031"/>
        <w:gridCol w:w="1027"/>
        <w:gridCol w:w="466"/>
        <w:gridCol w:w="472"/>
        <w:gridCol w:w="45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2" w:hRule="atLeast"/>
          <w:tblHeader/>
        </w:trPr>
        <w:tc>
          <w:tcPr>
            <w:tcW w:w="6224" w:type="dxa"/>
            <w:gridSpan w:val="7"/>
            <w:tcBorders>
              <w:top w:val="single" w:color="FFFFFF" w:sz="6" w:space="0"/>
              <w:left w:val="single" w:color="FFFFFF" w:sz="6" w:space="0"/>
              <w:right w:val="single" w:color="FFFFFF" w:sz="6" w:space="0"/>
            </w:tcBorders>
            <w:vAlign w:val="center"/>
          </w:tcPr>
          <w:p>
            <w:pPr>
              <w:spacing w:line="300" w:lineRule="exact"/>
              <w:jc w:val="left"/>
              <w:rPr>
                <w:rFonts w:ascii="宋体" w:hAnsi="宋体" w:cs="宋体"/>
                <w:color w:val="auto"/>
                <w:sz w:val="32"/>
                <w:szCs w:val="32"/>
              </w:rPr>
            </w:pPr>
          </w:p>
        </w:tc>
        <w:tc>
          <w:tcPr>
            <w:tcW w:w="5615" w:type="dxa"/>
            <w:gridSpan w:val="7"/>
            <w:tcBorders>
              <w:top w:val="single" w:color="FFFFFF" w:sz="6" w:space="0"/>
              <w:left w:val="single" w:color="FFFFFF" w:sz="6" w:space="0"/>
              <w:right w:val="single" w:color="FFFFFF" w:sz="6" w:space="0"/>
            </w:tcBorders>
            <w:vAlign w:val="center"/>
          </w:tcPr>
          <w:p>
            <w:pPr>
              <w:spacing w:line="300" w:lineRule="exact"/>
              <w:jc w:val="right"/>
              <w:rPr>
                <w:rFonts w:ascii="宋体" w:hAnsi="宋体" w:cs="宋体"/>
                <w:color w:val="auto"/>
                <w:sz w:val="32"/>
                <w:szCs w:val="32"/>
              </w:rPr>
            </w:pPr>
            <w:r>
              <w:rPr>
                <w:rFonts w:hint="eastAsia" w:ascii="宋体" w:hAnsi="宋体" w:cs="宋体"/>
                <w:color w:val="auto"/>
                <w:sz w:val="32"/>
                <w:szCs w:val="32"/>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2" w:hRule="atLeast"/>
          <w:tblHeader/>
        </w:trPr>
        <w:tc>
          <w:tcPr>
            <w:tcW w:w="2684" w:type="dxa"/>
            <w:gridSpan w:val="2"/>
            <w:vAlign w:val="center"/>
          </w:tcPr>
          <w:p>
            <w:pPr>
              <w:spacing w:line="300" w:lineRule="exact"/>
              <w:jc w:val="center"/>
              <w:rPr>
                <w:rFonts w:ascii="宋体" w:hAnsi="宋体" w:cs="宋体"/>
                <w:b/>
                <w:color w:val="auto"/>
                <w:sz w:val="24"/>
              </w:rPr>
            </w:pPr>
            <w:r>
              <w:rPr>
                <w:rFonts w:hint="eastAsia" w:ascii="宋体" w:hAnsi="宋体" w:cs="宋体"/>
                <w:b/>
                <w:color w:val="auto"/>
                <w:sz w:val="24"/>
              </w:rPr>
              <w:t>政府采购项目来源</w:t>
            </w:r>
          </w:p>
        </w:tc>
        <w:tc>
          <w:tcPr>
            <w:tcW w:w="842" w:type="dxa"/>
            <w:vMerge w:val="restart"/>
            <w:vAlign w:val="center"/>
          </w:tcPr>
          <w:p>
            <w:pPr>
              <w:spacing w:line="300" w:lineRule="exact"/>
              <w:jc w:val="center"/>
              <w:rPr>
                <w:rFonts w:ascii="宋体" w:hAnsi="宋体" w:cs="宋体"/>
                <w:b/>
                <w:color w:val="auto"/>
                <w:sz w:val="24"/>
              </w:rPr>
            </w:pPr>
            <w:r>
              <w:rPr>
                <w:rFonts w:hint="eastAsia" w:ascii="宋体" w:hAnsi="宋体" w:cs="宋体"/>
                <w:b/>
                <w:color w:val="auto"/>
                <w:sz w:val="24"/>
              </w:rPr>
              <w:t>采购物品名称</w:t>
            </w:r>
          </w:p>
        </w:tc>
        <w:tc>
          <w:tcPr>
            <w:tcW w:w="713" w:type="dxa"/>
            <w:vMerge w:val="restart"/>
            <w:vAlign w:val="center"/>
          </w:tcPr>
          <w:p>
            <w:pPr>
              <w:spacing w:line="300" w:lineRule="exact"/>
              <w:jc w:val="center"/>
              <w:rPr>
                <w:rFonts w:ascii="宋体" w:hAnsi="宋体" w:cs="宋体"/>
                <w:b/>
                <w:color w:val="auto"/>
                <w:sz w:val="24"/>
              </w:rPr>
            </w:pPr>
            <w:r>
              <w:rPr>
                <w:rFonts w:hint="eastAsia" w:ascii="宋体" w:hAnsi="宋体" w:cs="宋体"/>
                <w:b/>
                <w:color w:val="auto"/>
                <w:sz w:val="24"/>
              </w:rPr>
              <w:t>政府采购目录序号</w:t>
            </w:r>
          </w:p>
        </w:tc>
        <w:tc>
          <w:tcPr>
            <w:tcW w:w="484" w:type="dxa"/>
            <w:vMerge w:val="restart"/>
            <w:vAlign w:val="center"/>
          </w:tcPr>
          <w:p>
            <w:pPr>
              <w:spacing w:line="300" w:lineRule="exact"/>
              <w:jc w:val="center"/>
              <w:rPr>
                <w:rFonts w:ascii="宋体" w:hAnsi="宋体" w:cs="宋体"/>
                <w:b/>
                <w:color w:val="auto"/>
                <w:sz w:val="24"/>
              </w:rPr>
            </w:pPr>
            <w:r>
              <w:rPr>
                <w:rFonts w:hint="eastAsia" w:ascii="宋体" w:hAnsi="宋体" w:cs="宋体"/>
                <w:b/>
                <w:color w:val="auto"/>
                <w:sz w:val="24"/>
              </w:rPr>
              <w:t>数量  单位</w:t>
            </w:r>
          </w:p>
        </w:tc>
        <w:tc>
          <w:tcPr>
            <w:tcW w:w="413" w:type="dxa"/>
            <w:vMerge w:val="restart"/>
            <w:vAlign w:val="center"/>
          </w:tcPr>
          <w:p>
            <w:pPr>
              <w:spacing w:line="300" w:lineRule="exact"/>
              <w:jc w:val="center"/>
              <w:rPr>
                <w:rFonts w:ascii="宋体" w:hAnsi="宋体" w:cs="宋体"/>
                <w:b/>
                <w:color w:val="auto"/>
                <w:sz w:val="24"/>
              </w:rPr>
            </w:pPr>
            <w:r>
              <w:rPr>
                <w:rFonts w:hint="eastAsia" w:ascii="宋体" w:hAnsi="宋体" w:cs="宋体"/>
                <w:b/>
                <w:color w:val="auto"/>
                <w:sz w:val="24"/>
              </w:rPr>
              <w:t>数量</w:t>
            </w:r>
          </w:p>
        </w:tc>
        <w:tc>
          <w:tcPr>
            <w:tcW w:w="1088" w:type="dxa"/>
            <w:vMerge w:val="restart"/>
            <w:vAlign w:val="center"/>
          </w:tcPr>
          <w:p>
            <w:pPr>
              <w:spacing w:line="300" w:lineRule="exact"/>
              <w:jc w:val="center"/>
              <w:rPr>
                <w:rFonts w:ascii="宋体" w:hAnsi="宋体" w:cs="宋体"/>
                <w:b/>
                <w:color w:val="auto"/>
                <w:sz w:val="24"/>
              </w:rPr>
            </w:pPr>
            <w:r>
              <w:rPr>
                <w:rFonts w:hint="eastAsia" w:ascii="宋体" w:hAnsi="宋体" w:cs="宋体"/>
                <w:b/>
                <w:color w:val="auto"/>
                <w:sz w:val="24"/>
              </w:rPr>
              <w:t>单价</w:t>
            </w:r>
          </w:p>
        </w:tc>
        <w:tc>
          <w:tcPr>
            <w:tcW w:w="5615" w:type="dxa"/>
            <w:gridSpan w:val="7"/>
            <w:vAlign w:val="center"/>
          </w:tcPr>
          <w:p>
            <w:pPr>
              <w:spacing w:line="300" w:lineRule="exact"/>
              <w:jc w:val="center"/>
              <w:rPr>
                <w:rFonts w:ascii="宋体" w:hAnsi="宋体" w:cs="宋体"/>
                <w:b/>
                <w:color w:val="auto"/>
                <w:sz w:val="24"/>
              </w:rPr>
            </w:pPr>
            <w:r>
              <w:rPr>
                <w:rFonts w:hint="eastAsia" w:ascii="宋体" w:hAnsi="宋体" w:cs="宋体"/>
                <w:b/>
                <w:color w:val="auto"/>
                <w:sz w:val="24"/>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2" w:hRule="atLeast"/>
          <w:tblHeader/>
        </w:trPr>
        <w:tc>
          <w:tcPr>
            <w:tcW w:w="1771" w:type="dxa"/>
            <w:vMerge w:val="restart"/>
            <w:vAlign w:val="center"/>
          </w:tcPr>
          <w:p>
            <w:pPr>
              <w:spacing w:line="300" w:lineRule="exact"/>
              <w:jc w:val="center"/>
              <w:rPr>
                <w:rFonts w:ascii="宋体" w:hAnsi="宋体" w:cs="宋体"/>
                <w:b/>
                <w:color w:val="auto"/>
                <w:sz w:val="24"/>
              </w:rPr>
            </w:pPr>
            <w:r>
              <w:rPr>
                <w:rFonts w:hint="eastAsia" w:ascii="宋体" w:hAnsi="宋体" w:cs="宋体"/>
                <w:b/>
                <w:color w:val="auto"/>
                <w:sz w:val="24"/>
              </w:rPr>
              <w:t>项目名称</w:t>
            </w:r>
          </w:p>
        </w:tc>
        <w:tc>
          <w:tcPr>
            <w:tcW w:w="913" w:type="dxa"/>
            <w:vMerge w:val="restart"/>
            <w:vAlign w:val="center"/>
          </w:tcPr>
          <w:p>
            <w:pPr>
              <w:spacing w:line="300" w:lineRule="exact"/>
              <w:jc w:val="center"/>
              <w:rPr>
                <w:rFonts w:ascii="宋体" w:hAnsi="宋体" w:cs="宋体"/>
                <w:b/>
                <w:color w:val="auto"/>
                <w:sz w:val="24"/>
              </w:rPr>
            </w:pPr>
            <w:r>
              <w:rPr>
                <w:rFonts w:hint="eastAsia" w:ascii="宋体" w:hAnsi="宋体" w:cs="宋体"/>
                <w:b/>
                <w:color w:val="auto"/>
                <w:sz w:val="24"/>
              </w:rPr>
              <w:t>预算资金</w:t>
            </w:r>
          </w:p>
        </w:tc>
        <w:tc>
          <w:tcPr>
            <w:tcW w:w="842" w:type="dxa"/>
            <w:vMerge w:val="continue"/>
            <w:vAlign w:val="center"/>
          </w:tcPr>
          <w:p>
            <w:pPr>
              <w:spacing w:line="300" w:lineRule="exact"/>
              <w:jc w:val="left"/>
              <w:outlineLvl w:val="0"/>
              <w:rPr>
                <w:rFonts w:ascii="宋体" w:hAnsi="宋体" w:cs="宋体"/>
                <w:color w:val="auto"/>
                <w:sz w:val="24"/>
              </w:rPr>
            </w:pPr>
          </w:p>
        </w:tc>
        <w:tc>
          <w:tcPr>
            <w:tcW w:w="713" w:type="dxa"/>
            <w:vMerge w:val="continue"/>
            <w:vAlign w:val="center"/>
          </w:tcPr>
          <w:p>
            <w:pPr>
              <w:spacing w:line="300" w:lineRule="exact"/>
              <w:jc w:val="left"/>
              <w:outlineLvl w:val="0"/>
              <w:rPr>
                <w:rFonts w:ascii="宋体" w:hAnsi="宋体" w:cs="宋体"/>
                <w:color w:val="auto"/>
                <w:sz w:val="24"/>
              </w:rPr>
            </w:pPr>
          </w:p>
        </w:tc>
        <w:tc>
          <w:tcPr>
            <w:tcW w:w="484" w:type="dxa"/>
            <w:vMerge w:val="continue"/>
            <w:vAlign w:val="center"/>
          </w:tcPr>
          <w:p>
            <w:pPr>
              <w:spacing w:line="300" w:lineRule="exact"/>
              <w:jc w:val="left"/>
              <w:outlineLvl w:val="0"/>
              <w:rPr>
                <w:rFonts w:ascii="宋体" w:hAnsi="宋体" w:cs="宋体"/>
                <w:color w:val="auto"/>
                <w:sz w:val="24"/>
              </w:rPr>
            </w:pPr>
          </w:p>
        </w:tc>
        <w:tc>
          <w:tcPr>
            <w:tcW w:w="413" w:type="dxa"/>
            <w:vMerge w:val="continue"/>
            <w:vAlign w:val="center"/>
          </w:tcPr>
          <w:p>
            <w:pPr>
              <w:spacing w:line="300" w:lineRule="exact"/>
              <w:jc w:val="left"/>
              <w:outlineLvl w:val="0"/>
              <w:rPr>
                <w:rFonts w:ascii="宋体" w:hAnsi="宋体" w:cs="宋体"/>
                <w:color w:val="auto"/>
                <w:sz w:val="24"/>
              </w:rPr>
            </w:pPr>
          </w:p>
        </w:tc>
        <w:tc>
          <w:tcPr>
            <w:tcW w:w="1088" w:type="dxa"/>
            <w:vMerge w:val="continue"/>
            <w:vAlign w:val="center"/>
          </w:tcPr>
          <w:p>
            <w:pPr>
              <w:spacing w:line="300" w:lineRule="exact"/>
              <w:jc w:val="left"/>
              <w:outlineLvl w:val="0"/>
              <w:rPr>
                <w:rFonts w:ascii="宋体" w:hAnsi="宋体" w:cs="宋体"/>
                <w:color w:val="auto"/>
                <w:sz w:val="24"/>
              </w:rPr>
            </w:pPr>
          </w:p>
        </w:tc>
        <w:tc>
          <w:tcPr>
            <w:tcW w:w="1393" w:type="dxa"/>
            <w:vMerge w:val="restart"/>
            <w:vAlign w:val="center"/>
          </w:tcPr>
          <w:p>
            <w:pPr>
              <w:spacing w:line="300" w:lineRule="exact"/>
              <w:jc w:val="center"/>
              <w:rPr>
                <w:rFonts w:ascii="宋体" w:hAnsi="宋体" w:cs="宋体"/>
                <w:b/>
                <w:color w:val="auto"/>
                <w:sz w:val="24"/>
              </w:rPr>
            </w:pPr>
            <w:r>
              <w:rPr>
                <w:rFonts w:hint="eastAsia" w:ascii="宋体" w:hAnsi="宋体" w:cs="宋体"/>
                <w:b/>
                <w:color w:val="auto"/>
                <w:sz w:val="24"/>
              </w:rPr>
              <w:t>总计</w:t>
            </w:r>
          </w:p>
        </w:tc>
        <w:tc>
          <w:tcPr>
            <w:tcW w:w="3769" w:type="dxa"/>
            <w:gridSpan w:val="5"/>
            <w:vAlign w:val="center"/>
          </w:tcPr>
          <w:p>
            <w:pPr>
              <w:spacing w:line="300" w:lineRule="exact"/>
              <w:jc w:val="center"/>
              <w:rPr>
                <w:rFonts w:ascii="宋体" w:hAnsi="宋体" w:cs="宋体"/>
                <w:b/>
                <w:color w:val="auto"/>
                <w:sz w:val="24"/>
              </w:rPr>
            </w:pPr>
            <w:r>
              <w:rPr>
                <w:rFonts w:hint="eastAsia" w:ascii="宋体" w:hAnsi="宋体" w:cs="宋体"/>
                <w:b/>
                <w:color w:val="auto"/>
                <w:sz w:val="24"/>
              </w:rPr>
              <w:t>当年部门预算安排资金</w:t>
            </w:r>
          </w:p>
        </w:tc>
        <w:tc>
          <w:tcPr>
            <w:tcW w:w="453" w:type="dxa"/>
            <w:vMerge w:val="restart"/>
            <w:vAlign w:val="center"/>
          </w:tcPr>
          <w:p>
            <w:pPr>
              <w:spacing w:line="300" w:lineRule="exact"/>
              <w:jc w:val="center"/>
              <w:rPr>
                <w:rFonts w:ascii="宋体" w:hAnsi="宋体" w:cs="宋体"/>
                <w:b/>
                <w:color w:val="auto"/>
                <w:sz w:val="24"/>
              </w:rPr>
            </w:pPr>
            <w:r>
              <w:rPr>
                <w:rFonts w:hint="eastAsia" w:ascii="宋体" w:hAnsi="宋体" w:cs="宋体"/>
                <w:b/>
                <w:color w:val="auto"/>
                <w:sz w:val="24"/>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858" w:hRule="atLeast"/>
          <w:tblHeader/>
        </w:trPr>
        <w:tc>
          <w:tcPr>
            <w:tcW w:w="1771" w:type="dxa"/>
            <w:vMerge w:val="continue"/>
            <w:vAlign w:val="center"/>
          </w:tcPr>
          <w:p>
            <w:pPr>
              <w:spacing w:line="300" w:lineRule="exact"/>
              <w:jc w:val="left"/>
              <w:outlineLvl w:val="0"/>
              <w:rPr>
                <w:rFonts w:ascii="宋体" w:hAnsi="宋体" w:cs="宋体"/>
                <w:color w:val="auto"/>
                <w:sz w:val="24"/>
              </w:rPr>
            </w:pPr>
          </w:p>
        </w:tc>
        <w:tc>
          <w:tcPr>
            <w:tcW w:w="913" w:type="dxa"/>
            <w:vMerge w:val="continue"/>
            <w:vAlign w:val="center"/>
          </w:tcPr>
          <w:p>
            <w:pPr>
              <w:spacing w:line="300" w:lineRule="exact"/>
              <w:jc w:val="left"/>
              <w:outlineLvl w:val="0"/>
              <w:rPr>
                <w:rFonts w:ascii="宋体" w:hAnsi="宋体" w:cs="宋体"/>
                <w:color w:val="auto"/>
                <w:sz w:val="24"/>
              </w:rPr>
            </w:pPr>
          </w:p>
        </w:tc>
        <w:tc>
          <w:tcPr>
            <w:tcW w:w="842" w:type="dxa"/>
            <w:vMerge w:val="continue"/>
            <w:vAlign w:val="center"/>
          </w:tcPr>
          <w:p>
            <w:pPr>
              <w:spacing w:line="300" w:lineRule="exact"/>
              <w:jc w:val="left"/>
              <w:outlineLvl w:val="0"/>
              <w:rPr>
                <w:rFonts w:ascii="宋体" w:hAnsi="宋体" w:cs="宋体"/>
                <w:color w:val="auto"/>
                <w:sz w:val="24"/>
              </w:rPr>
            </w:pPr>
          </w:p>
        </w:tc>
        <w:tc>
          <w:tcPr>
            <w:tcW w:w="713" w:type="dxa"/>
            <w:vMerge w:val="continue"/>
            <w:vAlign w:val="center"/>
          </w:tcPr>
          <w:p>
            <w:pPr>
              <w:spacing w:line="300" w:lineRule="exact"/>
              <w:jc w:val="left"/>
              <w:outlineLvl w:val="0"/>
              <w:rPr>
                <w:rFonts w:ascii="宋体" w:hAnsi="宋体" w:cs="宋体"/>
                <w:color w:val="auto"/>
                <w:sz w:val="24"/>
              </w:rPr>
            </w:pPr>
          </w:p>
        </w:tc>
        <w:tc>
          <w:tcPr>
            <w:tcW w:w="484" w:type="dxa"/>
            <w:vMerge w:val="continue"/>
            <w:vAlign w:val="center"/>
          </w:tcPr>
          <w:p>
            <w:pPr>
              <w:spacing w:line="300" w:lineRule="exact"/>
              <w:jc w:val="left"/>
              <w:outlineLvl w:val="0"/>
              <w:rPr>
                <w:rFonts w:ascii="宋体" w:hAnsi="宋体" w:cs="宋体"/>
                <w:color w:val="auto"/>
                <w:sz w:val="24"/>
              </w:rPr>
            </w:pPr>
          </w:p>
        </w:tc>
        <w:tc>
          <w:tcPr>
            <w:tcW w:w="413" w:type="dxa"/>
            <w:vMerge w:val="continue"/>
            <w:vAlign w:val="center"/>
          </w:tcPr>
          <w:p>
            <w:pPr>
              <w:spacing w:line="300" w:lineRule="exact"/>
              <w:jc w:val="left"/>
              <w:outlineLvl w:val="0"/>
              <w:rPr>
                <w:rFonts w:ascii="宋体" w:hAnsi="宋体" w:cs="宋体"/>
                <w:color w:val="auto"/>
                <w:sz w:val="24"/>
              </w:rPr>
            </w:pPr>
          </w:p>
        </w:tc>
        <w:tc>
          <w:tcPr>
            <w:tcW w:w="1088" w:type="dxa"/>
            <w:vMerge w:val="continue"/>
            <w:vAlign w:val="center"/>
          </w:tcPr>
          <w:p>
            <w:pPr>
              <w:spacing w:line="300" w:lineRule="exact"/>
              <w:jc w:val="left"/>
              <w:outlineLvl w:val="0"/>
              <w:rPr>
                <w:rFonts w:ascii="宋体" w:hAnsi="宋体" w:cs="宋体"/>
                <w:color w:val="auto"/>
                <w:sz w:val="24"/>
              </w:rPr>
            </w:pPr>
          </w:p>
        </w:tc>
        <w:tc>
          <w:tcPr>
            <w:tcW w:w="1393" w:type="dxa"/>
            <w:vMerge w:val="continue"/>
            <w:vAlign w:val="center"/>
          </w:tcPr>
          <w:p>
            <w:pPr>
              <w:spacing w:line="300" w:lineRule="exact"/>
              <w:jc w:val="left"/>
              <w:outlineLvl w:val="0"/>
              <w:rPr>
                <w:rFonts w:ascii="宋体" w:hAnsi="宋体" w:cs="宋体"/>
                <w:color w:val="auto"/>
                <w:sz w:val="24"/>
              </w:rPr>
            </w:pPr>
          </w:p>
        </w:tc>
        <w:tc>
          <w:tcPr>
            <w:tcW w:w="773" w:type="dxa"/>
            <w:vAlign w:val="center"/>
          </w:tcPr>
          <w:p>
            <w:pPr>
              <w:spacing w:line="300" w:lineRule="exact"/>
              <w:jc w:val="center"/>
              <w:rPr>
                <w:rFonts w:ascii="宋体" w:hAnsi="宋体" w:cs="宋体"/>
                <w:b/>
                <w:color w:val="auto"/>
                <w:sz w:val="24"/>
              </w:rPr>
            </w:pPr>
            <w:r>
              <w:rPr>
                <w:rFonts w:hint="eastAsia" w:ascii="宋体" w:hAnsi="宋体" w:cs="宋体"/>
                <w:b/>
                <w:color w:val="auto"/>
                <w:sz w:val="24"/>
              </w:rPr>
              <w:t>合计</w:t>
            </w:r>
          </w:p>
        </w:tc>
        <w:tc>
          <w:tcPr>
            <w:tcW w:w="1031" w:type="dxa"/>
            <w:vAlign w:val="center"/>
          </w:tcPr>
          <w:p>
            <w:pPr>
              <w:spacing w:line="300" w:lineRule="exact"/>
              <w:jc w:val="center"/>
              <w:rPr>
                <w:rFonts w:ascii="宋体" w:hAnsi="宋体" w:cs="宋体"/>
                <w:b/>
                <w:color w:val="auto"/>
                <w:sz w:val="24"/>
              </w:rPr>
            </w:pPr>
            <w:r>
              <w:rPr>
                <w:rFonts w:hint="eastAsia" w:ascii="宋体" w:hAnsi="宋体" w:cs="宋体"/>
                <w:b/>
                <w:color w:val="auto"/>
                <w:sz w:val="24"/>
              </w:rPr>
              <w:t>一般公共预算拨款</w:t>
            </w:r>
          </w:p>
        </w:tc>
        <w:tc>
          <w:tcPr>
            <w:tcW w:w="1027" w:type="dxa"/>
            <w:vAlign w:val="center"/>
          </w:tcPr>
          <w:p>
            <w:pPr>
              <w:spacing w:line="300" w:lineRule="exact"/>
              <w:jc w:val="center"/>
              <w:rPr>
                <w:rFonts w:ascii="宋体" w:hAnsi="宋体" w:cs="宋体"/>
                <w:b/>
                <w:color w:val="auto"/>
                <w:sz w:val="24"/>
              </w:rPr>
            </w:pPr>
            <w:r>
              <w:rPr>
                <w:rFonts w:hint="eastAsia" w:ascii="宋体" w:hAnsi="宋体" w:cs="宋体"/>
                <w:b/>
                <w:color w:val="auto"/>
                <w:sz w:val="24"/>
              </w:rPr>
              <w:t>基金预算拨款</w:t>
            </w:r>
          </w:p>
        </w:tc>
        <w:tc>
          <w:tcPr>
            <w:tcW w:w="466" w:type="dxa"/>
            <w:vAlign w:val="center"/>
          </w:tcPr>
          <w:p>
            <w:pPr>
              <w:spacing w:line="300" w:lineRule="exact"/>
              <w:jc w:val="center"/>
              <w:rPr>
                <w:rFonts w:ascii="宋体" w:hAnsi="宋体" w:cs="宋体"/>
                <w:b/>
                <w:color w:val="auto"/>
                <w:sz w:val="24"/>
              </w:rPr>
            </w:pPr>
            <w:r>
              <w:rPr>
                <w:rFonts w:hint="eastAsia" w:ascii="宋体" w:hAnsi="宋体" w:cs="宋体"/>
                <w:b/>
                <w:color w:val="auto"/>
                <w:sz w:val="24"/>
              </w:rPr>
              <w:t>财政专户核拨</w:t>
            </w:r>
          </w:p>
        </w:tc>
        <w:tc>
          <w:tcPr>
            <w:tcW w:w="472" w:type="dxa"/>
            <w:vAlign w:val="center"/>
          </w:tcPr>
          <w:p>
            <w:pPr>
              <w:spacing w:line="300" w:lineRule="exact"/>
              <w:jc w:val="center"/>
              <w:rPr>
                <w:rFonts w:ascii="宋体" w:hAnsi="宋体" w:cs="宋体"/>
                <w:b/>
                <w:color w:val="auto"/>
                <w:sz w:val="24"/>
              </w:rPr>
            </w:pPr>
            <w:r>
              <w:rPr>
                <w:rFonts w:hint="eastAsia" w:ascii="宋体" w:hAnsi="宋体" w:cs="宋体"/>
                <w:b/>
                <w:color w:val="auto"/>
                <w:sz w:val="24"/>
              </w:rPr>
              <w:t>其他来源收入</w:t>
            </w:r>
          </w:p>
        </w:tc>
        <w:tc>
          <w:tcPr>
            <w:tcW w:w="453" w:type="dxa"/>
            <w:vMerge w:val="continue"/>
            <w:vAlign w:val="center"/>
          </w:tcPr>
          <w:p>
            <w:pPr>
              <w:spacing w:line="300" w:lineRule="exact"/>
              <w:jc w:val="left"/>
              <w:outlineLvl w:val="0"/>
              <w:rPr>
                <w:rFonts w:ascii="宋体" w:hAnsi="宋体" w:cs="宋体"/>
                <w:color w:val="auto"/>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2" w:hRule="atLeast"/>
        </w:trPr>
        <w:tc>
          <w:tcPr>
            <w:tcW w:w="1771" w:type="dxa"/>
            <w:vAlign w:val="center"/>
          </w:tcPr>
          <w:p>
            <w:pPr>
              <w:spacing w:line="300" w:lineRule="exact"/>
              <w:jc w:val="center"/>
              <w:rPr>
                <w:rFonts w:ascii="宋体" w:hAnsi="宋体" w:cs="宋体"/>
                <w:b/>
                <w:color w:val="auto"/>
                <w:sz w:val="24"/>
              </w:rPr>
            </w:pPr>
            <w:r>
              <w:rPr>
                <w:rFonts w:hint="eastAsia" w:ascii="宋体" w:hAnsi="宋体" w:cs="宋体"/>
                <w:b/>
                <w:color w:val="auto"/>
                <w:sz w:val="24"/>
              </w:rPr>
              <w:t>合　计</w:t>
            </w:r>
          </w:p>
        </w:tc>
        <w:tc>
          <w:tcPr>
            <w:tcW w:w="913" w:type="dxa"/>
            <w:vAlign w:val="center"/>
          </w:tcPr>
          <w:p>
            <w:pPr>
              <w:spacing w:line="300" w:lineRule="exact"/>
              <w:jc w:val="right"/>
              <w:rPr>
                <w:rFonts w:ascii="宋体" w:hAnsi="宋体" w:cs="宋体"/>
                <w:b/>
                <w:color w:val="auto"/>
                <w:sz w:val="24"/>
              </w:rPr>
            </w:pPr>
          </w:p>
        </w:tc>
        <w:tc>
          <w:tcPr>
            <w:tcW w:w="842" w:type="dxa"/>
            <w:vAlign w:val="center"/>
          </w:tcPr>
          <w:p>
            <w:pPr>
              <w:spacing w:line="300" w:lineRule="exact"/>
              <w:jc w:val="left"/>
              <w:rPr>
                <w:rFonts w:ascii="宋体" w:hAnsi="宋体" w:cs="宋体"/>
                <w:b/>
                <w:color w:val="auto"/>
                <w:sz w:val="24"/>
              </w:rPr>
            </w:pPr>
          </w:p>
        </w:tc>
        <w:tc>
          <w:tcPr>
            <w:tcW w:w="713" w:type="dxa"/>
            <w:vAlign w:val="center"/>
          </w:tcPr>
          <w:p>
            <w:pPr>
              <w:spacing w:line="300" w:lineRule="exact"/>
              <w:jc w:val="left"/>
              <w:rPr>
                <w:rFonts w:ascii="宋体" w:hAnsi="宋体" w:cs="宋体"/>
                <w:b/>
                <w:color w:val="auto"/>
                <w:sz w:val="24"/>
              </w:rPr>
            </w:pPr>
          </w:p>
        </w:tc>
        <w:tc>
          <w:tcPr>
            <w:tcW w:w="484" w:type="dxa"/>
            <w:vAlign w:val="center"/>
          </w:tcPr>
          <w:p>
            <w:pPr>
              <w:spacing w:line="300" w:lineRule="exact"/>
              <w:jc w:val="left"/>
              <w:rPr>
                <w:rFonts w:ascii="宋体" w:hAnsi="宋体" w:cs="宋体"/>
                <w:b/>
                <w:color w:val="auto"/>
                <w:sz w:val="24"/>
              </w:rPr>
            </w:pPr>
          </w:p>
        </w:tc>
        <w:tc>
          <w:tcPr>
            <w:tcW w:w="413" w:type="dxa"/>
            <w:vAlign w:val="center"/>
          </w:tcPr>
          <w:p>
            <w:pPr>
              <w:spacing w:line="300" w:lineRule="exact"/>
              <w:jc w:val="right"/>
              <w:rPr>
                <w:rFonts w:ascii="宋体" w:hAnsi="宋体" w:cs="宋体"/>
                <w:b/>
                <w:color w:val="auto"/>
                <w:sz w:val="24"/>
              </w:rPr>
            </w:pPr>
          </w:p>
        </w:tc>
        <w:tc>
          <w:tcPr>
            <w:tcW w:w="1088" w:type="dxa"/>
            <w:vAlign w:val="center"/>
          </w:tcPr>
          <w:p>
            <w:pPr>
              <w:spacing w:line="300" w:lineRule="exact"/>
              <w:jc w:val="right"/>
              <w:rPr>
                <w:rFonts w:ascii="宋体" w:hAnsi="宋体" w:cs="宋体"/>
                <w:b/>
                <w:color w:val="auto"/>
                <w:sz w:val="24"/>
              </w:rPr>
            </w:pPr>
          </w:p>
        </w:tc>
        <w:tc>
          <w:tcPr>
            <w:tcW w:w="1393" w:type="dxa"/>
            <w:vAlign w:val="center"/>
          </w:tcPr>
          <w:p>
            <w:pPr>
              <w:spacing w:line="300" w:lineRule="exact"/>
              <w:jc w:val="right"/>
              <w:rPr>
                <w:rFonts w:ascii="宋体" w:hAnsi="宋体" w:cs="宋体"/>
                <w:b/>
                <w:color w:val="auto"/>
                <w:sz w:val="24"/>
              </w:rPr>
            </w:pPr>
          </w:p>
        </w:tc>
        <w:tc>
          <w:tcPr>
            <w:tcW w:w="773" w:type="dxa"/>
            <w:vAlign w:val="center"/>
          </w:tcPr>
          <w:p>
            <w:pPr>
              <w:spacing w:line="300" w:lineRule="exact"/>
              <w:jc w:val="right"/>
              <w:rPr>
                <w:rFonts w:ascii="宋体" w:hAnsi="宋体" w:cs="宋体"/>
                <w:b/>
                <w:color w:val="auto"/>
                <w:sz w:val="24"/>
              </w:rPr>
            </w:pPr>
          </w:p>
        </w:tc>
        <w:tc>
          <w:tcPr>
            <w:tcW w:w="1031" w:type="dxa"/>
            <w:vAlign w:val="center"/>
          </w:tcPr>
          <w:p>
            <w:pPr>
              <w:spacing w:line="300" w:lineRule="exact"/>
              <w:jc w:val="right"/>
              <w:rPr>
                <w:rFonts w:ascii="宋体" w:hAnsi="宋体" w:cs="宋体"/>
                <w:b/>
                <w:color w:val="auto"/>
                <w:sz w:val="24"/>
              </w:rPr>
            </w:pPr>
          </w:p>
        </w:tc>
        <w:tc>
          <w:tcPr>
            <w:tcW w:w="1027" w:type="dxa"/>
            <w:vAlign w:val="center"/>
          </w:tcPr>
          <w:p>
            <w:pPr>
              <w:spacing w:line="300" w:lineRule="exact"/>
              <w:jc w:val="right"/>
              <w:rPr>
                <w:rFonts w:ascii="宋体" w:hAnsi="宋体" w:cs="宋体"/>
                <w:b/>
                <w:color w:val="auto"/>
                <w:sz w:val="24"/>
              </w:rPr>
            </w:pPr>
          </w:p>
        </w:tc>
        <w:tc>
          <w:tcPr>
            <w:tcW w:w="466" w:type="dxa"/>
            <w:vAlign w:val="center"/>
          </w:tcPr>
          <w:p>
            <w:pPr>
              <w:spacing w:line="300" w:lineRule="exact"/>
              <w:jc w:val="right"/>
              <w:rPr>
                <w:rFonts w:ascii="宋体" w:hAnsi="宋体" w:cs="宋体"/>
                <w:b/>
                <w:color w:val="auto"/>
                <w:sz w:val="24"/>
              </w:rPr>
            </w:pPr>
          </w:p>
        </w:tc>
        <w:tc>
          <w:tcPr>
            <w:tcW w:w="472" w:type="dxa"/>
            <w:vAlign w:val="center"/>
          </w:tcPr>
          <w:p>
            <w:pPr>
              <w:spacing w:line="300" w:lineRule="exact"/>
              <w:jc w:val="right"/>
              <w:rPr>
                <w:rFonts w:ascii="宋体" w:hAnsi="宋体" w:cs="宋体"/>
                <w:b/>
                <w:color w:val="auto"/>
                <w:sz w:val="24"/>
              </w:rPr>
            </w:pPr>
          </w:p>
        </w:tc>
        <w:tc>
          <w:tcPr>
            <w:tcW w:w="453" w:type="dxa"/>
            <w:vAlign w:val="center"/>
          </w:tcPr>
          <w:p>
            <w:pPr>
              <w:spacing w:line="300" w:lineRule="exact"/>
              <w:jc w:val="right"/>
              <w:rPr>
                <w:rFonts w:ascii="宋体" w:hAnsi="宋体" w:cs="宋体"/>
                <w:b/>
                <w:color w:val="auto"/>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4" w:hRule="atLeast"/>
        </w:trPr>
        <w:tc>
          <w:tcPr>
            <w:tcW w:w="1771" w:type="dxa"/>
            <w:vAlign w:val="center"/>
          </w:tcPr>
          <w:p>
            <w:pPr>
              <w:jc w:val="center"/>
              <w:rPr>
                <w:rFonts w:ascii="宋体" w:hAnsi="宋体" w:cs="宋体"/>
                <w:b/>
                <w:color w:val="auto"/>
                <w:sz w:val="24"/>
              </w:rPr>
            </w:pPr>
            <w:r>
              <w:rPr>
                <w:rFonts w:hint="eastAsia" w:ascii="宋体" w:hAnsi="宋体" w:cs="宋体"/>
                <w:b/>
                <w:color w:val="auto"/>
                <w:sz w:val="24"/>
              </w:rPr>
              <w:t>小计</w:t>
            </w:r>
          </w:p>
        </w:tc>
        <w:tc>
          <w:tcPr>
            <w:tcW w:w="913" w:type="dxa"/>
            <w:vAlign w:val="center"/>
          </w:tcPr>
          <w:p>
            <w:pPr>
              <w:spacing w:line="300" w:lineRule="exact"/>
              <w:jc w:val="right"/>
              <w:rPr>
                <w:rFonts w:ascii="宋体" w:hAnsi="宋体" w:cs="宋体"/>
                <w:b/>
                <w:color w:val="auto"/>
                <w:sz w:val="24"/>
              </w:rPr>
            </w:pPr>
          </w:p>
        </w:tc>
        <w:tc>
          <w:tcPr>
            <w:tcW w:w="842" w:type="dxa"/>
            <w:vAlign w:val="center"/>
          </w:tcPr>
          <w:p>
            <w:pPr>
              <w:spacing w:line="300" w:lineRule="exact"/>
              <w:jc w:val="left"/>
              <w:rPr>
                <w:rFonts w:ascii="宋体" w:hAnsi="宋体" w:cs="宋体"/>
                <w:b/>
                <w:color w:val="auto"/>
                <w:sz w:val="24"/>
              </w:rPr>
            </w:pPr>
          </w:p>
        </w:tc>
        <w:tc>
          <w:tcPr>
            <w:tcW w:w="713" w:type="dxa"/>
            <w:vAlign w:val="center"/>
          </w:tcPr>
          <w:p>
            <w:pPr>
              <w:spacing w:line="300" w:lineRule="exact"/>
              <w:jc w:val="left"/>
              <w:rPr>
                <w:rFonts w:ascii="宋体" w:hAnsi="宋体" w:cs="宋体"/>
                <w:b/>
                <w:color w:val="auto"/>
                <w:sz w:val="24"/>
              </w:rPr>
            </w:pPr>
          </w:p>
        </w:tc>
        <w:tc>
          <w:tcPr>
            <w:tcW w:w="484" w:type="dxa"/>
            <w:vAlign w:val="center"/>
          </w:tcPr>
          <w:p>
            <w:pPr>
              <w:spacing w:line="300" w:lineRule="exact"/>
              <w:jc w:val="left"/>
              <w:rPr>
                <w:rFonts w:ascii="宋体" w:hAnsi="宋体" w:cs="宋体"/>
                <w:b/>
                <w:color w:val="auto"/>
                <w:sz w:val="24"/>
              </w:rPr>
            </w:pPr>
          </w:p>
        </w:tc>
        <w:tc>
          <w:tcPr>
            <w:tcW w:w="413" w:type="dxa"/>
            <w:vAlign w:val="center"/>
          </w:tcPr>
          <w:p>
            <w:pPr>
              <w:spacing w:line="300" w:lineRule="exact"/>
              <w:jc w:val="right"/>
              <w:rPr>
                <w:rFonts w:ascii="宋体" w:hAnsi="宋体" w:cs="宋体"/>
                <w:b/>
                <w:color w:val="auto"/>
                <w:sz w:val="24"/>
              </w:rPr>
            </w:pPr>
          </w:p>
        </w:tc>
        <w:tc>
          <w:tcPr>
            <w:tcW w:w="1088" w:type="dxa"/>
            <w:vAlign w:val="center"/>
          </w:tcPr>
          <w:p>
            <w:pPr>
              <w:spacing w:line="300" w:lineRule="exact"/>
              <w:jc w:val="right"/>
              <w:rPr>
                <w:rFonts w:ascii="宋体" w:hAnsi="宋体" w:cs="宋体"/>
                <w:b/>
                <w:color w:val="auto"/>
                <w:sz w:val="24"/>
              </w:rPr>
            </w:pPr>
          </w:p>
        </w:tc>
        <w:tc>
          <w:tcPr>
            <w:tcW w:w="1393" w:type="dxa"/>
            <w:vAlign w:val="center"/>
          </w:tcPr>
          <w:p>
            <w:pPr>
              <w:spacing w:line="300" w:lineRule="exact"/>
              <w:jc w:val="right"/>
              <w:rPr>
                <w:rFonts w:ascii="宋体" w:hAnsi="宋体" w:cs="宋体"/>
                <w:b/>
                <w:color w:val="auto"/>
                <w:sz w:val="24"/>
              </w:rPr>
            </w:pPr>
          </w:p>
        </w:tc>
        <w:tc>
          <w:tcPr>
            <w:tcW w:w="773" w:type="dxa"/>
            <w:vAlign w:val="center"/>
          </w:tcPr>
          <w:p>
            <w:pPr>
              <w:spacing w:line="300" w:lineRule="exact"/>
              <w:jc w:val="right"/>
              <w:rPr>
                <w:rFonts w:ascii="宋体" w:hAnsi="宋体" w:cs="宋体"/>
                <w:b/>
                <w:color w:val="auto"/>
                <w:sz w:val="24"/>
              </w:rPr>
            </w:pPr>
          </w:p>
        </w:tc>
        <w:tc>
          <w:tcPr>
            <w:tcW w:w="1031" w:type="dxa"/>
            <w:vAlign w:val="center"/>
          </w:tcPr>
          <w:p>
            <w:pPr>
              <w:spacing w:line="300" w:lineRule="exact"/>
              <w:jc w:val="right"/>
              <w:rPr>
                <w:rFonts w:ascii="宋体" w:hAnsi="宋体" w:cs="宋体"/>
                <w:b/>
                <w:color w:val="auto"/>
                <w:sz w:val="24"/>
              </w:rPr>
            </w:pPr>
          </w:p>
        </w:tc>
        <w:tc>
          <w:tcPr>
            <w:tcW w:w="1027" w:type="dxa"/>
            <w:vAlign w:val="center"/>
          </w:tcPr>
          <w:p>
            <w:pPr>
              <w:spacing w:line="300" w:lineRule="exact"/>
              <w:jc w:val="right"/>
              <w:rPr>
                <w:rFonts w:ascii="宋体" w:hAnsi="宋体" w:cs="宋体"/>
                <w:b/>
                <w:color w:val="auto"/>
                <w:sz w:val="24"/>
              </w:rPr>
            </w:pPr>
          </w:p>
        </w:tc>
        <w:tc>
          <w:tcPr>
            <w:tcW w:w="466" w:type="dxa"/>
            <w:vAlign w:val="center"/>
          </w:tcPr>
          <w:p>
            <w:pPr>
              <w:spacing w:line="300" w:lineRule="exact"/>
              <w:jc w:val="right"/>
              <w:rPr>
                <w:rFonts w:ascii="宋体" w:hAnsi="宋体" w:cs="宋体"/>
                <w:b/>
                <w:color w:val="auto"/>
                <w:sz w:val="24"/>
              </w:rPr>
            </w:pPr>
          </w:p>
        </w:tc>
        <w:tc>
          <w:tcPr>
            <w:tcW w:w="472" w:type="dxa"/>
            <w:vAlign w:val="center"/>
          </w:tcPr>
          <w:p>
            <w:pPr>
              <w:spacing w:line="300" w:lineRule="exact"/>
              <w:jc w:val="right"/>
              <w:rPr>
                <w:rFonts w:ascii="宋体" w:hAnsi="宋体" w:cs="宋体"/>
                <w:b/>
                <w:color w:val="auto"/>
                <w:sz w:val="24"/>
              </w:rPr>
            </w:pPr>
          </w:p>
        </w:tc>
        <w:tc>
          <w:tcPr>
            <w:tcW w:w="453" w:type="dxa"/>
            <w:vAlign w:val="center"/>
          </w:tcPr>
          <w:p>
            <w:pPr>
              <w:spacing w:line="300" w:lineRule="exact"/>
              <w:jc w:val="right"/>
              <w:rPr>
                <w:rFonts w:ascii="宋体" w:hAnsi="宋体" w:cs="宋体"/>
                <w:b/>
                <w:color w:val="auto"/>
                <w:sz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22" w:hRule="atLeast"/>
        </w:trPr>
        <w:tc>
          <w:tcPr>
            <w:tcW w:w="1771" w:type="dxa"/>
            <w:vAlign w:val="center"/>
          </w:tcPr>
          <w:p>
            <w:pPr>
              <w:spacing w:line="300" w:lineRule="exact"/>
              <w:jc w:val="left"/>
              <w:rPr>
                <w:rFonts w:ascii="宋体" w:hAnsi="宋体" w:cs="宋体"/>
                <w:color w:val="auto"/>
                <w:sz w:val="32"/>
                <w:szCs w:val="32"/>
              </w:rPr>
            </w:pPr>
            <w:r>
              <w:rPr>
                <w:rFonts w:hint="eastAsia" w:ascii="宋体" w:hAnsi="宋体" w:cs="宋体"/>
                <w:color w:val="auto"/>
                <w:sz w:val="32"/>
                <w:szCs w:val="32"/>
              </w:rPr>
              <w:t>项目1</w:t>
            </w:r>
          </w:p>
        </w:tc>
        <w:tc>
          <w:tcPr>
            <w:tcW w:w="913" w:type="dxa"/>
            <w:vAlign w:val="center"/>
          </w:tcPr>
          <w:p>
            <w:pPr>
              <w:spacing w:line="300" w:lineRule="exact"/>
              <w:jc w:val="center"/>
              <w:rPr>
                <w:rFonts w:ascii="宋体" w:hAnsi="宋体" w:cs="宋体"/>
                <w:color w:val="auto"/>
                <w:sz w:val="32"/>
                <w:szCs w:val="32"/>
              </w:rPr>
            </w:pPr>
          </w:p>
        </w:tc>
        <w:tc>
          <w:tcPr>
            <w:tcW w:w="842" w:type="dxa"/>
            <w:vAlign w:val="center"/>
          </w:tcPr>
          <w:p>
            <w:pPr>
              <w:spacing w:line="300" w:lineRule="exact"/>
              <w:jc w:val="center"/>
              <w:rPr>
                <w:rFonts w:ascii="宋体" w:hAnsi="宋体" w:cs="宋体"/>
                <w:color w:val="auto"/>
                <w:sz w:val="32"/>
                <w:szCs w:val="32"/>
              </w:rPr>
            </w:pPr>
          </w:p>
        </w:tc>
        <w:tc>
          <w:tcPr>
            <w:tcW w:w="713" w:type="dxa"/>
            <w:vAlign w:val="center"/>
          </w:tcPr>
          <w:p>
            <w:pPr>
              <w:spacing w:line="300" w:lineRule="exact"/>
              <w:jc w:val="center"/>
              <w:rPr>
                <w:rFonts w:ascii="宋体" w:hAnsi="宋体" w:cs="宋体"/>
                <w:color w:val="auto"/>
                <w:sz w:val="32"/>
                <w:szCs w:val="32"/>
              </w:rPr>
            </w:pPr>
          </w:p>
        </w:tc>
        <w:tc>
          <w:tcPr>
            <w:tcW w:w="484" w:type="dxa"/>
            <w:vAlign w:val="center"/>
          </w:tcPr>
          <w:p>
            <w:pPr>
              <w:spacing w:line="300" w:lineRule="exact"/>
              <w:jc w:val="center"/>
              <w:rPr>
                <w:rFonts w:ascii="宋体" w:hAnsi="宋体" w:cs="宋体"/>
                <w:color w:val="auto"/>
                <w:sz w:val="32"/>
                <w:szCs w:val="32"/>
              </w:rPr>
            </w:pPr>
          </w:p>
        </w:tc>
        <w:tc>
          <w:tcPr>
            <w:tcW w:w="413" w:type="dxa"/>
            <w:vAlign w:val="center"/>
          </w:tcPr>
          <w:p>
            <w:pPr>
              <w:spacing w:line="300" w:lineRule="exact"/>
              <w:jc w:val="center"/>
              <w:rPr>
                <w:rFonts w:ascii="宋体" w:hAnsi="宋体" w:cs="宋体"/>
                <w:color w:val="auto"/>
                <w:sz w:val="32"/>
                <w:szCs w:val="32"/>
              </w:rPr>
            </w:pPr>
          </w:p>
        </w:tc>
        <w:tc>
          <w:tcPr>
            <w:tcW w:w="1088" w:type="dxa"/>
            <w:vAlign w:val="center"/>
          </w:tcPr>
          <w:p>
            <w:pPr>
              <w:spacing w:line="300" w:lineRule="exact"/>
              <w:ind w:right="210"/>
              <w:jc w:val="center"/>
              <w:rPr>
                <w:rFonts w:ascii="宋体" w:hAnsi="宋体" w:cs="宋体"/>
                <w:color w:val="auto"/>
                <w:sz w:val="32"/>
                <w:szCs w:val="32"/>
              </w:rPr>
            </w:pPr>
          </w:p>
        </w:tc>
        <w:tc>
          <w:tcPr>
            <w:tcW w:w="1393" w:type="dxa"/>
            <w:vAlign w:val="center"/>
          </w:tcPr>
          <w:p>
            <w:pPr>
              <w:spacing w:line="300" w:lineRule="exact"/>
              <w:ind w:right="1050"/>
              <w:jc w:val="center"/>
              <w:rPr>
                <w:rFonts w:ascii="宋体" w:hAnsi="宋体" w:cs="宋体"/>
                <w:color w:val="auto"/>
                <w:sz w:val="32"/>
                <w:szCs w:val="32"/>
              </w:rPr>
            </w:pPr>
          </w:p>
        </w:tc>
        <w:tc>
          <w:tcPr>
            <w:tcW w:w="773" w:type="dxa"/>
            <w:vAlign w:val="center"/>
          </w:tcPr>
          <w:p>
            <w:pPr>
              <w:spacing w:line="300" w:lineRule="exact"/>
              <w:ind w:right="210"/>
              <w:jc w:val="center"/>
              <w:rPr>
                <w:rFonts w:ascii="宋体" w:hAnsi="宋体" w:cs="宋体"/>
                <w:color w:val="auto"/>
                <w:sz w:val="32"/>
                <w:szCs w:val="32"/>
              </w:rPr>
            </w:pPr>
          </w:p>
        </w:tc>
        <w:tc>
          <w:tcPr>
            <w:tcW w:w="1031" w:type="dxa"/>
            <w:vAlign w:val="center"/>
          </w:tcPr>
          <w:p>
            <w:pPr>
              <w:spacing w:line="300" w:lineRule="exact"/>
              <w:ind w:right="630"/>
              <w:jc w:val="center"/>
              <w:rPr>
                <w:rFonts w:ascii="宋体" w:hAnsi="宋体" w:cs="宋体"/>
                <w:color w:val="auto"/>
                <w:sz w:val="32"/>
                <w:szCs w:val="32"/>
              </w:rPr>
            </w:pPr>
          </w:p>
        </w:tc>
        <w:tc>
          <w:tcPr>
            <w:tcW w:w="1027" w:type="dxa"/>
            <w:vAlign w:val="center"/>
          </w:tcPr>
          <w:p>
            <w:pPr>
              <w:spacing w:line="300" w:lineRule="exact"/>
              <w:jc w:val="right"/>
              <w:rPr>
                <w:rFonts w:ascii="宋体" w:hAnsi="宋体" w:cs="宋体"/>
                <w:color w:val="auto"/>
                <w:sz w:val="32"/>
                <w:szCs w:val="32"/>
              </w:rPr>
            </w:pPr>
          </w:p>
        </w:tc>
        <w:tc>
          <w:tcPr>
            <w:tcW w:w="466" w:type="dxa"/>
            <w:vAlign w:val="center"/>
          </w:tcPr>
          <w:p>
            <w:pPr>
              <w:spacing w:line="300" w:lineRule="exact"/>
              <w:jc w:val="right"/>
              <w:rPr>
                <w:rFonts w:ascii="宋体" w:hAnsi="宋体" w:cs="宋体"/>
                <w:color w:val="auto"/>
                <w:sz w:val="32"/>
                <w:szCs w:val="32"/>
              </w:rPr>
            </w:pPr>
          </w:p>
        </w:tc>
        <w:tc>
          <w:tcPr>
            <w:tcW w:w="472" w:type="dxa"/>
            <w:vAlign w:val="center"/>
          </w:tcPr>
          <w:p>
            <w:pPr>
              <w:spacing w:line="300" w:lineRule="exact"/>
              <w:jc w:val="right"/>
              <w:rPr>
                <w:rFonts w:ascii="宋体" w:hAnsi="宋体" w:cs="宋体"/>
                <w:color w:val="auto"/>
                <w:sz w:val="32"/>
                <w:szCs w:val="32"/>
              </w:rPr>
            </w:pPr>
          </w:p>
        </w:tc>
        <w:tc>
          <w:tcPr>
            <w:tcW w:w="453" w:type="dxa"/>
            <w:vAlign w:val="center"/>
          </w:tcPr>
          <w:p>
            <w:pPr>
              <w:spacing w:line="300" w:lineRule="exact"/>
              <w:jc w:val="right"/>
              <w:rPr>
                <w:rFonts w:ascii="宋体" w:hAnsi="宋体" w:cs="宋体"/>
                <w:color w:val="auto"/>
                <w:sz w:val="32"/>
                <w:szCs w:val="32"/>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9" w:hRule="atLeast"/>
        </w:trPr>
        <w:tc>
          <w:tcPr>
            <w:tcW w:w="1771" w:type="dxa"/>
            <w:vAlign w:val="center"/>
          </w:tcPr>
          <w:p>
            <w:pPr>
              <w:spacing w:line="300" w:lineRule="exact"/>
              <w:jc w:val="left"/>
              <w:rPr>
                <w:rFonts w:ascii="宋体" w:hAnsi="宋体" w:cs="宋体"/>
                <w:color w:val="auto"/>
                <w:sz w:val="32"/>
                <w:szCs w:val="32"/>
              </w:rPr>
            </w:pPr>
            <w:r>
              <w:rPr>
                <w:rFonts w:hint="eastAsia" w:ascii="宋体" w:hAnsi="宋体" w:cs="宋体"/>
                <w:color w:val="auto"/>
                <w:sz w:val="32"/>
                <w:szCs w:val="32"/>
              </w:rPr>
              <w:t>项目2</w:t>
            </w:r>
          </w:p>
        </w:tc>
        <w:tc>
          <w:tcPr>
            <w:tcW w:w="913" w:type="dxa"/>
            <w:vAlign w:val="center"/>
          </w:tcPr>
          <w:p>
            <w:pPr>
              <w:spacing w:line="300" w:lineRule="exact"/>
              <w:jc w:val="center"/>
              <w:rPr>
                <w:rFonts w:ascii="宋体" w:hAnsi="宋体" w:cs="宋体"/>
                <w:color w:val="auto"/>
                <w:sz w:val="32"/>
                <w:szCs w:val="32"/>
              </w:rPr>
            </w:pPr>
          </w:p>
        </w:tc>
        <w:tc>
          <w:tcPr>
            <w:tcW w:w="842" w:type="dxa"/>
            <w:vAlign w:val="center"/>
          </w:tcPr>
          <w:p>
            <w:pPr>
              <w:spacing w:line="300" w:lineRule="exact"/>
              <w:jc w:val="center"/>
              <w:rPr>
                <w:rFonts w:ascii="宋体" w:hAnsi="宋体" w:cs="宋体"/>
                <w:color w:val="auto"/>
                <w:sz w:val="32"/>
                <w:szCs w:val="32"/>
              </w:rPr>
            </w:pPr>
          </w:p>
        </w:tc>
        <w:tc>
          <w:tcPr>
            <w:tcW w:w="713" w:type="dxa"/>
            <w:vAlign w:val="center"/>
          </w:tcPr>
          <w:p>
            <w:pPr>
              <w:spacing w:line="300" w:lineRule="exact"/>
              <w:jc w:val="center"/>
              <w:rPr>
                <w:rFonts w:ascii="宋体" w:hAnsi="宋体" w:cs="宋体"/>
                <w:color w:val="auto"/>
                <w:sz w:val="32"/>
                <w:szCs w:val="32"/>
              </w:rPr>
            </w:pPr>
          </w:p>
        </w:tc>
        <w:tc>
          <w:tcPr>
            <w:tcW w:w="484" w:type="dxa"/>
            <w:vAlign w:val="center"/>
          </w:tcPr>
          <w:p>
            <w:pPr>
              <w:spacing w:line="300" w:lineRule="exact"/>
              <w:jc w:val="center"/>
              <w:rPr>
                <w:rFonts w:ascii="宋体" w:hAnsi="宋体" w:cs="宋体"/>
                <w:color w:val="auto"/>
                <w:sz w:val="32"/>
                <w:szCs w:val="32"/>
              </w:rPr>
            </w:pPr>
          </w:p>
        </w:tc>
        <w:tc>
          <w:tcPr>
            <w:tcW w:w="413" w:type="dxa"/>
            <w:vAlign w:val="center"/>
          </w:tcPr>
          <w:p>
            <w:pPr>
              <w:spacing w:line="300" w:lineRule="exact"/>
              <w:jc w:val="center"/>
              <w:rPr>
                <w:rFonts w:ascii="宋体" w:hAnsi="宋体" w:cs="宋体"/>
                <w:color w:val="auto"/>
                <w:sz w:val="32"/>
                <w:szCs w:val="32"/>
              </w:rPr>
            </w:pPr>
          </w:p>
        </w:tc>
        <w:tc>
          <w:tcPr>
            <w:tcW w:w="1088" w:type="dxa"/>
            <w:vAlign w:val="center"/>
          </w:tcPr>
          <w:p>
            <w:pPr>
              <w:spacing w:line="300" w:lineRule="exact"/>
              <w:jc w:val="center"/>
              <w:rPr>
                <w:rFonts w:ascii="宋体" w:hAnsi="宋体" w:cs="宋体"/>
                <w:color w:val="auto"/>
                <w:sz w:val="32"/>
                <w:szCs w:val="32"/>
              </w:rPr>
            </w:pPr>
          </w:p>
        </w:tc>
        <w:tc>
          <w:tcPr>
            <w:tcW w:w="1393" w:type="dxa"/>
            <w:vAlign w:val="center"/>
          </w:tcPr>
          <w:p>
            <w:pPr>
              <w:spacing w:line="300" w:lineRule="exact"/>
              <w:jc w:val="center"/>
              <w:rPr>
                <w:rFonts w:ascii="宋体" w:hAnsi="宋体" w:cs="宋体"/>
                <w:color w:val="auto"/>
                <w:sz w:val="32"/>
                <w:szCs w:val="32"/>
              </w:rPr>
            </w:pPr>
          </w:p>
        </w:tc>
        <w:tc>
          <w:tcPr>
            <w:tcW w:w="773" w:type="dxa"/>
            <w:vAlign w:val="center"/>
          </w:tcPr>
          <w:p>
            <w:pPr>
              <w:spacing w:line="300" w:lineRule="exact"/>
              <w:jc w:val="center"/>
              <w:rPr>
                <w:rFonts w:ascii="宋体" w:hAnsi="宋体" w:cs="宋体"/>
                <w:color w:val="auto"/>
                <w:sz w:val="32"/>
                <w:szCs w:val="32"/>
              </w:rPr>
            </w:pPr>
          </w:p>
        </w:tc>
        <w:tc>
          <w:tcPr>
            <w:tcW w:w="1031" w:type="dxa"/>
            <w:vAlign w:val="center"/>
          </w:tcPr>
          <w:p>
            <w:pPr>
              <w:spacing w:line="300" w:lineRule="exact"/>
              <w:jc w:val="center"/>
              <w:rPr>
                <w:rFonts w:ascii="宋体" w:hAnsi="宋体" w:cs="宋体"/>
                <w:color w:val="auto"/>
                <w:sz w:val="32"/>
                <w:szCs w:val="32"/>
              </w:rPr>
            </w:pPr>
          </w:p>
        </w:tc>
        <w:tc>
          <w:tcPr>
            <w:tcW w:w="1027" w:type="dxa"/>
            <w:vAlign w:val="center"/>
          </w:tcPr>
          <w:p>
            <w:pPr>
              <w:spacing w:line="300" w:lineRule="exact"/>
              <w:jc w:val="right"/>
              <w:rPr>
                <w:rFonts w:ascii="宋体" w:hAnsi="宋体" w:cs="宋体"/>
                <w:color w:val="auto"/>
                <w:sz w:val="32"/>
                <w:szCs w:val="32"/>
              </w:rPr>
            </w:pPr>
          </w:p>
        </w:tc>
        <w:tc>
          <w:tcPr>
            <w:tcW w:w="466" w:type="dxa"/>
            <w:vAlign w:val="center"/>
          </w:tcPr>
          <w:p>
            <w:pPr>
              <w:spacing w:line="300" w:lineRule="exact"/>
              <w:jc w:val="right"/>
              <w:rPr>
                <w:rFonts w:ascii="宋体" w:hAnsi="宋体" w:cs="宋体"/>
                <w:color w:val="auto"/>
                <w:sz w:val="32"/>
                <w:szCs w:val="32"/>
              </w:rPr>
            </w:pPr>
          </w:p>
        </w:tc>
        <w:tc>
          <w:tcPr>
            <w:tcW w:w="472" w:type="dxa"/>
            <w:vAlign w:val="center"/>
          </w:tcPr>
          <w:p>
            <w:pPr>
              <w:spacing w:line="300" w:lineRule="exact"/>
              <w:jc w:val="right"/>
              <w:rPr>
                <w:rFonts w:ascii="宋体" w:hAnsi="宋体" w:cs="宋体"/>
                <w:color w:val="auto"/>
                <w:sz w:val="32"/>
                <w:szCs w:val="32"/>
              </w:rPr>
            </w:pPr>
          </w:p>
        </w:tc>
        <w:tc>
          <w:tcPr>
            <w:tcW w:w="453" w:type="dxa"/>
            <w:vAlign w:val="center"/>
          </w:tcPr>
          <w:p>
            <w:pPr>
              <w:spacing w:line="300" w:lineRule="exact"/>
              <w:jc w:val="right"/>
              <w:rPr>
                <w:rFonts w:ascii="宋体" w:hAnsi="宋体" w:cs="宋体"/>
                <w:color w:val="auto"/>
                <w:sz w:val="32"/>
                <w:szCs w:val="32"/>
              </w:rPr>
            </w:pPr>
          </w:p>
        </w:tc>
      </w:tr>
    </w:tbl>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lang w:eastAsia="zh-CN"/>
        </w:rPr>
        <w:t>新乐市医疗保障局</w:t>
      </w:r>
      <w:r>
        <w:rPr>
          <w:rFonts w:hint="eastAsia" w:ascii="Times New Roman" w:hAnsi="Times New Roman" w:eastAsia="仿宋" w:cs="Times New Roman"/>
          <w:color w:val="000000"/>
          <w:sz w:val="32"/>
          <w:szCs w:val="32"/>
        </w:rPr>
        <w:t>201</w:t>
      </w:r>
      <w:r>
        <w:rPr>
          <w:rFonts w:hint="eastAsia" w:ascii="Times New Roman" w:hAnsi="Times New Roman" w:eastAsia="仿宋" w:cs="Times New Roman"/>
          <w:color w:val="000000"/>
          <w:sz w:val="32"/>
          <w:szCs w:val="32"/>
          <w:lang w:val="en-US" w:eastAsia="zh-CN"/>
        </w:rPr>
        <w:t>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61.18</w:t>
      </w:r>
      <w:r>
        <w:rPr>
          <w:rFonts w:ascii="Times New Roman" w:hAnsi="Times New Roman" w:eastAsia="仿宋" w:cs="Times New Roman"/>
          <w:color w:val="000000"/>
          <w:sz w:val="32"/>
          <w:szCs w:val="32"/>
        </w:rPr>
        <w:t>万元</w:t>
      </w:r>
      <w:r>
        <w:rPr>
          <w:rFonts w:hint="eastAsia" w:ascii="Times New Roman" w:hAnsi="Times New Roman" w:eastAsia="仿宋" w:cs="Times New Roman"/>
          <w:color w:val="000000"/>
          <w:sz w:val="32"/>
          <w:szCs w:val="32"/>
          <w:lang w:eastAsia="zh-CN"/>
        </w:rPr>
        <w:t>。</w:t>
      </w:r>
      <w:r>
        <w:rPr>
          <w:rFonts w:hint="eastAsia" w:ascii="Times New Roman" w:hAnsi="Times New Roman" w:eastAsia="仿宋" w:cs="Times New Roman"/>
          <w:color w:val="000000"/>
          <w:sz w:val="32"/>
          <w:szCs w:val="32"/>
          <w:lang w:val="en-US" w:eastAsia="zh-CN"/>
        </w:rPr>
        <w:t>本年度拟购置固定资产总额0.00万元</w:t>
      </w:r>
      <w:r>
        <w:rPr>
          <w:rFonts w:hint="eastAsia" w:ascii="Times New Roman" w:hAnsi="Times New Roman" w:eastAsia="仿宋" w:cs="Times New Roman"/>
          <w:color w:val="000000"/>
          <w:sz w:val="32"/>
          <w:szCs w:val="32"/>
          <w:lang w:eastAsia="zh-CN"/>
        </w:rPr>
        <w:t>。</w:t>
      </w:r>
      <w:r>
        <w:rPr>
          <w:rFonts w:ascii="Times New Roman" w:hAnsi="Times New Roman" w:eastAsia="仿宋" w:cs="Times New Roman"/>
          <w:color w:val="000000"/>
          <w:sz w:val="32"/>
          <w:szCs w:val="32"/>
        </w:rPr>
        <w:t>（详见下表），</w:t>
      </w:r>
    </w:p>
    <w:tbl>
      <w:tblPr>
        <w:tblStyle w:val="7"/>
        <w:tblW w:w="9382" w:type="dxa"/>
        <w:tblInd w:w="93" w:type="dxa"/>
        <w:tblLayout w:type="fixed"/>
        <w:tblCellMar>
          <w:top w:w="0" w:type="dxa"/>
          <w:left w:w="108" w:type="dxa"/>
          <w:bottom w:w="0" w:type="dxa"/>
          <w:right w:w="108" w:type="dxa"/>
        </w:tblCellMar>
      </w:tblPr>
      <w:tblGrid>
        <w:gridCol w:w="2557"/>
        <w:gridCol w:w="2443"/>
        <w:gridCol w:w="4382"/>
      </w:tblGrid>
      <w:tr>
        <w:tblPrEx>
          <w:tblCellMar>
            <w:top w:w="0" w:type="dxa"/>
            <w:left w:w="108" w:type="dxa"/>
            <w:bottom w:w="0" w:type="dxa"/>
            <w:right w:w="108" w:type="dxa"/>
          </w:tblCellMar>
        </w:tblPrEx>
        <w:trPr>
          <w:trHeight w:val="743" w:hRule="atLeast"/>
        </w:trPr>
        <w:tc>
          <w:tcPr>
            <w:tcW w:w="93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部门固定资产占用情况表</w:t>
            </w:r>
          </w:p>
        </w:tc>
      </w:tr>
      <w:tr>
        <w:tblPrEx>
          <w:tblCellMar>
            <w:top w:w="0" w:type="dxa"/>
            <w:left w:w="108" w:type="dxa"/>
            <w:bottom w:w="0" w:type="dxa"/>
            <w:right w:w="108" w:type="dxa"/>
          </w:tblCellMar>
        </w:tblPrEx>
        <w:trPr>
          <w:trHeight w:val="537" w:hRule="atLeast"/>
        </w:trPr>
        <w:tc>
          <w:tcPr>
            <w:tcW w:w="5000" w:type="dxa"/>
            <w:gridSpan w:val="2"/>
            <w:tcBorders>
              <w:top w:val="nil"/>
              <w:left w:val="nil"/>
              <w:bottom w:val="nil"/>
              <w:right w:val="nil"/>
            </w:tcBorders>
            <w:vAlign w:val="center"/>
          </w:tcPr>
          <w:p>
            <w:pPr>
              <w:widowControl/>
              <w:jc w:val="left"/>
              <w:rPr>
                <w:rFonts w:hint="eastAsia" w:ascii="Times New Roman" w:hAnsi="Times New Roman" w:eastAsia="仿宋" w:cs="Times New Roman"/>
                <w:kern w:val="0"/>
                <w:sz w:val="22"/>
                <w:lang w:eastAsia="zh-CN"/>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lang w:eastAsia="zh-CN"/>
              </w:rPr>
              <w:t>新乐市医疗保障局</w:t>
            </w:r>
          </w:p>
        </w:tc>
        <w:tc>
          <w:tcPr>
            <w:tcW w:w="4382"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lang w:val="en-US" w:eastAsia="zh-CN"/>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90" w:hRule="atLeast"/>
        </w:trPr>
        <w:tc>
          <w:tcPr>
            <w:tcW w:w="2557"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244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4382"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90" w:hRule="atLeast"/>
        </w:trPr>
        <w:tc>
          <w:tcPr>
            <w:tcW w:w="2557"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244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4382"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000000"/>
                <w:kern w:val="0"/>
                <w:sz w:val="22"/>
                <w:lang w:val="en-US" w:eastAsia="zh-CN"/>
              </w:rPr>
              <w:t>61.18</w:t>
            </w:r>
          </w:p>
        </w:tc>
      </w:tr>
      <w:tr>
        <w:tblPrEx>
          <w:tblCellMar>
            <w:top w:w="0" w:type="dxa"/>
            <w:left w:w="108" w:type="dxa"/>
            <w:bottom w:w="0" w:type="dxa"/>
            <w:right w:w="108" w:type="dxa"/>
          </w:tblCellMar>
        </w:tblPrEx>
        <w:trPr>
          <w:trHeight w:val="690" w:hRule="atLeast"/>
        </w:trPr>
        <w:tc>
          <w:tcPr>
            <w:tcW w:w="2557"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244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4382"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90" w:hRule="atLeast"/>
        </w:trPr>
        <w:tc>
          <w:tcPr>
            <w:tcW w:w="2557"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244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4382"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90" w:hRule="atLeast"/>
        </w:trPr>
        <w:tc>
          <w:tcPr>
            <w:tcW w:w="2557"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244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eastAsia="zh-CN"/>
              </w:rPr>
            </w:pPr>
            <w:r>
              <w:rPr>
                <w:rFonts w:hint="eastAsia" w:ascii="Times New Roman" w:hAnsi="Times New Roman" w:eastAsia="仿宋" w:cs="Times New Roman"/>
                <w:kern w:val="0"/>
                <w:sz w:val="22"/>
                <w:lang w:val="en-US" w:eastAsia="zh-CN"/>
              </w:rPr>
              <w:t>1</w:t>
            </w:r>
          </w:p>
        </w:tc>
        <w:tc>
          <w:tcPr>
            <w:tcW w:w="4382"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19.8</w:t>
            </w:r>
          </w:p>
        </w:tc>
      </w:tr>
      <w:tr>
        <w:tblPrEx>
          <w:tblCellMar>
            <w:top w:w="0" w:type="dxa"/>
            <w:left w:w="108" w:type="dxa"/>
            <w:bottom w:w="0" w:type="dxa"/>
            <w:right w:w="108" w:type="dxa"/>
          </w:tblCellMar>
        </w:tblPrEx>
        <w:trPr>
          <w:trHeight w:val="690" w:hRule="atLeast"/>
        </w:trPr>
        <w:tc>
          <w:tcPr>
            <w:tcW w:w="2557"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244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4382"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701" w:hRule="atLeast"/>
        </w:trPr>
        <w:tc>
          <w:tcPr>
            <w:tcW w:w="2557"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244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4382"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41.38</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val="en-US" w:eastAsia="zh-CN"/>
        </w:rPr>
        <w:t>县级</w:t>
      </w:r>
      <w:r>
        <w:rPr>
          <w:rFonts w:hint="eastAsia" w:ascii="Times New Roman" w:hAnsi="Times New Roman" w:eastAsia="仿宋" w:cs="Times New Roman"/>
          <w:sz w:val="32"/>
          <w:szCs w:val="32"/>
        </w:rPr>
        <w:t>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val="en-US" w:eastAsia="zh-CN"/>
        </w:rPr>
        <w:t>县级</w:t>
      </w:r>
      <w:r>
        <w:rPr>
          <w:rFonts w:hint="eastAsia" w:ascii="Times New Roman" w:hAnsi="Times New Roman" w:eastAsia="仿宋" w:cs="Times New Roman"/>
          <w:sz w:val="32"/>
          <w:szCs w:val="32"/>
        </w:rPr>
        <w:t>财政预算管理的“三公”经费，是指</w:t>
      </w:r>
      <w:r>
        <w:rPr>
          <w:rFonts w:hint="eastAsia" w:ascii="Times New Roman" w:hAnsi="Times New Roman" w:eastAsia="仿宋" w:cs="Times New Roman"/>
          <w:sz w:val="32"/>
          <w:szCs w:val="32"/>
          <w:lang w:val="en-US" w:eastAsia="zh-CN"/>
        </w:rPr>
        <w:t>县级</w:t>
      </w:r>
      <w:r>
        <w:rPr>
          <w:rFonts w:hint="eastAsia" w:ascii="Times New Roman" w:hAnsi="Times New Roman" w:eastAsia="仿宋" w:cs="Times New Roman"/>
          <w:sz w:val="32"/>
          <w:szCs w:val="32"/>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4"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仿宋简体">
    <w:altName w:val="微软雅黑"/>
    <w:panose1 w:val="02010601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3000509000000000000"/>
    <w:charset w:val="86"/>
    <w:family w:val="script"/>
    <w:pitch w:val="default"/>
    <w:sig w:usb0="00000000" w:usb1="00000000" w:usb2="00000010" w:usb3="00000000" w:csb0="00040000" w:csb1="00000000"/>
  </w:font>
  <w:font w:name="方正仿宋_GBK">
    <w:panose1 w:val="03000509000000000000"/>
    <w:charset w:val="86"/>
    <w:family w:val="script"/>
    <w:pitch w:val="default"/>
    <w:sig w:usb0="00000001" w:usb1="080E0000" w:usb2="00000000" w:usb3="00000000" w:csb0="00040000" w:csb1="00000000"/>
  </w:font>
  <w:font w:name="宋体-方正超大字符集">
    <w:altName w:val="宋体"/>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3</w:t>
    </w:r>
    <w:r>
      <w:fldChar w:fldCharType="end"/>
    </w:r>
  </w:p>
  <w:p>
    <w:pPr>
      <w:pStyle w:val="2"/>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12</w:t>
    </w:r>
    <w: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2812AF"/>
    <w:multiLevelType w:val="singleLevel"/>
    <w:tmpl w:val="982812AF"/>
    <w:lvl w:ilvl="0" w:tentative="0">
      <w:start w:val="2"/>
      <w:numFmt w:val="decimal"/>
      <w:suff w:val="nothing"/>
      <w:lvlText w:val="%1、"/>
      <w:lvlJc w:val="left"/>
    </w:lvl>
  </w:abstractNum>
  <w:abstractNum w:abstractNumId="1">
    <w:nsid w:val="06FFB2CB"/>
    <w:multiLevelType w:val="singleLevel"/>
    <w:tmpl w:val="06FFB2CB"/>
    <w:lvl w:ilvl="0" w:tentative="0">
      <w:start w:val="7"/>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bordersDoNotSurroundHeader w:val="0"/>
  <w:bordersDoNotSurroundFooter w:val="0"/>
  <w:doNotTrackMoves/>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71BA"/>
    <w:rsid w:val="000C7140"/>
    <w:rsid w:val="00323B29"/>
    <w:rsid w:val="0039059E"/>
    <w:rsid w:val="007F0341"/>
    <w:rsid w:val="009A521C"/>
    <w:rsid w:val="00D607DA"/>
    <w:rsid w:val="00DC6EE5"/>
    <w:rsid w:val="00EE71BA"/>
    <w:rsid w:val="00F867E4"/>
    <w:rsid w:val="04BC1DF4"/>
    <w:rsid w:val="051B1214"/>
    <w:rsid w:val="056D17C0"/>
    <w:rsid w:val="067A407E"/>
    <w:rsid w:val="0D7E064E"/>
    <w:rsid w:val="10295F50"/>
    <w:rsid w:val="1BAF4A8D"/>
    <w:rsid w:val="20792707"/>
    <w:rsid w:val="2D4F5278"/>
    <w:rsid w:val="2F964F8B"/>
    <w:rsid w:val="365775F0"/>
    <w:rsid w:val="379A17E0"/>
    <w:rsid w:val="3D0B7001"/>
    <w:rsid w:val="4086023A"/>
    <w:rsid w:val="52135846"/>
    <w:rsid w:val="555D22A8"/>
    <w:rsid w:val="58CB440C"/>
    <w:rsid w:val="592F74FC"/>
    <w:rsid w:val="5F0502CB"/>
    <w:rsid w:val="62307457"/>
    <w:rsid w:val="637C38A0"/>
    <w:rsid w:val="66D06A4F"/>
    <w:rsid w:val="6BA63673"/>
    <w:rsid w:val="7582278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15</Pages>
  <Words>1322</Words>
  <Characters>7536</Characters>
  <Lines>62</Lines>
  <Paragraphs>17</Paragraphs>
  <TotalTime>13</TotalTime>
  <ScaleCrop>false</ScaleCrop>
  <LinksUpToDate>false</LinksUpToDate>
  <CharactersWithSpaces>8841</CharactersWithSpaces>
  <Application>WPS Office_11.8.2.10972_F1E327BC-269C-435d-A152-05C5408002CA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Administrator</cp:lastModifiedBy>
  <cp:lastPrinted>2020-01-10T15:53:00Z</cp:lastPrinted>
  <dcterms:modified xsi:type="dcterms:W3CDTF">2026-05-24T03:08:38Z</dcterms:modified>
  <dc:title>o</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2052-11.8.2.10972</vt:lpwstr>
  </property>
  <property fmtid="{D5CDD505-2E9C-101B-9397-08002B2CF9AE}" pid="3" name="ICV">
    <vt:lpwstr>C3EA3CE5BE2B475F95F5A6E693E88D61</vt:lpwstr>
  </property>
</Properties>
</file>