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420.78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420.78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420.78</w:t>
            </w:r>
          </w:p>
        </w:tc>
        <w:tc>
          <w:tcPr>
            <w:tcW w:w="4535" w:type="dxa"/>
            <w:vAlign w:val="center"/>
          </w:tcPr>
          <w:p>
            <w:pPr>
              <w:pStyle w:val="15"/>
            </w:pPr>
            <w:r>
              <w:t>本年支出合计</w:t>
            </w:r>
          </w:p>
        </w:tc>
        <w:tc>
          <w:tcPr>
            <w:tcW w:w="2126" w:type="dxa"/>
            <w:vAlign w:val="center"/>
          </w:tcPr>
          <w:p>
            <w:pPr>
              <w:pStyle w:val="16"/>
            </w:pPr>
            <w:r>
              <w:t>420.78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420.78</w:t>
            </w:r>
          </w:p>
        </w:tc>
        <w:tc>
          <w:tcPr>
            <w:tcW w:w="4535" w:type="dxa"/>
            <w:vAlign w:val="center"/>
          </w:tcPr>
          <w:p>
            <w:pPr>
              <w:pStyle w:val="15"/>
            </w:pPr>
            <w:r>
              <w:t>支出总计</w:t>
            </w:r>
          </w:p>
        </w:tc>
        <w:tc>
          <w:tcPr>
            <w:tcW w:w="2126" w:type="dxa"/>
            <w:vAlign w:val="center"/>
          </w:tcPr>
          <w:p>
            <w:pPr>
              <w:pStyle w:val="16"/>
            </w:pPr>
            <w:r>
              <w:t>420.78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420.78</w:t>
            </w:r>
          </w:p>
        </w:tc>
        <w:tc>
          <w:tcPr>
            <w:tcW w:w="1134" w:type="dxa"/>
            <w:vAlign w:val="center"/>
          </w:tcPr>
          <w:p>
            <w:pPr>
              <w:pStyle w:val="16"/>
            </w:pPr>
            <w:r>
              <w:t>420.78</w:t>
            </w:r>
          </w:p>
        </w:tc>
        <w:tc>
          <w:tcPr>
            <w:tcW w:w="1134" w:type="dxa"/>
            <w:vAlign w:val="center"/>
          </w:tcPr>
          <w:p>
            <w:pPr>
              <w:pStyle w:val="16"/>
            </w:pPr>
            <w:r>
              <w:t>420.78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2050802</w:t>
            </w:r>
          </w:p>
        </w:tc>
        <w:tc>
          <w:tcPr>
            <w:tcW w:w="1559" w:type="dxa"/>
            <w:vAlign w:val="center"/>
          </w:tcPr>
          <w:p>
            <w:pPr>
              <w:pStyle w:val="13"/>
            </w:pPr>
            <w:r>
              <w:t>干部教育</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r>
              <w:t>420.78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420.78</w:t>
            </w:r>
          </w:p>
        </w:tc>
        <w:tc>
          <w:tcPr>
            <w:tcW w:w="1361" w:type="dxa"/>
            <w:vAlign w:val="center"/>
          </w:tcPr>
          <w:p>
            <w:pPr>
              <w:pStyle w:val="16"/>
            </w:pPr>
            <w:r>
              <w:t>420.78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420.78</w:t>
            </w:r>
          </w:p>
        </w:tc>
        <w:tc>
          <w:tcPr>
            <w:tcW w:w="1361" w:type="dxa"/>
            <w:vAlign w:val="center"/>
          </w:tcPr>
          <w:p>
            <w:pPr>
              <w:pStyle w:val="12"/>
            </w:pPr>
            <w:r>
              <w:t>420.78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420.78</w:t>
            </w:r>
          </w:p>
        </w:tc>
        <w:tc>
          <w:tcPr>
            <w:tcW w:w="1361" w:type="dxa"/>
            <w:vAlign w:val="center"/>
          </w:tcPr>
          <w:p>
            <w:pPr>
              <w:pStyle w:val="12"/>
            </w:pPr>
            <w:r>
              <w:t>420.78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2050802</w:t>
            </w:r>
          </w:p>
        </w:tc>
        <w:tc>
          <w:tcPr>
            <w:tcW w:w="4535" w:type="dxa"/>
            <w:vAlign w:val="center"/>
          </w:tcPr>
          <w:p>
            <w:pPr>
              <w:pStyle w:val="13"/>
            </w:pPr>
            <w:r>
              <w:t>干部教育</w:t>
            </w:r>
          </w:p>
        </w:tc>
        <w:tc>
          <w:tcPr>
            <w:tcW w:w="1361" w:type="dxa"/>
            <w:vAlign w:val="center"/>
          </w:tcPr>
          <w:p>
            <w:pPr>
              <w:pStyle w:val="12"/>
            </w:pPr>
            <w:r>
              <w:t>420.78</w:t>
            </w:r>
          </w:p>
        </w:tc>
        <w:tc>
          <w:tcPr>
            <w:tcW w:w="1361" w:type="dxa"/>
            <w:vAlign w:val="center"/>
          </w:tcPr>
          <w:p>
            <w:pPr>
              <w:pStyle w:val="12"/>
            </w:pPr>
            <w:r>
              <w:t>420.78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420.78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420.78</w:t>
            </w:r>
          </w:p>
        </w:tc>
        <w:tc>
          <w:tcPr>
            <w:tcW w:w="1474" w:type="dxa"/>
            <w:vAlign w:val="center"/>
          </w:tcPr>
          <w:p>
            <w:pPr>
              <w:pStyle w:val="12"/>
            </w:pPr>
            <w:r>
              <w:t>420.78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420.78</w:t>
            </w:r>
          </w:p>
        </w:tc>
        <w:tc>
          <w:tcPr>
            <w:tcW w:w="3402" w:type="dxa"/>
            <w:vAlign w:val="center"/>
          </w:tcPr>
          <w:p>
            <w:pPr>
              <w:pStyle w:val="15"/>
            </w:pPr>
            <w:r>
              <w:t>本年支出合计</w:t>
            </w:r>
          </w:p>
        </w:tc>
        <w:tc>
          <w:tcPr>
            <w:tcW w:w="1474" w:type="dxa"/>
            <w:vAlign w:val="center"/>
          </w:tcPr>
          <w:p>
            <w:pPr>
              <w:pStyle w:val="16"/>
            </w:pPr>
            <w:r>
              <w:t>420.78</w:t>
            </w:r>
          </w:p>
        </w:tc>
        <w:tc>
          <w:tcPr>
            <w:tcW w:w="1474" w:type="dxa"/>
            <w:vAlign w:val="center"/>
          </w:tcPr>
          <w:p>
            <w:pPr>
              <w:pStyle w:val="16"/>
            </w:pPr>
            <w:r>
              <w:t>420.78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420.78</w:t>
            </w:r>
          </w:p>
        </w:tc>
        <w:tc>
          <w:tcPr>
            <w:tcW w:w="3402" w:type="dxa"/>
            <w:vAlign w:val="center"/>
          </w:tcPr>
          <w:p>
            <w:pPr>
              <w:pStyle w:val="15"/>
            </w:pPr>
            <w:r>
              <w:t>支出总计</w:t>
            </w:r>
          </w:p>
        </w:tc>
        <w:tc>
          <w:tcPr>
            <w:tcW w:w="1474" w:type="dxa"/>
            <w:vAlign w:val="center"/>
          </w:tcPr>
          <w:p>
            <w:pPr>
              <w:pStyle w:val="16"/>
            </w:pPr>
            <w:r>
              <w:t>420.78</w:t>
            </w:r>
          </w:p>
        </w:tc>
        <w:tc>
          <w:tcPr>
            <w:tcW w:w="1474" w:type="dxa"/>
            <w:vAlign w:val="center"/>
          </w:tcPr>
          <w:p>
            <w:pPr>
              <w:pStyle w:val="16"/>
            </w:pPr>
            <w:r>
              <w:t>420.78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420.78</w:t>
            </w:r>
          </w:p>
        </w:tc>
        <w:tc>
          <w:tcPr>
            <w:tcW w:w="2551" w:type="dxa"/>
            <w:vAlign w:val="center"/>
          </w:tcPr>
          <w:p>
            <w:pPr>
              <w:pStyle w:val="16"/>
            </w:pPr>
            <w:r>
              <w:t>420.78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420.78</w:t>
            </w:r>
          </w:p>
        </w:tc>
        <w:tc>
          <w:tcPr>
            <w:tcW w:w="2551" w:type="dxa"/>
            <w:vAlign w:val="center"/>
          </w:tcPr>
          <w:p>
            <w:pPr>
              <w:pStyle w:val="12"/>
            </w:pPr>
            <w:r>
              <w:t>420.78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420.78</w:t>
            </w:r>
          </w:p>
        </w:tc>
        <w:tc>
          <w:tcPr>
            <w:tcW w:w="2551" w:type="dxa"/>
            <w:vAlign w:val="center"/>
          </w:tcPr>
          <w:p>
            <w:pPr>
              <w:pStyle w:val="12"/>
            </w:pPr>
            <w:r>
              <w:t>420.78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2050802</w:t>
            </w:r>
          </w:p>
        </w:tc>
        <w:tc>
          <w:tcPr>
            <w:tcW w:w="4535" w:type="dxa"/>
            <w:vAlign w:val="center"/>
          </w:tcPr>
          <w:p>
            <w:pPr>
              <w:pStyle w:val="13"/>
            </w:pPr>
            <w:r>
              <w:t>干部教育</w:t>
            </w:r>
          </w:p>
        </w:tc>
        <w:tc>
          <w:tcPr>
            <w:tcW w:w="2551" w:type="dxa"/>
            <w:vAlign w:val="center"/>
          </w:tcPr>
          <w:p>
            <w:pPr>
              <w:pStyle w:val="12"/>
            </w:pPr>
            <w:r>
              <w:t>420.78</w:t>
            </w:r>
          </w:p>
        </w:tc>
        <w:tc>
          <w:tcPr>
            <w:tcW w:w="2551" w:type="dxa"/>
            <w:vAlign w:val="center"/>
          </w:tcPr>
          <w:p>
            <w:pPr>
              <w:pStyle w:val="12"/>
            </w:pPr>
            <w:r>
              <w:t>420.78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420.78</w:t>
            </w:r>
          </w:p>
        </w:tc>
        <w:tc>
          <w:tcPr>
            <w:tcW w:w="2551" w:type="dxa"/>
            <w:vAlign w:val="center"/>
          </w:tcPr>
          <w:p>
            <w:pPr>
              <w:pStyle w:val="16"/>
            </w:pPr>
            <w:r>
              <w:t>392.53</w:t>
            </w:r>
          </w:p>
        </w:tc>
        <w:tc>
          <w:tcPr>
            <w:tcW w:w="2551" w:type="dxa"/>
            <w:vAlign w:val="center"/>
          </w:tcPr>
          <w:p>
            <w:pPr>
              <w:pStyle w:val="16"/>
            </w:pPr>
            <w: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323.26</w:t>
            </w:r>
          </w:p>
        </w:tc>
        <w:tc>
          <w:tcPr>
            <w:tcW w:w="2551" w:type="dxa"/>
            <w:vAlign w:val="center"/>
          </w:tcPr>
          <w:p>
            <w:pPr>
              <w:pStyle w:val="12"/>
            </w:pPr>
            <w:r>
              <w:t>323.26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130.77</w:t>
            </w:r>
          </w:p>
        </w:tc>
        <w:tc>
          <w:tcPr>
            <w:tcW w:w="2551" w:type="dxa"/>
            <w:vAlign w:val="center"/>
          </w:tcPr>
          <w:p>
            <w:pPr>
              <w:pStyle w:val="12"/>
            </w:pPr>
            <w:r>
              <w:t>130.77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36.78</w:t>
            </w:r>
          </w:p>
        </w:tc>
        <w:tc>
          <w:tcPr>
            <w:tcW w:w="2551" w:type="dxa"/>
            <w:vAlign w:val="center"/>
          </w:tcPr>
          <w:p>
            <w:pPr>
              <w:pStyle w:val="12"/>
            </w:pPr>
            <w:r>
              <w:t>36.78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25.93</w:t>
            </w:r>
          </w:p>
        </w:tc>
        <w:tc>
          <w:tcPr>
            <w:tcW w:w="2551" w:type="dxa"/>
            <w:vAlign w:val="center"/>
          </w:tcPr>
          <w:p>
            <w:pPr>
              <w:pStyle w:val="12"/>
            </w:pPr>
            <w:r>
              <w:t>25.93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39.60</w:t>
            </w:r>
          </w:p>
        </w:tc>
        <w:tc>
          <w:tcPr>
            <w:tcW w:w="2551" w:type="dxa"/>
            <w:vAlign w:val="center"/>
          </w:tcPr>
          <w:p>
            <w:pPr>
              <w:pStyle w:val="12"/>
            </w:pPr>
            <w:r>
              <w:t>39.60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30.04</w:t>
            </w:r>
          </w:p>
        </w:tc>
        <w:tc>
          <w:tcPr>
            <w:tcW w:w="2551" w:type="dxa"/>
            <w:vAlign w:val="center"/>
          </w:tcPr>
          <w:p>
            <w:pPr>
              <w:pStyle w:val="12"/>
            </w:pPr>
            <w:r>
              <w:t>30.04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13.94</w:t>
            </w:r>
          </w:p>
        </w:tc>
        <w:tc>
          <w:tcPr>
            <w:tcW w:w="2551" w:type="dxa"/>
            <w:vAlign w:val="center"/>
          </w:tcPr>
          <w:p>
            <w:pPr>
              <w:pStyle w:val="12"/>
            </w:pPr>
            <w:r>
              <w:t>13.94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1.44</w:t>
            </w:r>
          </w:p>
        </w:tc>
        <w:tc>
          <w:tcPr>
            <w:tcW w:w="2551" w:type="dxa"/>
            <w:vAlign w:val="center"/>
          </w:tcPr>
          <w:p>
            <w:pPr>
              <w:pStyle w:val="12"/>
            </w:pPr>
            <w:r>
              <w:t>1.44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26.76</w:t>
            </w:r>
          </w:p>
        </w:tc>
        <w:tc>
          <w:tcPr>
            <w:tcW w:w="2551" w:type="dxa"/>
            <w:vAlign w:val="center"/>
          </w:tcPr>
          <w:p>
            <w:pPr>
              <w:pStyle w:val="12"/>
            </w:pPr>
            <w:r>
              <w:t>26.76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28.25</w:t>
            </w:r>
          </w:p>
        </w:tc>
        <w:tc>
          <w:tcPr>
            <w:tcW w:w="2551" w:type="dxa"/>
            <w:vAlign w:val="center"/>
          </w:tcPr>
          <w:p>
            <w:pPr>
              <w:pStyle w:val="12"/>
            </w:pPr>
          </w:p>
        </w:tc>
        <w:tc>
          <w:tcPr>
            <w:tcW w:w="2551" w:type="dxa"/>
            <w:vAlign w:val="center"/>
          </w:tcPr>
          <w:p>
            <w:pPr>
              <w:pStyle w:val="12"/>
            </w:pPr>
            <w:r>
              <w:t>28.25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3.24</w:t>
            </w:r>
          </w:p>
        </w:tc>
        <w:tc>
          <w:tcPr>
            <w:tcW w:w="2551" w:type="dxa"/>
            <w:vAlign w:val="center"/>
          </w:tcPr>
          <w:p>
            <w:pPr>
              <w:pStyle w:val="12"/>
            </w:pPr>
          </w:p>
        </w:tc>
        <w:tc>
          <w:tcPr>
            <w:tcW w:w="2551" w:type="dxa"/>
            <w:vAlign w:val="center"/>
          </w:tcPr>
          <w:p>
            <w:pPr>
              <w:pStyle w:val="12"/>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2.42</w:t>
            </w:r>
          </w:p>
        </w:tc>
        <w:tc>
          <w:tcPr>
            <w:tcW w:w="2551" w:type="dxa"/>
            <w:vAlign w:val="center"/>
          </w:tcPr>
          <w:p>
            <w:pPr>
              <w:pStyle w:val="12"/>
            </w:pPr>
          </w:p>
        </w:tc>
        <w:tc>
          <w:tcPr>
            <w:tcW w:w="2551" w:type="dxa"/>
            <w:vAlign w:val="center"/>
          </w:tcPr>
          <w:p>
            <w:pPr>
              <w:pStyle w:val="12"/>
            </w:pPr>
            <w:r>
              <w:t>2.42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7.98</w:t>
            </w:r>
          </w:p>
        </w:tc>
        <w:tc>
          <w:tcPr>
            <w:tcW w:w="2551" w:type="dxa"/>
            <w:vAlign w:val="center"/>
          </w:tcPr>
          <w:p>
            <w:pPr>
              <w:pStyle w:val="12"/>
            </w:pPr>
          </w:p>
        </w:tc>
        <w:tc>
          <w:tcPr>
            <w:tcW w:w="2551" w:type="dxa"/>
            <w:vAlign w:val="center"/>
          </w:tcPr>
          <w:p>
            <w:pPr>
              <w:pStyle w:val="12"/>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7.11</w:t>
            </w:r>
          </w:p>
        </w:tc>
        <w:tc>
          <w:tcPr>
            <w:tcW w:w="2551" w:type="dxa"/>
            <w:vAlign w:val="center"/>
          </w:tcPr>
          <w:p>
            <w:pPr>
              <w:pStyle w:val="12"/>
            </w:pPr>
          </w:p>
        </w:tc>
        <w:tc>
          <w:tcPr>
            <w:tcW w:w="2551" w:type="dxa"/>
            <w:vAlign w:val="center"/>
          </w:tcPr>
          <w:p>
            <w:pPr>
              <w:pStyle w:val="12"/>
            </w:pPr>
            <w:r>
              <w:t>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69.27</w:t>
            </w:r>
          </w:p>
        </w:tc>
        <w:tc>
          <w:tcPr>
            <w:tcW w:w="2551" w:type="dxa"/>
            <w:vAlign w:val="center"/>
          </w:tcPr>
          <w:p>
            <w:pPr>
              <w:pStyle w:val="12"/>
            </w:pPr>
            <w:r>
              <w:t>69.27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68.20</w:t>
            </w:r>
          </w:p>
        </w:tc>
        <w:tc>
          <w:tcPr>
            <w:tcW w:w="2551" w:type="dxa"/>
            <w:vAlign w:val="center"/>
          </w:tcPr>
          <w:p>
            <w:pPr>
              <w:pStyle w:val="12"/>
            </w:pPr>
            <w:r>
              <w:t>68.20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1.07</w:t>
            </w:r>
          </w:p>
        </w:tc>
        <w:tc>
          <w:tcPr>
            <w:tcW w:w="2551" w:type="dxa"/>
            <w:vAlign w:val="center"/>
          </w:tcPr>
          <w:p>
            <w:pPr>
              <w:pStyle w:val="12"/>
            </w:pPr>
            <w:r>
              <w:t>1.07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中国共产党新乐市委员会党校2026年部门预算信息公开情况说明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中国共产党新乐市委员会党校2026年部门预算信息公开情况说明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按照《中华人民共和国预算法》、《地方预决算公开操作规程》和《关于进一步推进预算公开工作的实施意见》规定，现将中国共产党新乐市委员会党校2026年部门预算公开如下：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中国共产党新乐市委员会党校主要职责</w:t>
      </w:r>
    </w:p>
    <w:p>
      <w:pPr>
        <w:pStyle w:val="18"/>
      </w:pPr>
      <w:r>
        <w:t>1、培训教育 </w:t>
      </w:r>
    </w:p>
    <w:p>
      <w:pPr>
        <w:pStyle w:val="18"/>
      </w:pPr>
      <w:r>
        <w:t>根据市委、市政府有关要求，有计划地轮训和培训全市各级党政领导干部和理论骨干，负责对学员在党校学习期间的表现进行考核；受市委委托，举办科级领导干部进修班、轮训班和专题研讨班，深刻领会党的重大决策与部署；</w:t>
      </w:r>
    </w:p>
    <w:p>
      <w:pPr>
        <w:pStyle w:val="18"/>
      </w:pPr>
      <w:r>
        <w:t>2、组织培训班 </w:t>
      </w:r>
    </w:p>
    <w:p>
      <w:pPr>
        <w:pStyle w:val="18"/>
      </w:pPr>
      <w:r>
        <w:t>根据市委组织部的干训计划，培训、轮训领导干部和理论骨干；受市委、市政府及有关职能部门委托，举办各种专题培训、研讨班。</w:t>
      </w:r>
    </w:p>
    <w:p>
      <w:pPr>
        <w:pStyle w:val="18"/>
      </w:pPr>
      <w:r>
        <w:t>3、师资与学科建设</w:t>
      </w:r>
    </w:p>
    <w:p>
      <w:pPr>
        <w:pStyle w:val="18"/>
      </w:pPr>
      <w:r>
        <w:t>加强学科建设和学科培育，形成有党校特色的优势学科、重点学科和教学基地。</w:t>
      </w:r>
    </w:p>
    <w:p>
      <w:pPr>
        <w:pStyle w:val="18"/>
      </w:pPr>
      <w:r>
        <w:t xml:space="preserve">4、教学事务管理 </w:t>
      </w:r>
    </w:p>
    <w:p>
      <w:pPr>
        <w:pStyle w:val="18"/>
      </w:pPr>
      <w:r>
        <w:t>组织实施综合管理和后勤保障事务。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中国共产党新乐市委员会党校本级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按照预算管理有关规定，目前部门预算的编制实行综合预算管理，即全部收入和支出都反映在预算中。中国共产党新乐市委员会党校机关及所属事业单位的收支包含在部门预算中。</w:t>
      </w:r>
    </w:p>
    <w:p>
      <w:pPr>
        <w:pStyle w:val="19"/>
      </w:pPr>
      <w:r>
        <w:t>1、收入说明</w:t>
      </w:r>
    </w:p>
    <w:p>
      <w:pPr>
        <w:pStyle w:val="19"/>
      </w:pPr>
      <w:r>
        <w:t>反映本部门当年全部收入。2026年预算收入420.78万元，其中：一般公共预算收入420.78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新乐市委员会党校年度部门预算中支出预算的总体情况。2026年支出预算420.78万元，其中基本支出420.78万元，包括人员经费392.53万元和日常公用经费28.25万元；项目支出0.00万元，主要为2026年无项目支出；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420.78万元，较2025年预算增加75.32万元，其中：基本支出增加75.32万元，主要为一是人员增资，二是人员比上年增加3人，相应工资及各类保险增加。项目支出增加0.00万元，主要为2026年无项目支出。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2026年，我部门机关运行经费共计安排28.25万元，主要用于日常维修、办公用房水电费、办公用房取暖费、办公用房物业管理费等日常运行支出。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2026年，市委党校将坚持以习近平新时代中国特色社会主义思想为指导，深入贯彻落实《中国共产党党校（行政学院）工作条例》，紧紧围绕市委中心工作，聚焦主业、务实创新、担当作为，多措并举推动党校工作高质量发展。一是夯实“强校之基”，提升质量立校水平。坚党校作为党的政治学校，是培训党员干部的主阵地、主渠道，“党校姓党”是永恒不变的根本原则。市委党校将始终把政治引领贯穿办学治校全过程、各方面，聚焦为党育才、为党献策初心使命，以党的二十大精神和二十届历次全会精神为指导，以</w:t>
      </w:r>
      <w:r>
        <w:rPr>
          <w:rFonts w:hint="eastAsia"/>
          <w:lang w:eastAsia="zh-CN"/>
        </w:rPr>
        <w:t>习近平新时代中国特色社会主义思想</w:t>
      </w:r>
      <w:r>
        <w:t>为培训重点，强化党员干部政治教育，提升党员干部政治素质，推动各类干部教育培训入脑入心，走深走实。聚焦“为党育才”，干部教育培训提质增效。紧扣全市干部教育培训计划和干部专业化能力提升培训需求，将党性教育和理论教育放在主业主课地位，着力发挥主渠道、主阵地作用。一方面选派教师进修学习、集中学习、说课教研，提升教育培训水平；另一方面通过专题讲座、实践观摩、现场教学、案例分析、交流讨论等方式，有效调动学员学习的主动性和积极性。三是聚力“为党献策”，科研咨政成果丰硕。动贯彻习近平新时代中国特色社会主义思想和党的</w:t>
      </w:r>
      <w:r>
        <w:rPr>
          <w:rFonts w:hint="eastAsia"/>
          <w:lang w:eastAsia="zh-CN"/>
        </w:rPr>
        <w:t>二十大</w:t>
      </w:r>
      <w:r>
        <w:t>精神，始终坚持党校的科研工作与市委中心工作相结合，积极实施“科研兴校”战略，强化科研咨政导向，严格落实科研奖惩制度，做到“中心工作在哪里，研究就跟进到哪里”，推动科研咨政工作取得新成效。</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（一）培训教育</w:t>
      </w:r>
    </w:p>
    <w:p>
      <w:pPr>
        <w:pStyle w:val="23"/>
      </w:pPr>
      <w:r>
        <w:t>绩效目标：通过专家学者授课，开拓学员思路；通过现场教学、情景教学、案例教学，有效提高培训质量，提高学员解决实际问题的能力。</w:t>
      </w:r>
    </w:p>
    <w:p>
      <w:pPr>
        <w:pStyle w:val="23"/>
      </w:pPr>
      <w:r>
        <w:t>绩效指标：全年培训人数达到1500人次左右，培训工作完成率达到95%以上、学员报到率平均达到90%以上。教学质量平均评优率达到80%以上，受益单位覆盖全市85%以上单位。</w:t>
      </w:r>
    </w:p>
    <w:p>
      <w:pPr>
        <w:pStyle w:val="23"/>
      </w:pPr>
      <w:r>
        <w:t>（二）理论研究</w:t>
      </w:r>
    </w:p>
    <w:p>
      <w:pPr>
        <w:pStyle w:val="23"/>
      </w:pPr>
      <w:r>
        <w:t>绩效目标：立项高质量科研课题，发表高质量理论研究成果。</w:t>
      </w:r>
    </w:p>
    <w:p>
      <w:pPr>
        <w:pStyle w:val="23"/>
      </w:pPr>
      <w:r>
        <w:t>绩效指标：做好课题申报组织工作，提高申报质量，争取年度立项各类科研项目3项，并按立项要求做好课题研究工作。累计撰写各类理论和调研文章20篇左右，发挥思想引领和理论建设作用。</w:t>
      </w:r>
    </w:p>
    <w:p>
      <w:pPr>
        <w:pStyle w:val="23"/>
      </w:pPr>
      <w:r>
        <w:t>（三）教学事务管理</w:t>
      </w:r>
    </w:p>
    <w:p>
      <w:pPr>
        <w:pStyle w:val="23"/>
      </w:pPr>
      <w:r>
        <w:t>绩效目标：通过严格的行政后勤管理，为学员培训和教学科研活动创造良好的硬件环境和后勤保障。</w:t>
      </w:r>
    </w:p>
    <w:p>
      <w:pPr>
        <w:pStyle w:val="23"/>
      </w:pPr>
      <w:r>
        <w:t>绩效指标：做好后勤、保障和设备维护，包括水、电、暖维修维护，后勤保障事务完成率不低于90%。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中国共产党新乐市委员会党校（含所属单位）上年末固定资产金额为15.59万元（详见下表）。本年度拟购置固定资产总额为0.00万元，已按要求列入政府采购预算，详见政府采购预算表。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281中国共产党新乐市委员会党校</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48</w:t>
            </w:r>
          </w:p>
        </w:tc>
        <w:tc>
          <w:tcPr>
            <w:tcW w:w="2835" w:type="dxa"/>
            <w:vAlign w:val="center"/>
          </w:tcPr>
          <w:p>
            <w:pPr>
              <w:pStyle w:val="12"/>
            </w:pPr>
            <w:r>
              <w:t>15.59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BD60945"/>
    <w:rsid w:val="4D442CF7"/>
    <w:rsid w:val="5F7C7B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TotalTime>0</TotalTime>
  <ScaleCrop>false</ScaleCrop>
  <LinksUpToDate>false</LinksUpToDate>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2026-03-05T15:12:00Z</dcterms:created>
  <dc:creator>1</dc:creator>
  <cp:lastModifiedBy>Administrator</cp:lastModifiedBy>
  <dcterms:modified xsi:type="dcterms:W3CDTF">2026-05-28T05:22:00Z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01985B2801F8475EADAF3BD10207C9A4</vt:lpwstr>
  </property>
</Properties>
</file>