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324新乐市自然资源和规划局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2924.50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6861.84</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522.30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6861.84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2019.53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9786.34</w:t>
            </w:r>
          </w:p>
        </w:tc>
        <w:tc>
          <w:tcPr>
            <w:tcW w:w="4535" w:type="dxa"/>
            <w:vAlign w:val="center"/>
          </w:tcPr>
          <w:p>
            <w:pPr>
              <w:pStyle w:val="15"/>
            </w:pPr>
            <w:r>
              <w:t>本年支出合计</w:t>
            </w:r>
          </w:p>
        </w:tc>
        <w:tc>
          <w:tcPr>
            <w:tcW w:w="2126" w:type="dxa"/>
            <w:vAlign w:val="center"/>
          </w:tcPr>
          <w:p>
            <w:pPr>
              <w:pStyle w:val="16"/>
            </w:pPr>
            <w:r>
              <w:t>9786.34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9786.34</w:t>
            </w:r>
          </w:p>
        </w:tc>
        <w:tc>
          <w:tcPr>
            <w:tcW w:w="4535" w:type="dxa"/>
            <w:vAlign w:val="center"/>
          </w:tcPr>
          <w:p>
            <w:pPr>
              <w:pStyle w:val="15"/>
            </w:pPr>
            <w:r>
              <w:t>支出总计</w:t>
            </w:r>
          </w:p>
        </w:tc>
        <w:tc>
          <w:tcPr>
            <w:tcW w:w="2126" w:type="dxa"/>
            <w:vAlign w:val="center"/>
          </w:tcPr>
          <w:p>
            <w:pPr>
              <w:pStyle w:val="16"/>
            </w:pPr>
            <w:r>
              <w:t>9786.34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324新乐市自然资源和规划局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9786.34</w:t>
            </w:r>
          </w:p>
        </w:tc>
        <w:tc>
          <w:tcPr>
            <w:tcW w:w="1134" w:type="dxa"/>
            <w:vAlign w:val="center"/>
          </w:tcPr>
          <w:p>
            <w:pPr>
              <w:pStyle w:val="16"/>
            </w:pPr>
            <w:r>
              <w:t>9786.34</w:t>
            </w:r>
          </w:p>
        </w:tc>
        <w:tc>
          <w:tcPr>
            <w:tcW w:w="1134" w:type="dxa"/>
            <w:vAlign w:val="center"/>
          </w:tcPr>
          <w:p>
            <w:pPr>
              <w:pStyle w:val="16"/>
            </w:pPr>
            <w:r>
              <w:t>9786.34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0.45</w:t>
            </w:r>
          </w:p>
        </w:tc>
        <w:tc>
          <w:tcPr>
            <w:tcW w:w="1134" w:type="dxa"/>
            <w:vAlign w:val="center"/>
          </w:tcPr>
          <w:p>
            <w:pPr>
              <w:pStyle w:val="12"/>
            </w:pPr>
            <w:r>
              <w:t>0.45</w:t>
            </w:r>
          </w:p>
        </w:tc>
        <w:tc>
          <w:tcPr>
            <w:tcW w:w="1134" w:type="dxa"/>
            <w:vAlign w:val="center"/>
          </w:tcPr>
          <w:p>
            <w:pPr>
              <w:pStyle w:val="12"/>
            </w:pPr>
            <w:r>
              <w:t>0.45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0.45</w:t>
            </w:r>
          </w:p>
        </w:tc>
        <w:tc>
          <w:tcPr>
            <w:tcW w:w="1134" w:type="dxa"/>
            <w:vAlign w:val="center"/>
          </w:tcPr>
          <w:p>
            <w:pPr>
              <w:pStyle w:val="12"/>
            </w:pPr>
            <w:r>
              <w:t>0.45</w:t>
            </w:r>
          </w:p>
        </w:tc>
        <w:tc>
          <w:tcPr>
            <w:tcW w:w="1134" w:type="dxa"/>
            <w:vAlign w:val="center"/>
          </w:tcPr>
          <w:p>
            <w:pPr>
              <w:pStyle w:val="12"/>
            </w:pPr>
            <w:r>
              <w:t>0.45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2050803</w:t>
            </w:r>
          </w:p>
        </w:tc>
        <w:tc>
          <w:tcPr>
            <w:tcW w:w="1559" w:type="dxa"/>
            <w:vAlign w:val="center"/>
          </w:tcPr>
          <w:p>
            <w:pPr>
              <w:pStyle w:val="13"/>
            </w:pPr>
            <w:r>
              <w:t>培训支出</w:t>
            </w:r>
          </w:p>
        </w:tc>
        <w:tc>
          <w:tcPr>
            <w:tcW w:w="1134" w:type="dxa"/>
            <w:vAlign w:val="center"/>
          </w:tcPr>
          <w:p>
            <w:pPr>
              <w:pStyle w:val="12"/>
            </w:pPr>
            <w:r>
              <w:t>0.45</w:t>
            </w:r>
          </w:p>
        </w:tc>
        <w:tc>
          <w:tcPr>
            <w:tcW w:w="1134" w:type="dxa"/>
            <w:vAlign w:val="center"/>
          </w:tcPr>
          <w:p>
            <w:pPr>
              <w:pStyle w:val="12"/>
            </w:pPr>
            <w:r>
              <w:t>0.45</w:t>
            </w:r>
          </w:p>
        </w:tc>
        <w:tc>
          <w:tcPr>
            <w:tcW w:w="1134" w:type="dxa"/>
            <w:vAlign w:val="center"/>
          </w:tcPr>
          <w:p>
            <w:pPr>
              <w:pStyle w:val="12"/>
            </w:pPr>
            <w:r>
              <w:t>0.45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522.30</w:t>
            </w:r>
          </w:p>
        </w:tc>
        <w:tc>
          <w:tcPr>
            <w:tcW w:w="1134" w:type="dxa"/>
            <w:vAlign w:val="center"/>
          </w:tcPr>
          <w:p>
            <w:pPr>
              <w:pStyle w:val="12"/>
            </w:pPr>
            <w:r>
              <w:t>522.30</w:t>
            </w:r>
          </w:p>
        </w:tc>
        <w:tc>
          <w:tcPr>
            <w:tcW w:w="1134" w:type="dxa"/>
            <w:vAlign w:val="center"/>
          </w:tcPr>
          <w:p>
            <w:pPr>
              <w:pStyle w:val="12"/>
            </w:pPr>
            <w:r>
              <w:t>522.30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499.87</w:t>
            </w:r>
          </w:p>
        </w:tc>
        <w:tc>
          <w:tcPr>
            <w:tcW w:w="1134" w:type="dxa"/>
            <w:vAlign w:val="center"/>
          </w:tcPr>
          <w:p>
            <w:pPr>
              <w:pStyle w:val="12"/>
            </w:pPr>
            <w:r>
              <w:t>499.87</w:t>
            </w:r>
          </w:p>
        </w:tc>
        <w:tc>
          <w:tcPr>
            <w:tcW w:w="1134" w:type="dxa"/>
            <w:vAlign w:val="center"/>
          </w:tcPr>
          <w:p>
            <w:pPr>
              <w:pStyle w:val="12"/>
            </w:pPr>
            <w:r>
              <w:t>499.87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173.47</w:t>
            </w:r>
          </w:p>
        </w:tc>
        <w:tc>
          <w:tcPr>
            <w:tcW w:w="1134" w:type="dxa"/>
            <w:vAlign w:val="center"/>
          </w:tcPr>
          <w:p>
            <w:pPr>
              <w:pStyle w:val="12"/>
            </w:pPr>
            <w:r>
              <w:t>173.47</w:t>
            </w:r>
          </w:p>
        </w:tc>
        <w:tc>
          <w:tcPr>
            <w:tcW w:w="1134" w:type="dxa"/>
            <w:vAlign w:val="center"/>
          </w:tcPr>
          <w:p>
            <w:pPr>
              <w:pStyle w:val="12"/>
            </w:pPr>
            <w:r>
              <w:t>173.47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235.40</w:t>
            </w:r>
          </w:p>
        </w:tc>
        <w:tc>
          <w:tcPr>
            <w:tcW w:w="1134" w:type="dxa"/>
            <w:vAlign w:val="center"/>
          </w:tcPr>
          <w:p>
            <w:pPr>
              <w:pStyle w:val="12"/>
            </w:pPr>
            <w:r>
              <w:t>235.40</w:t>
            </w:r>
          </w:p>
        </w:tc>
        <w:tc>
          <w:tcPr>
            <w:tcW w:w="1134" w:type="dxa"/>
            <w:vAlign w:val="center"/>
          </w:tcPr>
          <w:p>
            <w:pPr>
              <w:pStyle w:val="12"/>
            </w:pPr>
            <w:r>
              <w:t>235.40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91.00</w:t>
            </w:r>
          </w:p>
        </w:tc>
        <w:tc>
          <w:tcPr>
            <w:tcW w:w="1134" w:type="dxa"/>
            <w:vAlign w:val="center"/>
          </w:tcPr>
          <w:p>
            <w:pPr>
              <w:pStyle w:val="12"/>
            </w:pPr>
            <w:r>
              <w:t>91.00</w:t>
            </w:r>
          </w:p>
        </w:tc>
        <w:tc>
          <w:tcPr>
            <w:tcW w:w="1134" w:type="dxa"/>
            <w:vAlign w:val="center"/>
          </w:tcPr>
          <w:p>
            <w:pPr>
              <w:pStyle w:val="12"/>
            </w:pPr>
            <w:r>
              <w:t>91.00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6.43</w:t>
            </w:r>
          </w:p>
        </w:tc>
        <w:tc>
          <w:tcPr>
            <w:tcW w:w="1134" w:type="dxa"/>
            <w:vAlign w:val="center"/>
          </w:tcPr>
          <w:p>
            <w:pPr>
              <w:pStyle w:val="12"/>
            </w:pPr>
            <w:r>
              <w:t>6.43</w:t>
            </w:r>
          </w:p>
        </w:tc>
        <w:tc>
          <w:tcPr>
            <w:tcW w:w="1134" w:type="dxa"/>
            <w:vAlign w:val="center"/>
          </w:tcPr>
          <w:p>
            <w:pPr>
              <w:pStyle w:val="12"/>
            </w:pPr>
            <w:r>
              <w:t>6.43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6.43</w:t>
            </w:r>
          </w:p>
        </w:tc>
        <w:tc>
          <w:tcPr>
            <w:tcW w:w="1134" w:type="dxa"/>
            <w:vAlign w:val="center"/>
          </w:tcPr>
          <w:p>
            <w:pPr>
              <w:pStyle w:val="12"/>
            </w:pPr>
            <w:r>
              <w:t>6.43</w:t>
            </w:r>
          </w:p>
        </w:tc>
        <w:tc>
          <w:tcPr>
            <w:tcW w:w="1134" w:type="dxa"/>
            <w:vAlign w:val="center"/>
          </w:tcPr>
          <w:p>
            <w:pPr>
              <w:pStyle w:val="12"/>
            </w:pPr>
            <w:r>
              <w:t>6.43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112.90</w:t>
            </w:r>
          </w:p>
        </w:tc>
        <w:tc>
          <w:tcPr>
            <w:tcW w:w="1134" w:type="dxa"/>
            <w:vAlign w:val="center"/>
          </w:tcPr>
          <w:p>
            <w:pPr>
              <w:pStyle w:val="12"/>
            </w:pPr>
            <w:r>
              <w:t>112.90</w:t>
            </w:r>
          </w:p>
        </w:tc>
        <w:tc>
          <w:tcPr>
            <w:tcW w:w="1134" w:type="dxa"/>
            <w:vAlign w:val="center"/>
          </w:tcPr>
          <w:p>
            <w:pPr>
              <w:pStyle w:val="12"/>
            </w:pPr>
            <w:r>
              <w:t>112.90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112.90</w:t>
            </w:r>
          </w:p>
        </w:tc>
        <w:tc>
          <w:tcPr>
            <w:tcW w:w="1134" w:type="dxa"/>
            <w:vAlign w:val="center"/>
          </w:tcPr>
          <w:p>
            <w:pPr>
              <w:pStyle w:val="12"/>
            </w:pPr>
            <w:r>
              <w:t>112.90</w:t>
            </w:r>
          </w:p>
        </w:tc>
        <w:tc>
          <w:tcPr>
            <w:tcW w:w="1134" w:type="dxa"/>
            <w:vAlign w:val="center"/>
          </w:tcPr>
          <w:p>
            <w:pPr>
              <w:pStyle w:val="12"/>
            </w:pPr>
            <w:r>
              <w:t>112.90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112.90</w:t>
            </w:r>
          </w:p>
        </w:tc>
        <w:tc>
          <w:tcPr>
            <w:tcW w:w="1134" w:type="dxa"/>
            <w:vAlign w:val="center"/>
          </w:tcPr>
          <w:p>
            <w:pPr>
              <w:pStyle w:val="12"/>
            </w:pPr>
            <w:r>
              <w:t>112.90</w:t>
            </w:r>
          </w:p>
        </w:tc>
        <w:tc>
          <w:tcPr>
            <w:tcW w:w="1134" w:type="dxa"/>
            <w:vAlign w:val="center"/>
          </w:tcPr>
          <w:p>
            <w:pPr>
              <w:pStyle w:val="12"/>
            </w:pPr>
            <w:r>
              <w:t>112.90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6861.84</w:t>
            </w:r>
          </w:p>
        </w:tc>
        <w:tc>
          <w:tcPr>
            <w:tcW w:w="1134" w:type="dxa"/>
            <w:vAlign w:val="center"/>
          </w:tcPr>
          <w:p>
            <w:pPr>
              <w:pStyle w:val="12"/>
            </w:pPr>
            <w:r>
              <w:t>6861.84</w:t>
            </w:r>
          </w:p>
        </w:tc>
        <w:tc>
          <w:tcPr>
            <w:tcW w:w="1134" w:type="dxa"/>
            <w:vAlign w:val="center"/>
          </w:tcPr>
          <w:p>
            <w:pPr>
              <w:pStyle w:val="12"/>
            </w:pPr>
            <w:r>
              <w:t>6861.84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6861.84</w:t>
            </w:r>
          </w:p>
        </w:tc>
        <w:tc>
          <w:tcPr>
            <w:tcW w:w="1134" w:type="dxa"/>
            <w:vAlign w:val="center"/>
          </w:tcPr>
          <w:p>
            <w:pPr>
              <w:pStyle w:val="12"/>
            </w:pPr>
            <w:r>
              <w:t>6861.84</w:t>
            </w:r>
          </w:p>
        </w:tc>
        <w:tc>
          <w:tcPr>
            <w:tcW w:w="1134" w:type="dxa"/>
            <w:vAlign w:val="center"/>
          </w:tcPr>
          <w:p>
            <w:pPr>
              <w:pStyle w:val="12"/>
            </w:pPr>
            <w:r>
              <w:t>6861.84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2120805</w:t>
            </w:r>
          </w:p>
        </w:tc>
        <w:tc>
          <w:tcPr>
            <w:tcW w:w="1559" w:type="dxa"/>
            <w:vAlign w:val="center"/>
          </w:tcPr>
          <w:p>
            <w:pPr>
              <w:pStyle w:val="13"/>
            </w:pPr>
            <w:r>
              <w:t>补助被征地农民支出</w:t>
            </w:r>
          </w:p>
        </w:tc>
        <w:tc>
          <w:tcPr>
            <w:tcW w:w="1134" w:type="dxa"/>
            <w:vAlign w:val="center"/>
          </w:tcPr>
          <w:p>
            <w:pPr>
              <w:pStyle w:val="12"/>
            </w:pPr>
            <w:r>
              <w:t>1896.05</w:t>
            </w:r>
          </w:p>
        </w:tc>
        <w:tc>
          <w:tcPr>
            <w:tcW w:w="1134" w:type="dxa"/>
            <w:vAlign w:val="center"/>
          </w:tcPr>
          <w:p>
            <w:pPr>
              <w:pStyle w:val="12"/>
            </w:pPr>
            <w:r>
              <w:t>1896.05</w:t>
            </w:r>
          </w:p>
        </w:tc>
        <w:tc>
          <w:tcPr>
            <w:tcW w:w="1134" w:type="dxa"/>
            <w:vAlign w:val="center"/>
          </w:tcPr>
          <w:p>
            <w:pPr>
              <w:pStyle w:val="12"/>
            </w:pPr>
            <w:r>
              <w:t>1896.05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2120814</w:t>
            </w:r>
          </w:p>
        </w:tc>
        <w:tc>
          <w:tcPr>
            <w:tcW w:w="1559" w:type="dxa"/>
            <w:vAlign w:val="center"/>
          </w:tcPr>
          <w:p>
            <w:pPr>
              <w:pStyle w:val="13"/>
            </w:pPr>
            <w:r>
              <w:t>农业生产发展支出</w:t>
            </w:r>
          </w:p>
        </w:tc>
        <w:tc>
          <w:tcPr>
            <w:tcW w:w="1134" w:type="dxa"/>
            <w:vAlign w:val="center"/>
          </w:tcPr>
          <w:p>
            <w:pPr>
              <w:pStyle w:val="12"/>
            </w:pPr>
            <w:r>
              <w:t>4000.00</w:t>
            </w:r>
          </w:p>
        </w:tc>
        <w:tc>
          <w:tcPr>
            <w:tcW w:w="1134" w:type="dxa"/>
            <w:vAlign w:val="center"/>
          </w:tcPr>
          <w:p>
            <w:pPr>
              <w:pStyle w:val="12"/>
            </w:pPr>
            <w:r>
              <w:t>4000.00</w:t>
            </w:r>
          </w:p>
        </w:tc>
        <w:tc>
          <w:tcPr>
            <w:tcW w:w="1134" w:type="dxa"/>
            <w:vAlign w:val="center"/>
          </w:tcPr>
          <w:p>
            <w:pPr>
              <w:pStyle w:val="12"/>
            </w:pPr>
            <w:r>
              <w:t>4000.00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965.79</w:t>
            </w:r>
          </w:p>
        </w:tc>
        <w:tc>
          <w:tcPr>
            <w:tcW w:w="1134" w:type="dxa"/>
            <w:vAlign w:val="center"/>
          </w:tcPr>
          <w:p>
            <w:pPr>
              <w:pStyle w:val="12"/>
            </w:pPr>
            <w:r>
              <w:t>965.79</w:t>
            </w:r>
          </w:p>
        </w:tc>
        <w:tc>
          <w:tcPr>
            <w:tcW w:w="1134" w:type="dxa"/>
            <w:vAlign w:val="center"/>
          </w:tcPr>
          <w:p>
            <w:pPr>
              <w:pStyle w:val="12"/>
            </w:pPr>
            <w:r>
              <w:t>965.79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69.32</w:t>
            </w:r>
          </w:p>
        </w:tc>
        <w:tc>
          <w:tcPr>
            <w:tcW w:w="1134" w:type="dxa"/>
            <w:vAlign w:val="center"/>
          </w:tcPr>
          <w:p>
            <w:pPr>
              <w:pStyle w:val="12"/>
            </w:pPr>
            <w:r>
              <w:t>69.32</w:t>
            </w:r>
          </w:p>
        </w:tc>
        <w:tc>
          <w:tcPr>
            <w:tcW w:w="1134" w:type="dxa"/>
            <w:vAlign w:val="center"/>
          </w:tcPr>
          <w:p>
            <w:pPr>
              <w:pStyle w:val="12"/>
            </w:pPr>
            <w:r>
              <w:t>69.32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69.32</w:t>
            </w:r>
          </w:p>
        </w:tc>
        <w:tc>
          <w:tcPr>
            <w:tcW w:w="1134" w:type="dxa"/>
            <w:vAlign w:val="center"/>
          </w:tcPr>
          <w:p>
            <w:pPr>
              <w:pStyle w:val="12"/>
            </w:pPr>
            <w:r>
              <w:t>69.32</w:t>
            </w:r>
          </w:p>
        </w:tc>
        <w:tc>
          <w:tcPr>
            <w:tcW w:w="1134" w:type="dxa"/>
            <w:vAlign w:val="center"/>
          </w:tcPr>
          <w:p>
            <w:pPr>
              <w:pStyle w:val="12"/>
            </w:pPr>
            <w:r>
              <w:t>69.32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2130205</w:t>
            </w:r>
          </w:p>
        </w:tc>
        <w:tc>
          <w:tcPr>
            <w:tcW w:w="1559" w:type="dxa"/>
            <w:vAlign w:val="center"/>
          </w:tcPr>
          <w:p>
            <w:pPr>
              <w:pStyle w:val="13"/>
            </w:pPr>
            <w:r>
              <w:t>森林资源培育</w:t>
            </w:r>
          </w:p>
        </w:tc>
        <w:tc>
          <w:tcPr>
            <w:tcW w:w="1134" w:type="dxa"/>
            <w:vAlign w:val="center"/>
          </w:tcPr>
          <w:p>
            <w:pPr>
              <w:pStyle w:val="12"/>
            </w:pPr>
            <w:r>
              <w:t>51.57</w:t>
            </w:r>
          </w:p>
        </w:tc>
        <w:tc>
          <w:tcPr>
            <w:tcW w:w="1134" w:type="dxa"/>
            <w:vAlign w:val="center"/>
          </w:tcPr>
          <w:p>
            <w:pPr>
              <w:pStyle w:val="12"/>
            </w:pPr>
            <w:r>
              <w:t>51.57</w:t>
            </w:r>
          </w:p>
        </w:tc>
        <w:tc>
          <w:tcPr>
            <w:tcW w:w="1134" w:type="dxa"/>
            <w:vAlign w:val="center"/>
          </w:tcPr>
          <w:p>
            <w:pPr>
              <w:pStyle w:val="12"/>
            </w:pPr>
            <w:r>
              <w:t>51.57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2130299</w:t>
            </w:r>
          </w:p>
        </w:tc>
        <w:tc>
          <w:tcPr>
            <w:tcW w:w="1559" w:type="dxa"/>
            <w:vAlign w:val="center"/>
          </w:tcPr>
          <w:p>
            <w:pPr>
              <w:pStyle w:val="13"/>
            </w:pPr>
            <w:r>
              <w:t>其他林业和草原支出</w:t>
            </w:r>
          </w:p>
        </w:tc>
        <w:tc>
          <w:tcPr>
            <w:tcW w:w="1134" w:type="dxa"/>
            <w:vAlign w:val="center"/>
          </w:tcPr>
          <w:p>
            <w:pPr>
              <w:pStyle w:val="12"/>
            </w:pPr>
            <w:r>
              <w:t>2.75</w:t>
            </w:r>
          </w:p>
        </w:tc>
        <w:tc>
          <w:tcPr>
            <w:tcW w:w="1134" w:type="dxa"/>
            <w:vAlign w:val="center"/>
          </w:tcPr>
          <w:p>
            <w:pPr>
              <w:pStyle w:val="12"/>
            </w:pPr>
            <w:r>
              <w:t>2.75</w:t>
            </w:r>
          </w:p>
        </w:tc>
        <w:tc>
          <w:tcPr>
            <w:tcW w:w="1134" w:type="dxa"/>
            <w:vAlign w:val="center"/>
          </w:tcPr>
          <w:p>
            <w:pPr>
              <w:pStyle w:val="12"/>
            </w:pPr>
            <w:r>
              <w:t>2.75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220</w:t>
            </w:r>
          </w:p>
        </w:tc>
        <w:tc>
          <w:tcPr>
            <w:tcW w:w="1559" w:type="dxa"/>
            <w:vAlign w:val="center"/>
          </w:tcPr>
          <w:p>
            <w:pPr>
              <w:pStyle w:val="13"/>
            </w:pPr>
            <w:r>
              <w:t>自然资源海洋气象等支出</w:t>
            </w:r>
          </w:p>
        </w:tc>
        <w:tc>
          <w:tcPr>
            <w:tcW w:w="1134" w:type="dxa"/>
            <w:vAlign w:val="center"/>
          </w:tcPr>
          <w:p>
            <w:pPr>
              <w:pStyle w:val="12"/>
            </w:pPr>
            <w:r>
              <w:t>2019.53</w:t>
            </w:r>
          </w:p>
        </w:tc>
        <w:tc>
          <w:tcPr>
            <w:tcW w:w="1134" w:type="dxa"/>
            <w:vAlign w:val="center"/>
          </w:tcPr>
          <w:p>
            <w:pPr>
              <w:pStyle w:val="12"/>
            </w:pPr>
            <w:r>
              <w:t>2019.53</w:t>
            </w:r>
          </w:p>
        </w:tc>
        <w:tc>
          <w:tcPr>
            <w:tcW w:w="1134" w:type="dxa"/>
            <w:vAlign w:val="center"/>
          </w:tcPr>
          <w:p>
            <w:pPr>
              <w:pStyle w:val="12"/>
            </w:pPr>
            <w:r>
              <w:t>2019.53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22001</w:t>
            </w:r>
          </w:p>
        </w:tc>
        <w:tc>
          <w:tcPr>
            <w:tcW w:w="1559" w:type="dxa"/>
            <w:vAlign w:val="center"/>
          </w:tcPr>
          <w:p>
            <w:pPr>
              <w:pStyle w:val="13"/>
            </w:pPr>
            <w:r>
              <w:t>自然资源事务</w:t>
            </w:r>
          </w:p>
        </w:tc>
        <w:tc>
          <w:tcPr>
            <w:tcW w:w="1134" w:type="dxa"/>
            <w:vAlign w:val="center"/>
          </w:tcPr>
          <w:p>
            <w:pPr>
              <w:pStyle w:val="12"/>
            </w:pPr>
            <w:r>
              <w:t>2019.53</w:t>
            </w:r>
          </w:p>
        </w:tc>
        <w:tc>
          <w:tcPr>
            <w:tcW w:w="1134" w:type="dxa"/>
            <w:vAlign w:val="center"/>
          </w:tcPr>
          <w:p>
            <w:pPr>
              <w:pStyle w:val="12"/>
            </w:pPr>
            <w:r>
              <w:t>2019.53</w:t>
            </w:r>
          </w:p>
        </w:tc>
        <w:tc>
          <w:tcPr>
            <w:tcW w:w="1134" w:type="dxa"/>
            <w:vAlign w:val="center"/>
          </w:tcPr>
          <w:p>
            <w:pPr>
              <w:pStyle w:val="12"/>
            </w:pPr>
            <w:r>
              <w:t>2019.53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2200101</w:t>
            </w:r>
          </w:p>
        </w:tc>
        <w:tc>
          <w:tcPr>
            <w:tcW w:w="1559" w:type="dxa"/>
            <w:vAlign w:val="center"/>
          </w:tcPr>
          <w:p>
            <w:pPr>
              <w:pStyle w:val="13"/>
            </w:pPr>
            <w:r>
              <w:t>行政运行</w:t>
            </w:r>
          </w:p>
        </w:tc>
        <w:tc>
          <w:tcPr>
            <w:tcW w:w="1134" w:type="dxa"/>
            <w:vAlign w:val="center"/>
          </w:tcPr>
          <w:p>
            <w:pPr>
              <w:pStyle w:val="12"/>
            </w:pPr>
            <w:r>
              <w:t>1821.53</w:t>
            </w:r>
          </w:p>
        </w:tc>
        <w:tc>
          <w:tcPr>
            <w:tcW w:w="1134" w:type="dxa"/>
            <w:vAlign w:val="center"/>
          </w:tcPr>
          <w:p>
            <w:pPr>
              <w:pStyle w:val="12"/>
            </w:pPr>
            <w:r>
              <w:t>1821.53</w:t>
            </w:r>
          </w:p>
        </w:tc>
        <w:tc>
          <w:tcPr>
            <w:tcW w:w="1134" w:type="dxa"/>
            <w:vAlign w:val="center"/>
          </w:tcPr>
          <w:p>
            <w:pPr>
              <w:pStyle w:val="12"/>
            </w:pPr>
            <w:r>
              <w:t>1821.53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2200106</w:t>
            </w:r>
          </w:p>
        </w:tc>
        <w:tc>
          <w:tcPr>
            <w:tcW w:w="1559" w:type="dxa"/>
            <w:vAlign w:val="center"/>
          </w:tcPr>
          <w:p>
            <w:pPr>
              <w:pStyle w:val="13"/>
            </w:pPr>
            <w:r>
              <w:t>自然资源利用与保护</w:t>
            </w:r>
          </w:p>
        </w:tc>
        <w:tc>
          <w:tcPr>
            <w:tcW w:w="1134" w:type="dxa"/>
            <w:vAlign w:val="center"/>
          </w:tcPr>
          <w:p>
            <w:pPr>
              <w:pStyle w:val="12"/>
            </w:pPr>
            <w:r>
              <w:t>198.00</w:t>
            </w:r>
          </w:p>
        </w:tc>
        <w:tc>
          <w:tcPr>
            <w:tcW w:w="1134" w:type="dxa"/>
            <w:vAlign w:val="center"/>
          </w:tcPr>
          <w:p>
            <w:pPr>
              <w:pStyle w:val="12"/>
            </w:pPr>
            <w:r>
              <w:t>198.00</w:t>
            </w:r>
          </w:p>
        </w:tc>
        <w:tc>
          <w:tcPr>
            <w:tcW w:w="1134" w:type="dxa"/>
            <w:vAlign w:val="center"/>
          </w:tcPr>
          <w:p>
            <w:pPr>
              <w:pStyle w:val="12"/>
            </w:pPr>
            <w:r>
              <w:t>198.00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324新乐市自然资源和规划局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9786.34</w:t>
            </w:r>
          </w:p>
        </w:tc>
        <w:tc>
          <w:tcPr>
            <w:tcW w:w="1361" w:type="dxa"/>
            <w:vAlign w:val="center"/>
          </w:tcPr>
          <w:p>
            <w:pPr>
              <w:pStyle w:val="16"/>
            </w:pPr>
            <w:r>
              <w:t>2657.18</w:t>
            </w:r>
          </w:p>
        </w:tc>
        <w:tc>
          <w:tcPr>
            <w:tcW w:w="1361" w:type="dxa"/>
            <w:vAlign w:val="center"/>
          </w:tcPr>
          <w:p>
            <w:pPr>
              <w:pStyle w:val="16"/>
            </w:pPr>
            <w:r>
              <w:t>7129.16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0.45</w:t>
            </w:r>
          </w:p>
        </w:tc>
        <w:tc>
          <w:tcPr>
            <w:tcW w:w="1361" w:type="dxa"/>
            <w:vAlign w:val="center"/>
          </w:tcPr>
          <w:p>
            <w:pPr>
              <w:pStyle w:val="12"/>
            </w:pPr>
            <w:r>
              <w:t>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0.45</w:t>
            </w:r>
          </w:p>
        </w:tc>
        <w:tc>
          <w:tcPr>
            <w:tcW w:w="1361" w:type="dxa"/>
            <w:vAlign w:val="center"/>
          </w:tcPr>
          <w:p>
            <w:pPr>
              <w:pStyle w:val="12"/>
            </w:pPr>
            <w:r>
              <w:t>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2050803</w:t>
            </w:r>
          </w:p>
        </w:tc>
        <w:tc>
          <w:tcPr>
            <w:tcW w:w="4535" w:type="dxa"/>
            <w:vAlign w:val="center"/>
          </w:tcPr>
          <w:p>
            <w:pPr>
              <w:pStyle w:val="13"/>
            </w:pPr>
            <w:r>
              <w:t>培训支出</w:t>
            </w:r>
          </w:p>
        </w:tc>
        <w:tc>
          <w:tcPr>
            <w:tcW w:w="1361" w:type="dxa"/>
            <w:vAlign w:val="center"/>
          </w:tcPr>
          <w:p>
            <w:pPr>
              <w:pStyle w:val="12"/>
            </w:pPr>
            <w:r>
              <w:t>0.45</w:t>
            </w:r>
          </w:p>
        </w:tc>
        <w:tc>
          <w:tcPr>
            <w:tcW w:w="1361" w:type="dxa"/>
            <w:vAlign w:val="center"/>
          </w:tcPr>
          <w:p>
            <w:pPr>
              <w:pStyle w:val="12"/>
            </w:pPr>
            <w:r>
              <w:t>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522.30</w:t>
            </w:r>
          </w:p>
        </w:tc>
        <w:tc>
          <w:tcPr>
            <w:tcW w:w="1361" w:type="dxa"/>
            <w:vAlign w:val="center"/>
          </w:tcPr>
          <w:p>
            <w:pPr>
              <w:pStyle w:val="12"/>
            </w:pPr>
            <w:r>
              <w:t>522.30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499.87</w:t>
            </w:r>
          </w:p>
        </w:tc>
        <w:tc>
          <w:tcPr>
            <w:tcW w:w="1361" w:type="dxa"/>
            <w:vAlign w:val="center"/>
          </w:tcPr>
          <w:p>
            <w:pPr>
              <w:pStyle w:val="12"/>
            </w:pPr>
            <w:r>
              <w:t>499.87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173.47</w:t>
            </w:r>
          </w:p>
        </w:tc>
        <w:tc>
          <w:tcPr>
            <w:tcW w:w="1361" w:type="dxa"/>
            <w:vAlign w:val="center"/>
          </w:tcPr>
          <w:p>
            <w:pPr>
              <w:pStyle w:val="12"/>
            </w:pPr>
            <w:r>
              <w:t>173.47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235.40</w:t>
            </w:r>
          </w:p>
        </w:tc>
        <w:tc>
          <w:tcPr>
            <w:tcW w:w="1361" w:type="dxa"/>
            <w:vAlign w:val="center"/>
          </w:tcPr>
          <w:p>
            <w:pPr>
              <w:pStyle w:val="12"/>
            </w:pPr>
            <w:r>
              <w:t>235.40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91.00</w:t>
            </w:r>
          </w:p>
        </w:tc>
        <w:tc>
          <w:tcPr>
            <w:tcW w:w="1361" w:type="dxa"/>
            <w:vAlign w:val="center"/>
          </w:tcPr>
          <w:p>
            <w:pPr>
              <w:pStyle w:val="12"/>
            </w:pPr>
            <w:r>
              <w:t>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6.43</w:t>
            </w:r>
          </w:p>
        </w:tc>
        <w:tc>
          <w:tcPr>
            <w:tcW w:w="1361" w:type="dxa"/>
            <w:vAlign w:val="center"/>
          </w:tcPr>
          <w:p>
            <w:pPr>
              <w:pStyle w:val="12"/>
            </w:pPr>
            <w:r>
              <w:t>6.43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6.43</w:t>
            </w:r>
          </w:p>
        </w:tc>
        <w:tc>
          <w:tcPr>
            <w:tcW w:w="1361" w:type="dxa"/>
            <w:vAlign w:val="center"/>
          </w:tcPr>
          <w:p>
            <w:pPr>
              <w:pStyle w:val="12"/>
            </w:pPr>
            <w:r>
              <w:t>6.43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112.90</w:t>
            </w:r>
          </w:p>
        </w:tc>
        <w:tc>
          <w:tcPr>
            <w:tcW w:w="1361" w:type="dxa"/>
            <w:vAlign w:val="center"/>
          </w:tcPr>
          <w:p>
            <w:pPr>
              <w:pStyle w:val="12"/>
            </w:pPr>
            <w:r>
              <w:t>112.90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112.90</w:t>
            </w:r>
          </w:p>
        </w:tc>
        <w:tc>
          <w:tcPr>
            <w:tcW w:w="1361" w:type="dxa"/>
            <w:vAlign w:val="center"/>
          </w:tcPr>
          <w:p>
            <w:pPr>
              <w:pStyle w:val="12"/>
            </w:pPr>
            <w:r>
              <w:t>112.90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112.90</w:t>
            </w:r>
          </w:p>
        </w:tc>
        <w:tc>
          <w:tcPr>
            <w:tcW w:w="1361" w:type="dxa"/>
            <w:vAlign w:val="center"/>
          </w:tcPr>
          <w:p>
            <w:pPr>
              <w:pStyle w:val="12"/>
            </w:pPr>
            <w:r>
              <w:t>112.90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6861.84</w:t>
            </w:r>
          </w:p>
        </w:tc>
        <w:tc>
          <w:tcPr>
            <w:tcW w:w="1361" w:type="dxa"/>
            <w:vAlign w:val="center"/>
          </w:tcPr>
          <w:p>
            <w:pPr>
              <w:pStyle w:val="12"/>
            </w:pPr>
          </w:p>
        </w:tc>
        <w:tc>
          <w:tcPr>
            <w:tcW w:w="1361" w:type="dxa"/>
            <w:vAlign w:val="center"/>
          </w:tcPr>
          <w:p>
            <w:pPr>
              <w:pStyle w:val="12"/>
            </w:pPr>
            <w:r>
              <w:t>6861.84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6861.84</w:t>
            </w:r>
          </w:p>
        </w:tc>
        <w:tc>
          <w:tcPr>
            <w:tcW w:w="1361" w:type="dxa"/>
            <w:vAlign w:val="center"/>
          </w:tcPr>
          <w:p>
            <w:pPr>
              <w:pStyle w:val="12"/>
            </w:pPr>
          </w:p>
        </w:tc>
        <w:tc>
          <w:tcPr>
            <w:tcW w:w="1361" w:type="dxa"/>
            <w:vAlign w:val="center"/>
          </w:tcPr>
          <w:p>
            <w:pPr>
              <w:pStyle w:val="12"/>
            </w:pPr>
            <w:r>
              <w:t>6861.84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2120805</w:t>
            </w:r>
          </w:p>
        </w:tc>
        <w:tc>
          <w:tcPr>
            <w:tcW w:w="4535" w:type="dxa"/>
            <w:vAlign w:val="center"/>
          </w:tcPr>
          <w:p>
            <w:pPr>
              <w:pStyle w:val="13"/>
            </w:pPr>
            <w:r>
              <w:t>补助被征地农民支出</w:t>
            </w:r>
          </w:p>
        </w:tc>
        <w:tc>
          <w:tcPr>
            <w:tcW w:w="1361" w:type="dxa"/>
            <w:vAlign w:val="center"/>
          </w:tcPr>
          <w:p>
            <w:pPr>
              <w:pStyle w:val="12"/>
            </w:pPr>
            <w:r>
              <w:t>1896.05</w:t>
            </w:r>
          </w:p>
        </w:tc>
        <w:tc>
          <w:tcPr>
            <w:tcW w:w="1361" w:type="dxa"/>
            <w:vAlign w:val="center"/>
          </w:tcPr>
          <w:p>
            <w:pPr>
              <w:pStyle w:val="12"/>
            </w:pPr>
          </w:p>
        </w:tc>
        <w:tc>
          <w:tcPr>
            <w:tcW w:w="1361" w:type="dxa"/>
            <w:vAlign w:val="center"/>
          </w:tcPr>
          <w:p>
            <w:pPr>
              <w:pStyle w:val="12"/>
            </w:pPr>
            <w:r>
              <w:t>1896.05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2120814</w:t>
            </w:r>
          </w:p>
        </w:tc>
        <w:tc>
          <w:tcPr>
            <w:tcW w:w="4535" w:type="dxa"/>
            <w:vAlign w:val="center"/>
          </w:tcPr>
          <w:p>
            <w:pPr>
              <w:pStyle w:val="13"/>
            </w:pPr>
            <w:r>
              <w:t>农业生产发展支出</w:t>
            </w:r>
          </w:p>
        </w:tc>
        <w:tc>
          <w:tcPr>
            <w:tcW w:w="1361" w:type="dxa"/>
            <w:vAlign w:val="center"/>
          </w:tcPr>
          <w:p>
            <w:pPr>
              <w:pStyle w:val="12"/>
            </w:pPr>
            <w:r>
              <w:t>4000.00</w:t>
            </w:r>
          </w:p>
        </w:tc>
        <w:tc>
          <w:tcPr>
            <w:tcW w:w="1361" w:type="dxa"/>
            <w:vAlign w:val="center"/>
          </w:tcPr>
          <w:p>
            <w:pPr>
              <w:pStyle w:val="12"/>
            </w:pPr>
          </w:p>
        </w:tc>
        <w:tc>
          <w:tcPr>
            <w:tcW w:w="1361" w:type="dxa"/>
            <w:vAlign w:val="center"/>
          </w:tcPr>
          <w:p>
            <w:pPr>
              <w:pStyle w:val="12"/>
            </w:pPr>
            <w:r>
              <w:t>4000.00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965.79</w:t>
            </w:r>
          </w:p>
        </w:tc>
        <w:tc>
          <w:tcPr>
            <w:tcW w:w="1361" w:type="dxa"/>
            <w:vAlign w:val="center"/>
          </w:tcPr>
          <w:p>
            <w:pPr>
              <w:pStyle w:val="12"/>
            </w:pPr>
          </w:p>
        </w:tc>
        <w:tc>
          <w:tcPr>
            <w:tcW w:w="1361" w:type="dxa"/>
            <w:vAlign w:val="center"/>
          </w:tcPr>
          <w:p>
            <w:pPr>
              <w:pStyle w:val="12"/>
            </w:pPr>
            <w:r>
              <w:t>965.79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69.32</w:t>
            </w:r>
          </w:p>
        </w:tc>
        <w:tc>
          <w:tcPr>
            <w:tcW w:w="1361" w:type="dxa"/>
            <w:vAlign w:val="center"/>
          </w:tcPr>
          <w:p>
            <w:pPr>
              <w:pStyle w:val="12"/>
            </w:pPr>
          </w:p>
        </w:tc>
        <w:tc>
          <w:tcPr>
            <w:tcW w:w="1361" w:type="dxa"/>
            <w:vAlign w:val="center"/>
          </w:tcPr>
          <w:p>
            <w:pPr>
              <w:pStyle w:val="12"/>
            </w:pPr>
            <w:r>
              <w:t>69.32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69.32</w:t>
            </w:r>
          </w:p>
        </w:tc>
        <w:tc>
          <w:tcPr>
            <w:tcW w:w="1361" w:type="dxa"/>
            <w:vAlign w:val="center"/>
          </w:tcPr>
          <w:p>
            <w:pPr>
              <w:pStyle w:val="12"/>
            </w:pPr>
          </w:p>
        </w:tc>
        <w:tc>
          <w:tcPr>
            <w:tcW w:w="1361" w:type="dxa"/>
            <w:vAlign w:val="center"/>
          </w:tcPr>
          <w:p>
            <w:pPr>
              <w:pStyle w:val="12"/>
            </w:pPr>
            <w:r>
              <w:t>69.32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2130205</w:t>
            </w:r>
          </w:p>
        </w:tc>
        <w:tc>
          <w:tcPr>
            <w:tcW w:w="4535" w:type="dxa"/>
            <w:vAlign w:val="center"/>
          </w:tcPr>
          <w:p>
            <w:pPr>
              <w:pStyle w:val="13"/>
            </w:pPr>
            <w:r>
              <w:t>森林资源培育</w:t>
            </w: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r>
              <w:t>51.57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2130299</w:t>
            </w:r>
          </w:p>
        </w:tc>
        <w:tc>
          <w:tcPr>
            <w:tcW w:w="4535" w:type="dxa"/>
            <w:vAlign w:val="center"/>
          </w:tcPr>
          <w:p>
            <w:pPr>
              <w:pStyle w:val="13"/>
            </w:pPr>
            <w:r>
              <w:t>其他林业和草原支出</w:t>
            </w:r>
          </w:p>
        </w:tc>
        <w:tc>
          <w:tcPr>
            <w:tcW w:w="1361" w:type="dxa"/>
            <w:vAlign w:val="center"/>
          </w:tcPr>
          <w:p>
            <w:pPr>
              <w:pStyle w:val="12"/>
            </w:pPr>
            <w:r>
              <w:t>2.75</w:t>
            </w:r>
          </w:p>
        </w:tc>
        <w:tc>
          <w:tcPr>
            <w:tcW w:w="1361" w:type="dxa"/>
            <w:vAlign w:val="center"/>
          </w:tcPr>
          <w:p>
            <w:pPr>
              <w:pStyle w:val="12"/>
            </w:pPr>
          </w:p>
        </w:tc>
        <w:tc>
          <w:tcPr>
            <w:tcW w:w="1361" w:type="dxa"/>
            <w:vAlign w:val="center"/>
          </w:tcPr>
          <w:p>
            <w:pPr>
              <w:pStyle w:val="12"/>
            </w:pPr>
            <w:r>
              <w:t>2.75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2019.53</w:t>
            </w:r>
          </w:p>
        </w:tc>
        <w:tc>
          <w:tcPr>
            <w:tcW w:w="1361" w:type="dxa"/>
            <w:vAlign w:val="center"/>
          </w:tcPr>
          <w:p>
            <w:pPr>
              <w:pStyle w:val="12"/>
            </w:pPr>
            <w:r>
              <w:t>1821.53</w:t>
            </w: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22001</w:t>
            </w:r>
          </w:p>
        </w:tc>
        <w:tc>
          <w:tcPr>
            <w:tcW w:w="4535" w:type="dxa"/>
            <w:vAlign w:val="center"/>
          </w:tcPr>
          <w:p>
            <w:pPr>
              <w:pStyle w:val="13"/>
            </w:pPr>
            <w:r>
              <w:t>自然资源事务</w:t>
            </w:r>
          </w:p>
        </w:tc>
        <w:tc>
          <w:tcPr>
            <w:tcW w:w="1361" w:type="dxa"/>
            <w:vAlign w:val="center"/>
          </w:tcPr>
          <w:p>
            <w:pPr>
              <w:pStyle w:val="12"/>
            </w:pPr>
            <w:r>
              <w:t>2019.53</w:t>
            </w:r>
          </w:p>
        </w:tc>
        <w:tc>
          <w:tcPr>
            <w:tcW w:w="1361" w:type="dxa"/>
            <w:vAlign w:val="center"/>
          </w:tcPr>
          <w:p>
            <w:pPr>
              <w:pStyle w:val="12"/>
            </w:pPr>
            <w:r>
              <w:t>1821.53</w:t>
            </w: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2200101</w:t>
            </w:r>
          </w:p>
        </w:tc>
        <w:tc>
          <w:tcPr>
            <w:tcW w:w="4535" w:type="dxa"/>
            <w:vAlign w:val="center"/>
          </w:tcPr>
          <w:p>
            <w:pPr>
              <w:pStyle w:val="13"/>
            </w:pPr>
            <w:r>
              <w:t>行政运行</w:t>
            </w:r>
          </w:p>
        </w:tc>
        <w:tc>
          <w:tcPr>
            <w:tcW w:w="1361" w:type="dxa"/>
            <w:vAlign w:val="center"/>
          </w:tcPr>
          <w:p>
            <w:pPr>
              <w:pStyle w:val="12"/>
            </w:pPr>
            <w:r>
              <w:t>1821.53</w:t>
            </w:r>
          </w:p>
        </w:tc>
        <w:tc>
          <w:tcPr>
            <w:tcW w:w="1361" w:type="dxa"/>
            <w:vAlign w:val="center"/>
          </w:tcPr>
          <w:p>
            <w:pPr>
              <w:pStyle w:val="12"/>
            </w:pPr>
            <w:r>
              <w:t>1821.53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2200106</w:t>
            </w:r>
          </w:p>
        </w:tc>
        <w:tc>
          <w:tcPr>
            <w:tcW w:w="4535" w:type="dxa"/>
            <w:vAlign w:val="center"/>
          </w:tcPr>
          <w:p>
            <w:pPr>
              <w:pStyle w:val="13"/>
            </w:pPr>
            <w:r>
              <w:t>自然资源利用与保护</w:t>
            </w: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r>
              <w:t>198.00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200.00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200.00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200.00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324新乐市自然资源和规划局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2924.50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6861.84</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0.45</w:t>
            </w:r>
          </w:p>
        </w:tc>
        <w:tc>
          <w:tcPr>
            <w:tcW w:w="1474" w:type="dxa"/>
            <w:vAlign w:val="center"/>
          </w:tcPr>
          <w:p>
            <w:pPr>
              <w:pStyle w:val="12"/>
            </w:pPr>
            <w:r>
              <w:t>0.45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522.30</w:t>
            </w:r>
          </w:p>
        </w:tc>
        <w:tc>
          <w:tcPr>
            <w:tcW w:w="1474" w:type="dxa"/>
            <w:vAlign w:val="center"/>
          </w:tcPr>
          <w:p>
            <w:pPr>
              <w:pStyle w:val="12"/>
            </w:pPr>
            <w:r>
              <w:t>522.30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112.90</w:t>
            </w:r>
          </w:p>
        </w:tc>
        <w:tc>
          <w:tcPr>
            <w:tcW w:w="1474" w:type="dxa"/>
            <w:vAlign w:val="center"/>
          </w:tcPr>
          <w:p>
            <w:pPr>
              <w:pStyle w:val="12"/>
            </w:pPr>
            <w:r>
              <w:t>112.90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6861.84</w:t>
            </w:r>
          </w:p>
        </w:tc>
        <w:tc>
          <w:tcPr>
            <w:tcW w:w="1474" w:type="dxa"/>
            <w:vAlign w:val="center"/>
          </w:tcPr>
          <w:p>
            <w:pPr>
              <w:pStyle w:val="12"/>
            </w:pPr>
          </w:p>
        </w:tc>
        <w:tc>
          <w:tcPr>
            <w:tcW w:w="1474" w:type="dxa"/>
            <w:vAlign w:val="center"/>
          </w:tcPr>
          <w:p>
            <w:pPr>
              <w:pStyle w:val="12"/>
            </w:pPr>
            <w:r>
              <w:t>6861.84</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69.32</w:t>
            </w:r>
          </w:p>
        </w:tc>
        <w:tc>
          <w:tcPr>
            <w:tcW w:w="1474" w:type="dxa"/>
            <w:vAlign w:val="center"/>
          </w:tcPr>
          <w:p>
            <w:pPr>
              <w:pStyle w:val="12"/>
            </w:pPr>
            <w:r>
              <w:t>69.32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2019.53</w:t>
            </w:r>
          </w:p>
        </w:tc>
        <w:tc>
          <w:tcPr>
            <w:tcW w:w="1474" w:type="dxa"/>
            <w:vAlign w:val="center"/>
          </w:tcPr>
          <w:p>
            <w:pPr>
              <w:pStyle w:val="12"/>
            </w:pPr>
            <w:r>
              <w:t>2019.53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200.00</w:t>
            </w:r>
          </w:p>
        </w:tc>
        <w:tc>
          <w:tcPr>
            <w:tcW w:w="1474" w:type="dxa"/>
            <w:vAlign w:val="center"/>
          </w:tcPr>
          <w:p>
            <w:pPr>
              <w:pStyle w:val="12"/>
            </w:pPr>
            <w:r>
              <w:t>200.00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9786.34</w:t>
            </w:r>
          </w:p>
        </w:tc>
        <w:tc>
          <w:tcPr>
            <w:tcW w:w="3402" w:type="dxa"/>
            <w:vAlign w:val="center"/>
          </w:tcPr>
          <w:p>
            <w:pPr>
              <w:pStyle w:val="15"/>
            </w:pPr>
            <w:r>
              <w:t>本年支出合计</w:t>
            </w:r>
          </w:p>
        </w:tc>
        <w:tc>
          <w:tcPr>
            <w:tcW w:w="1474" w:type="dxa"/>
            <w:vAlign w:val="center"/>
          </w:tcPr>
          <w:p>
            <w:pPr>
              <w:pStyle w:val="16"/>
            </w:pPr>
            <w:r>
              <w:t>9786.34</w:t>
            </w:r>
          </w:p>
        </w:tc>
        <w:tc>
          <w:tcPr>
            <w:tcW w:w="1474" w:type="dxa"/>
            <w:vAlign w:val="center"/>
          </w:tcPr>
          <w:p>
            <w:pPr>
              <w:pStyle w:val="16"/>
            </w:pPr>
            <w:r>
              <w:t>2924.50</w:t>
            </w:r>
          </w:p>
        </w:tc>
        <w:tc>
          <w:tcPr>
            <w:tcW w:w="1474" w:type="dxa"/>
            <w:vAlign w:val="center"/>
          </w:tcPr>
          <w:p>
            <w:pPr>
              <w:pStyle w:val="16"/>
            </w:pPr>
            <w:r>
              <w:t>6861.84</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9786.34</w:t>
            </w:r>
          </w:p>
        </w:tc>
        <w:tc>
          <w:tcPr>
            <w:tcW w:w="3402" w:type="dxa"/>
            <w:vAlign w:val="center"/>
          </w:tcPr>
          <w:p>
            <w:pPr>
              <w:pStyle w:val="15"/>
            </w:pPr>
            <w:r>
              <w:t>支出总计</w:t>
            </w:r>
          </w:p>
        </w:tc>
        <w:tc>
          <w:tcPr>
            <w:tcW w:w="1474" w:type="dxa"/>
            <w:vAlign w:val="center"/>
          </w:tcPr>
          <w:p>
            <w:pPr>
              <w:pStyle w:val="16"/>
            </w:pPr>
            <w:r>
              <w:t>9786.34</w:t>
            </w:r>
          </w:p>
        </w:tc>
        <w:tc>
          <w:tcPr>
            <w:tcW w:w="1474" w:type="dxa"/>
            <w:vAlign w:val="center"/>
          </w:tcPr>
          <w:p>
            <w:pPr>
              <w:pStyle w:val="16"/>
            </w:pPr>
            <w:r>
              <w:t>2924.50</w:t>
            </w:r>
          </w:p>
        </w:tc>
        <w:tc>
          <w:tcPr>
            <w:tcW w:w="1474" w:type="dxa"/>
            <w:vAlign w:val="center"/>
          </w:tcPr>
          <w:p>
            <w:pPr>
              <w:pStyle w:val="16"/>
            </w:pPr>
            <w:r>
              <w:t>6861.84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324新乐市自然资源和规划局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2924.50</w:t>
            </w:r>
          </w:p>
        </w:tc>
        <w:tc>
          <w:tcPr>
            <w:tcW w:w="2551" w:type="dxa"/>
            <w:vAlign w:val="center"/>
          </w:tcPr>
          <w:p>
            <w:pPr>
              <w:pStyle w:val="16"/>
            </w:pPr>
            <w:r>
              <w:t>2657.18</w:t>
            </w:r>
          </w:p>
        </w:tc>
        <w:tc>
          <w:tcPr>
            <w:tcW w:w="2551" w:type="dxa"/>
            <w:vAlign w:val="center"/>
          </w:tcPr>
          <w:p>
            <w:pPr>
              <w:pStyle w:val="16"/>
            </w:pPr>
            <w:r>
              <w:t>267.32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0.45</w:t>
            </w:r>
          </w:p>
        </w:tc>
        <w:tc>
          <w:tcPr>
            <w:tcW w:w="2551" w:type="dxa"/>
            <w:vAlign w:val="center"/>
          </w:tcPr>
          <w:p>
            <w:pPr>
              <w:pStyle w:val="12"/>
            </w:pPr>
            <w:r>
              <w:t>0.45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0.45</w:t>
            </w:r>
          </w:p>
        </w:tc>
        <w:tc>
          <w:tcPr>
            <w:tcW w:w="2551" w:type="dxa"/>
            <w:vAlign w:val="center"/>
          </w:tcPr>
          <w:p>
            <w:pPr>
              <w:pStyle w:val="12"/>
            </w:pPr>
            <w:r>
              <w:t>0.45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2050803</w:t>
            </w:r>
          </w:p>
        </w:tc>
        <w:tc>
          <w:tcPr>
            <w:tcW w:w="4535" w:type="dxa"/>
            <w:vAlign w:val="center"/>
          </w:tcPr>
          <w:p>
            <w:pPr>
              <w:pStyle w:val="13"/>
            </w:pPr>
            <w:r>
              <w:t>培训支出</w:t>
            </w:r>
          </w:p>
        </w:tc>
        <w:tc>
          <w:tcPr>
            <w:tcW w:w="2551" w:type="dxa"/>
            <w:vAlign w:val="center"/>
          </w:tcPr>
          <w:p>
            <w:pPr>
              <w:pStyle w:val="12"/>
            </w:pPr>
            <w:r>
              <w:t>0.45</w:t>
            </w:r>
          </w:p>
        </w:tc>
        <w:tc>
          <w:tcPr>
            <w:tcW w:w="2551" w:type="dxa"/>
            <w:vAlign w:val="center"/>
          </w:tcPr>
          <w:p>
            <w:pPr>
              <w:pStyle w:val="12"/>
            </w:pPr>
            <w:r>
              <w:t>0.45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522.30</w:t>
            </w:r>
          </w:p>
        </w:tc>
        <w:tc>
          <w:tcPr>
            <w:tcW w:w="2551" w:type="dxa"/>
            <w:vAlign w:val="center"/>
          </w:tcPr>
          <w:p>
            <w:pPr>
              <w:pStyle w:val="12"/>
            </w:pPr>
            <w:r>
              <w:t>522.30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499.87</w:t>
            </w:r>
          </w:p>
        </w:tc>
        <w:tc>
          <w:tcPr>
            <w:tcW w:w="2551" w:type="dxa"/>
            <w:vAlign w:val="center"/>
          </w:tcPr>
          <w:p>
            <w:pPr>
              <w:pStyle w:val="12"/>
            </w:pPr>
            <w:r>
              <w:t>499.87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173.47</w:t>
            </w:r>
          </w:p>
        </w:tc>
        <w:tc>
          <w:tcPr>
            <w:tcW w:w="2551" w:type="dxa"/>
            <w:vAlign w:val="center"/>
          </w:tcPr>
          <w:p>
            <w:pPr>
              <w:pStyle w:val="12"/>
            </w:pPr>
            <w:r>
              <w:t>173.47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235.40</w:t>
            </w:r>
          </w:p>
        </w:tc>
        <w:tc>
          <w:tcPr>
            <w:tcW w:w="2551" w:type="dxa"/>
            <w:vAlign w:val="center"/>
          </w:tcPr>
          <w:p>
            <w:pPr>
              <w:pStyle w:val="12"/>
            </w:pPr>
            <w:r>
              <w:t>235.40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91.00</w:t>
            </w:r>
          </w:p>
        </w:tc>
        <w:tc>
          <w:tcPr>
            <w:tcW w:w="2551" w:type="dxa"/>
            <w:vAlign w:val="center"/>
          </w:tcPr>
          <w:p>
            <w:pPr>
              <w:pStyle w:val="12"/>
            </w:pPr>
            <w:r>
              <w:t>91.00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6.43</w:t>
            </w:r>
          </w:p>
        </w:tc>
        <w:tc>
          <w:tcPr>
            <w:tcW w:w="2551" w:type="dxa"/>
            <w:vAlign w:val="center"/>
          </w:tcPr>
          <w:p>
            <w:pPr>
              <w:pStyle w:val="12"/>
            </w:pPr>
            <w:r>
              <w:t>6.43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6.43</w:t>
            </w:r>
          </w:p>
        </w:tc>
        <w:tc>
          <w:tcPr>
            <w:tcW w:w="2551" w:type="dxa"/>
            <w:vAlign w:val="center"/>
          </w:tcPr>
          <w:p>
            <w:pPr>
              <w:pStyle w:val="12"/>
            </w:pPr>
            <w:r>
              <w:t>6.43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112.90</w:t>
            </w:r>
          </w:p>
        </w:tc>
        <w:tc>
          <w:tcPr>
            <w:tcW w:w="2551" w:type="dxa"/>
            <w:vAlign w:val="center"/>
          </w:tcPr>
          <w:p>
            <w:pPr>
              <w:pStyle w:val="12"/>
            </w:pPr>
            <w:r>
              <w:t>112.90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112.90</w:t>
            </w:r>
          </w:p>
        </w:tc>
        <w:tc>
          <w:tcPr>
            <w:tcW w:w="2551" w:type="dxa"/>
            <w:vAlign w:val="center"/>
          </w:tcPr>
          <w:p>
            <w:pPr>
              <w:pStyle w:val="12"/>
            </w:pPr>
            <w:r>
              <w:t>112.90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112.90</w:t>
            </w:r>
          </w:p>
        </w:tc>
        <w:tc>
          <w:tcPr>
            <w:tcW w:w="2551" w:type="dxa"/>
            <w:vAlign w:val="center"/>
          </w:tcPr>
          <w:p>
            <w:pPr>
              <w:pStyle w:val="12"/>
            </w:pPr>
            <w:r>
              <w:t>112.90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69.32</w:t>
            </w:r>
          </w:p>
        </w:tc>
        <w:tc>
          <w:tcPr>
            <w:tcW w:w="2551" w:type="dxa"/>
            <w:vAlign w:val="center"/>
          </w:tcPr>
          <w:p>
            <w:pPr>
              <w:pStyle w:val="12"/>
            </w:pPr>
          </w:p>
        </w:tc>
        <w:tc>
          <w:tcPr>
            <w:tcW w:w="2551" w:type="dxa"/>
            <w:vAlign w:val="center"/>
          </w:tcPr>
          <w:p>
            <w:pPr>
              <w:pStyle w:val="12"/>
            </w:pPr>
            <w:r>
              <w:t>69.32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69.32</w:t>
            </w:r>
          </w:p>
        </w:tc>
        <w:tc>
          <w:tcPr>
            <w:tcW w:w="2551" w:type="dxa"/>
            <w:vAlign w:val="center"/>
          </w:tcPr>
          <w:p>
            <w:pPr>
              <w:pStyle w:val="12"/>
            </w:pPr>
          </w:p>
        </w:tc>
        <w:tc>
          <w:tcPr>
            <w:tcW w:w="2551" w:type="dxa"/>
            <w:vAlign w:val="center"/>
          </w:tcPr>
          <w:p>
            <w:pPr>
              <w:pStyle w:val="12"/>
            </w:pPr>
            <w:r>
              <w:t>69.32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2130205</w:t>
            </w:r>
          </w:p>
        </w:tc>
        <w:tc>
          <w:tcPr>
            <w:tcW w:w="4535" w:type="dxa"/>
            <w:vAlign w:val="center"/>
          </w:tcPr>
          <w:p>
            <w:pPr>
              <w:pStyle w:val="13"/>
            </w:pPr>
            <w:r>
              <w:t>森林资源培育</w:t>
            </w:r>
          </w:p>
        </w:tc>
        <w:tc>
          <w:tcPr>
            <w:tcW w:w="2551" w:type="dxa"/>
            <w:vAlign w:val="center"/>
          </w:tcPr>
          <w:p>
            <w:pPr>
              <w:pStyle w:val="12"/>
            </w:pPr>
            <w:r>
              <w:t>51.57</w:t>
            </w:r>
          </w:p>
        </w:tc>
        <w:tc>
          <w:tcPr>
            <w:tcW w:w="2551" w:type="dxa"/>
            <w:vAlign w:val="center"/>
          </w:tcPr>
          <w:p>
            <w:pPr>
              <w:pStyle w:val="12"/>
            </w:pPr>
          </w:p>
        </w:tc>
        <w:tc>
          <w:tcPr>
            <w:tcW w:w="2551" w:type="dxa"/>
            <w:vAlign w:val="center"/>
          </w:tcPr>
          <w:p>
            <w:pPr>
              <w:pStyle w:val="12"/>
            </w:pPr>
            <w:r>
              <w:t>51.57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2130299</w:t>
            </w:r>
          </w:p>
        </w:tc>
        <w:tc>
          <w:tcPr>
            <w:tcW w:w="4535" w:type="dxa"/>
            <w:vAlign w:val="center"/>
          </w:tcPr>
          <w:p>
            <w:pPr>
              <w:pStyle w:val="13"/>
            </w:pPr>
            <w:r>
              <w:t>其他林业和草原支出</w:t>
            </w:r>
          </w:p>
        </w:tc>
        <w:tc>
          <w:tcPr>
            <w:tcW w:w="2551" w:type="dxa"/>
            <w:vAlign w:val="center"/>
          </w:tcPr>
          <w:p>
            <w:pPr>
              <w:pStyle w:val="12"/>
            </w:pPr>
            <w:r>
              <w:t>2.75</w:t>
            </w:r>
          </w:p>
        </w:tc>
        <w:tc>
          <w:tcPr>
            <w:tcW w:w="2551" w:type="dxa"/>
            <w:vAlign w:val="center"/>
          </w:tcPr>
          <w:p>
            <w:pPr>
              <w:pStyle w:val="12"/>
            </w:pPr>
          </w:p>
        </w:tc>
        <w:tc>
          <w:tcPr>
            <w:tcW w:w="2551" w:type="dxa"/>
            <w:vAlign w:val="center"/>
          </w:tcPr>
          <w:p>
            <w:pPr>
              <w:pStyle w:val="12"/>
            </w:pPr>
            <w:r>
              <w:t>2.75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2019.53</w:t>
            </w:r>
          </w:p>
        </w:tc>
        <w:tc>
          <w:tcPr>
            <w:tcW w:w="2551" w:type="dxa"/>
            <w:vAlign w:val="center"/>
          </w:tcPr>
          <w:p>
            <w:pPr>
              <w:pStyle w:val="12"/>
            </w:pPr>
            <w:r>
              <w:t>1821.53</w:t>
            </w:r>
          </w:p>
        </w:tc>
        <w:tc>
          <w:tcPr>
            <w:tcW w:w="2551" w:type="dxa"/>
            <w:vAlign w:val="center"/>
          </w:tcPr>
          <w:p>
            <w:pPr>
              <w:pStyle w:val="12"/>
            </w:pPr>
            <w:r>
              <w:t>198.00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22001</w:t>
            </w:r>
          </w:p>
        </w:tc>
        <w:tc>
          <w:tcPr>
            <w:tcW w:w="4535" w:type="dxa"/>
            <w:vAlign w:val="center"/>
          </w:tcPr>
          <w:p>
            <w:pPr>
              <w:pStyle w:val="13"/>
            </w:pPr>
            <w:r>
              <w:t>自然资源事务</w:t>
            </w:r>
          </w:p>
        </w:tc>
        <w:tc>
          <w:tcPr>
            <w:tcW w:w="2551" w:type="dxa"/>
            <w:vAlign w:val="center"/>
          </w:tcPr>
          <w:p>
            <w:pPr>
              <w:pStyle w:val="12"/>
            </w:pPr>
            <w:r>
              <w:t>2019.53</w:t>
            </w:r>
          </w:p>
        </w:tc>
        <w:tc>
          <w:tcPr>
            <w:tcW w:w="2551" w:type="dxa"/>
            <w:vAlign w:val="center"/>
          </w:tcPr>
          <w:p>
            <w:pPr>
              <w:pStyle w:val="12"/>
            </w:pPr>
            <w:r>
              <w:t>1821.53</w:t>
            </w:r>
          </w:p>
        </w:tc>
        <w:tc>
          <w:tcPr>
            <w:tcW w:w="2551" w:type="dxa"/>
            <w:vAlign w:val="center"/>
          </w:tcPr>
          <w:p>
            <w:pPr>
              <w:pStyle w:val="12"/>
            </w:pPr>
            <w:r>
              <w:t>198.00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2200101</w:t>
            </w:r>
          </w:p>
        </w:tc>
        <w:tc>
          <w:tcPr>
            <w:tcW w:w="4535" w:type="dxa"/>
            <w:vAlign w:val="center"/>
          </w:tcPr>
          <w:p>
            <w:pPr>
              <w:pStyle w:val="13"/>
            </w:pPr>
            <w:r>
              <w:t>行政运行</w:t>
            </w:r>
          </w:p>
        </w:tc>
        <w:tc>
          <w:tcPr>
            <w:tcW w:w="2551" w:type="dxa"/>
            <w:vAlign w:val="center"/>
          </w:tcPr>
          <w:p>
            <w:pPr>
              <w:pStyle w:val="12"/>
            </w:pPr>
            <w:r>
              <w:t>1821.53</w:t>
            </w:r>
          </w:p>
        </w:tc>
        <w:tc>
          <w:tcPr>
            <w:tcW w:w="2551" w:type="dxa"/>
            <w:vAlign w:val="center"/>
          </w:tcPr>
          <w:p>
            <w:pPr>
              <w:pStyle w:val="12"/>
            </w:pPr>
            <w:r>
              <w:t>1821.53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2200106</w:t>
            </w:r>
          </w:p>
        </w:tc>
        <w:tc>
          <w:tcPr>
            <w:tcW w:w="4535" w:type="dxa"/>
            <w:vAlign w:val="center"/>
          </w:tcPr>
          <w:p>
            <w:pPr>
              <w:pStyle w:val="13"/>
            </w:pPr>
            <w:r>
              <w:t>自然资源利用与保护</w:t>
            </w:r>
          </w:p>
        </w:tc>
        <w:tc>
          <w:tcPr>
            <w:tcW w:w="2551" w:type="dxa"/>
            <w:vAlign w:val="center"/>
          </w:tcPr>
          <w:p>
            <w:pPr>
              <w:pStyle w:val="12"/>
            </w:pPr>
            <w:r>
              <w:t>198.00</w:t>
            </w:r>
          </w:p>
        </w:tc>
        <w:tc>
          <w:tcPr>
            <w:tcW w:w="2551" w:type="dxa"/>
            <w:vAlign w:val="center"/>
          </w:tcPr>
          <w:p>
            <w:pPr>
              <w:pStyle w:val="12"/>
            </w:pPr>
          </w:p>
        </w:tc>
        <w:tc>
          <w:tcPr>
            <w:tcW w:w="2551" w:type="dxa"/>
            <w:vAlign w:val="center"/>
          </w:tcPr>
          <w:p>
            <w:pPr>
              <w:pStyle w:val="12"/>
            </w:pPr>
            <w:r>
              <w:t>198.00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324新乐市自然资源和规划局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2657.18</w:t>
            </w:r>
          </w:p>
        </w:tc>
        <w:tc>
          <w:tcPr>
            <w:tcW w:w="2551" w:type="dxa"/>
            <w:vAlign w:val="center"/>
          </w:tcPr>
          <w:p>
            <w:pPr>
              <w:pStyle w:val="16"/>
            </w:pPr>
            <w:r>
              <w:t>2533.88</w:t>
            </w:r>
          </w:p>
        </w:tc>
        <w:tc>
          <w:tcPr>
            <w:tcW w:w="2551" w:type="dxa"/>
            <w:vAlign w:val="center"/>
          </w:tcPr>
          <w:p>
            <w:pPr>
              <w:pStyle w:val="16"/>
            </w:pPr>
            <w:r>
              <w:t>123.30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2353.98</w:t>
            </w:r>
          </w:p>
        </w:tc>
        <w:tc>
          <w:tcPr>
            <w:tcW w:w="2551" w:type="dxa"/>
            <w:vAlign w:val="center"/>
          </w:tcPr>
          <w:p>
            <w:pPr>
              <w:pStyle w:val="12"/>
            </w:pPr>
            <w:r>
              <w:t>2353.98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866.55</w:t>
            </w:r>
          </w:p>
        </w:tc>
        <w:tc>
          <w:tcPr>
            <w:tcW w:w="2551" w:type="dxa"/>
            <w:vAlign w:val="center"/>
          </w:tcPr>
          <w:p>
            <w:pPr>
              <w:pStyle w:val="12"/>
            </w:pPr>
            <w:r>
              <w:t>866.55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168.44</w:t>
            </w:r>
          </w:p>
        </w:tc>
        <w:tc>
          <w:tcPr>
            <w:tcW w:w="2551" w:type="dxa"/>
            <w:vAlign w:val="center"/>
          </w:tcPr>
          <w:p>
            <w:pPr>
              <w:pStyle w:val="12"/>
            </w:pPr>
            <w:r>
              <w:t>168.44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41.34</w:t>
            </w:r>
          </w:p>
        </w:tc>
        <w:tc>
          <w:tcPr>
            <w:tcW w:w="2551" w:type="dxa"/>
            <w:vAlign w:val="center"/>
          </w:tcPr>
          <w:p>
            <w:pPr>
              <w:pStyle w:val="12"/>
            </w:pPr>
            <w:r>
              <w:t>41.34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619.23</w:t>
            </w:r>
          </w:p>
        </w:tc>
        <w:tc>
          <w:tcPr>
            <w:tcW w:w="2551" w:type="dxa"/>
            <w:vAlign w:val="center"/>
          </w:tcPr>
          <w:p>
            <w:pPr>
              <w:pStyle w:val="12"/>
            </w:pPr>
            <w:r>
              <w:t>619.23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235.40</w:t>
            </w:r>
          </w:p>
        </w:tc>
        <w:tc>
          <w:tcPr>
            <w:tcW w:w="2551" w:type="dxa"/>
            <w:vAlign w:val="center"/>
          </w:tcPr>
          <w:p>
            <w:pPr>
              <w:pStyle w:val="12"/>
            </w:pPr>
            <w:r>
              <w:t>235.40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91.00</w:t>
            </w:r>
          </w:p>
        </w:tc>
        <w:tc>
          <w:tcPr>
            <w:tcW w:w="2551" w:type="dxa"/>
            <w:vAlign w:val="center"/>
          </w:tcPr>
          <w:p>
            <w:pPr>
              <w:pStyle w:val="12"/>
            </w:pPr>
            <w:r>
              <w:t>91.00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112.90</w:t>
            </w:r>
          </w:p>
        </w:tc>
        <w:tc>
          <w:tcPr>
            <w:tcW w:w="2551" w:type="dxa"/>
            <w:vAlign w:val="center"/>
          </w:tcPr>
          <w:p>
            <w:pPr>
              <w:pStyle w:val="12"/>
            </w:pPr>
            <w:r>
              <w:t>112.90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3.12</w:t>
            </w:r>
          </w:p>
        </w:tc>
        <w:tc>
          <w:tcPr>
            <w:tcW w:w="2551" w:type="dxa"/>
            <w:vAlign w:val="center"/>
          </w:tcPr>
          <w:p>
            <w:pPr>
              <w:pStyle w:val="12"/>
            </w:pPr>
            <w:r>
              <w:t>3.12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122.40</w:t>
            </w:r>
          </w:p>
        </w:tc>
        <w:tc>
          <w:tcPr>
            <w:tcW w:w="2551" w:type="dxa"/>
            <w:vAlign w:val="center"/>
          </w:tcPr>
          <w:p>
            <w:pPr>
              <w:pStyle w:val="12"/>
            </w:pPr>
          </w:p>
        </w:tc>
        <w:tc>
          <w:tcPr>
            <w:tcW w:w="2551" w:type="dxa"/>
            <w:vAlign w:val="center"/>
          </w:tcPr>
          <w:p>
            <w:pPr>
              <w:pStyle w:val="12"/>
            </w:pPr>
            <w:r>
              <w:t>122.40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13.76</w:t>
            </w:r>
          </w:p>
        </w:tc>
        <w:tc>
          <w:tcPr>
            <w:tcW w:w="2551" w:type="dxa"/>
            <w:vAlign w:val="center"/>
          </w:tcPr>
          <w:p>
            <w:pPr>
              <w:pStyle w:val="12"/>
            </w:pPr>
          </w:p>
        </w:tc>
        <w:tc>
          <w:tcPr>
            <w:tcW w:w="2551" w:type="dxa"/>
            <w:vAlign w:val="center"/>
          </w:tcPr>
          <w:p>
            <w:pPr>
              <w:pStyle w:val="12"/>
            </w:pPr>
            <w:r>
              <w:t>13.76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16.98</w:t>
            </w:r>
          </w:p>
        </w:tc>
        <w:tc>
          <w:tcPr>
            <w:tcW w:w="2551" w:type="dxa"/>
            <w:vAlign w:val="center"/>
          </w:tcPr>
          <w:p>
            <w:pPr>
              <w:pStyle w:val="12"/>
            </w:pPr>
          </w:p>
        </w:tc>
        <w:tc>
          <w:tcPr>
            <w:tcW w:w="2551" w:type="dxa"/>
            <w:vAlign w:val="center"/>
          </w:tcPr>
          <w:p>
            <w:pPr>
              <w:pStyle w:val="12"/>
            </w:pPr>
            <w:r>
              <w:t>16.98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20.92</w:t>
            </w:r>
          </w:p>
        </w:tc>
        <w:tc>
          <w:tcPr>
            <w:tcW w:w="2551" w:type="dxa"/>
            <w:vAlign w:val="center"/>
          </w:tcPr>
          <w:p>
            <w:pPr>
              <w:pStyle w:val="12"/>
            </w:pPr>
          </w:p>
        </w:tc>
        <w:tc>
          <w:tcPr>
            <w:tcW w:w="2551" w:type="dxa"/>
            <w:vAlign w:val="center"/>
          </w:tcPr>
          <w:p>
            <w:pPr>
              <w:pStyle w:val="12"/>
            </w:pPr>
            <w:r>
              <w:t>20.92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23.50</w:t>
            </w:r>
          </w:p>
        </w:tc>
        <w:tc>
          <w:tcPr>
            <w:tcW w:w="2551" w:type="dxa"/>
            <w:vAlign w:val="center"/>
          </w:tcPr>
          <w:p>
            <w:pPr>
              <w:pStyle w:val="12"/>
            </w:pPr>
          </w:p>
        </w:tc>
        <w:tc>
          <w:tcPr>
            <w:tcW w:w="2551" w:type="dxa"/>
            <w:vAlign w:val="center"/>
          </w:tcPr>
          <w:p>
            <w:pPr>
              <w:pStyle w:val="12"/>
            </w:pPr>
            <w:r>
              <w:t>23.50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11.52</w:t>
            </w:r>
          </w:p>
        </w:tc>
        <w:tc>
          <w:tcPr>
            <w:tcW w:w="2551" w:type="dxa"/>
            <w:vAlign w:val="center"/>
          </w:tcPr>
          <w:p>
            <w:pPr>
              <w:pStyle w:val="12"/>
            </w:pPr>
          </w:p>
        </w:tc>
        <w:tc>
          <w:tcPr>
            <w:tcW w:w="2551" w:type="dxa"/>
            <w:vAlign w:val="center"/>
          </w:tcPr>
          <w:p>
            <w:pPr>
              <w:pStyle w:val="12"/>
            </w:pPr>
            <w:r>
              <w:t>11.52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3.47</w:t>
            </w:r>
          </w:p>
        </w:tc>
        <w:tc>
          <w:tcPr>
            <w:tcW w:w="2551" w:type="dxa"/>
            <w:vAlign w:val="center"/>
          </w:tcPr>
          <w:p>
            <w:pPr>
              <w:pStyle w:val="12"/>
            </w:pPr>
          </w:p>
        </w:tc>
        <w:tc>
          <w:tcPr>
            <w:tcW w:w="2551" w:type="dxa"/>
            <w:vAlign w:val="center"/>
          </w:tcPr>
          <w:p>
            <w:pPr>
              <w:pStyle w:val="12"/>
            </w:pPr>
            <w:r>
              <w:t>3.47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180.80</w:t>
            </w:r>
          </w:p>
        </w:tc>
        <w:tc>
          <w:tcPr>
            <w:tcW w:w="2551" w:type="dxa"/>
            <w:vAlign w:val="center"/>
          </w:tcPr>
          <w:p>
            <w:pPr>
              <w:pStyle w:val="12"/>
            </w:pPr>
            <w:r>
              <w:t>179.90</w:t>
            </w:r>
          </w:p>
        </w:tc>
        <w:tc>
          <w:tcPr>
            <w:tcW w:w="2551"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173.47</w:t>
            </w:r>
          </w:p>
        </w:tc>
        <w:tc>
          <w:tcPr>
            <w:tcW w:w="2551" w:type="dxa"/>
            <w:vAlign w:val="center"/>
          </w:tcPr>
          <w:p>
            <w:pPr>
              <w:pStyle w:val="12"/>
            </w:pPr>
            <w:r>
              <w:t>173.47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6.43</w:t>
            </w:r>
          </w:p>
        </w:tc>
        <w:tc>
          <w:tcPr>
            <w:tcW w:w="2551" w:type="dxa"/>
            <w:vAlign w:val="center"/>
          </w:tcPr>
          <w:p>
            <w:pPr>
              <w:pStyle w:val="12"/>
            </w:pPr>
            <w:r>
              <w:t>6.43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324新乐市自然资源和规划局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6861.84</w:t>
            </w:r>
          </w:p>
        </w:tc>
        <w:tc>
          <w:tcPr>
            <w:tcW w:w="2551" w:type="dxa"/>
            <w:vAlign w:val="center"/>
          </w:tcPr>
          <w:p>
            <w:pPr>
              <w:pStyle w:val="16"/>
            </w:pPr>
          </w:p>
        </w:tc>
        <w:tc>
          <w:tcPr>
            <w:tcW w:w="2551" w:type="dxa"/>
            <w:vAlign w:val="center"/>
          </w:tcPr>
          <w:p>
            <w:pPr>
              <w:pStyle w:val="16"/>
            </w:pPr>
            <w:r>
              <w:t>6861.84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6861.84</w:t>
            </w:r>
          </w:p>
        </w:tc>
        <w:tc>
          <w:tcPr>
            <w:tcW w:w="2551" w:type="dxa"/>
            <w:vAlign w:val="center"/>
          </w:tcPr>
          <w:p>
            <w:pPr>
              <w:pStyle w:val="12"/>
            </w:pPr>
          </w:p>
        </w:tc>
        <w:tc>
          <w:tcPr>
            <w:tcW w:w="2551" w:type="dxa"/>
            <w:vAlign w:val="center"/>
          </w:tcPr>
          <w:p>
            <w:pPr>
              <w:pStyle w:val="12"/>
            </w:pPr>
            <w:r>
              <w:t>6861.84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6861.84</w:t>
            </w:r>
          </w:p>
        </w:tc>
        <w:tc>
          <w:tcPr>
            <w:tcW w:w="2551" w:type="dxa"/>
            <w:vAlign w:val="center"/>
          </w:tcPr>
          <w:p>
            <w:pPr>
              <w:pStyle w:val="12"/>
            </w:pPr>
          </w:p>
        </w:tc>
        <w:tc>
          <w:tcPr>
            <w:tcW w:w="2551" w:type="dxa"/>
            <w:vAlign w:val="center"/>
          </w:tcPr>
          <w:p>
            <w:pPr>
              <w:pStyle w:val="12"/>
            </w:pPr>
            <w:r>
              <w:t>6861.84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2120805</w:t>
            </w:r>
          </w:p>
        </w:tc>
        <w:tc>
          <w:tcPr>
            <w:tcW w:w="4535" w:type="dxa"/>
            <w:vAlign w:val="center"/>
          </w:tcPr>
          <w:p>
            <w:pPr>
              <w:pStyle w:val="13"/>
            </w:pPr>
            <w:r>
              <w:t>补助被征地农民支出</w:t>
            </w:r>
          </w:p>
        </w:tc>
        <w:tc>
          <w:tcPr>
            <w:tcW w:w="2551" w:type="dxa"/>
            <w:vAlign w:val="center"/>
          </w:tcPr>
          <w:p>
            <w:pPr>
              <w:pStyle w:val="12"/>
            </w:pPr>
            <w:r>
              <w:t>1896.05</w:t>
            </w:r>
          </w:p>
        </w:tc>
        <w:tc>
          <w:tcPr>
            <w:tcW w:w="2551" w:type="dxa"/>
            <w:vAlign w:val="center"/>
          </w:tcPr>
          <w:p>
            <w:pPr>
              <w:pStyle w:val="12"/>
            </w:pPr>
          </w:p>
        </w:tc>
        <w:tc>
          <w:tcPr>
            <w:tcW w:w="2551" w:type="dxa"/>
            <w:vAlign w:val="center"/>
          </w:tcPr>
          <w:p>
            <w:pPr>
              <w:pStyle w:val="12"/>
            </w:pPr>
            <w:r>
              <w:t>1896.05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2120814</w:t>
            </w:r>
          </w:p>
        </w:tc>
        <w:tc>
          <w:tcPr>
            <w:tcW w:w="4535" w:type="dxa"/>
            <w:vAlign w:val="center"/>
          </w:tcPr>
          <w:p>
            <w:pPr>
              <w:pStyle w:val="13"/>
            </w:pPr>
            <w:r>
              <w:t>农业生产发展支出</w:t>
            </w:r>
          </w:p>
        </w:tc>
        <w:tc>
          <w:tcPr>
            <w:tcW w:w="2551" w:type="dxa"/>
            <w:vAlign w:val="center"/>
          </w:tcPr>
          <w:p>
            <w:pPr>
              <w:pStyle w:val="12"/>
            </w:pPr>
            <w:r>
              <w:t>4000.00</w:t>
            </w:r>
          </w:p>
        </w:tc>
        <w:tc>
          <w:tcPr>
            <w:tcW w:w="2551" w:type="dxa"/>
            <w:vAlign w:val="center"/>
          </w:tcPr>
          <w:p>
            <w:pPr>
              <w:pStyle w:val="12"/>
            </w:pPr>
          </w:p>
        </w:tc>
        <w:tc>
          <w:tcPr>
            <w:tcW w:w="2551" w:type="dxa"/>
            <w:vAlign w:val="center"/>
          </w:tcPr>
          <w:p>
            <w:pPr>
              <w:pStyle w:val="12"/>
            </w:pPr>
            <w:r>
              <w:t>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965.79</w:t>
            </w:r>
          </w:p>
        </w:tc>
        <w:tc>
          <w:tcPr>
            <w:tcW w:w="2551" w:type="dxa"/>
            <w:vAlign w:val="center"/>
          </w:tcPr>
          <w:p>
            <w:pPr>
              <w:pStyle w:val="12"/>
            </w:pPr>
          </w:p>
        </w:tc>
        <w:tc>
          <w:tcPr>
            <w:tcW w:w="2551" w:type="dxa"/>
            <w:vAlign w:val="center"/>
          </w:tcPr>
          <w:p>
            <w:pPr>
              <w:pStyle w:val="12"/>
            </w:pPr>
            <w:r>
              <w:t>965.79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324新乐市自然资源和规划局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324新乐市自然资源和规划局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24.50</w:t>
            </w:r>
          </w:p>
        </w:tc>
        <w:tc>
          <w:tcPr>
            <w:tcW w:w="2381" w:type="dxa"/>
            <w:vAlign w:val="center"/>
          </w:tcPr>
          <w:p>
            <w:pPr>
              <w:pStyle w:val="16"/>
            </w:pPr>
            <w:r>
              <w:t>24.50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24.50</w:t>
            </w:r>
          </w:p>
        </w:tc>
        <w:tc>
          <w:tcPr>
            <w:tcW w:w="2381" w:type="dxa"/>
            <w:vAlign w:val="center"/>
          </w:tcPr>
          <w:p>
            <w:pPr>
              <w:pStyle w:val="12"/>
            </w:pPr>
            <w:r>
              <w:t>24.50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23.50</w:t>
            </w:r>
          </w:p>
        </w:tc>
        <w:tc>
          <w:tcPr>
            <w:tcW w:w="2381" w:type="dxa"/>
            <w:vAlign w:val="center"/>
          </w:tcPr>
          <w:p>
            <w:pPr>
              <w:pStyle w:val="12"/>
            </w:pPr>
            <w:r>
              <w:t>23.50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23.50</w:t>
            </w:r>
          </w:p>
        </w:tc>
        <w:tc>
          <w:tcPr>
            <w:tcW w:w="2381" w:type="dxa"/>
            <w:vAlign w:val="center"/>
          </w:tcPr>
          <w:p>
            <w:pPr>
              <w:pStyle w:val="12"/>
            </w:pPr>
            <w:r>
              <w:t>23.50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新乐市自然资源和规划局2025年部门预算信息公开情况说明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新乐市自然资源和规划局2025年部门预算信息公开情况说明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按照《中华人民共和国预算法》、《地方预决算公开操作规程》和《关于进一步推进预算公开工作的实施意见》规定，现将新乐市自然资源和规划局2025年部门预算公开如下：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（一）组织实施耕地与基本农田保护工作,组织建设用地审批，开展农村集体土地确权登记发证与土地变更调查,做好土地利用工作和不动产登记。</w:t>
      </w:r>
    </w:p>
    <w:p>
      <w:pPr>
        <w:pStyle w:val="18"/>
      </w:pPr>
      <w:r>
        <w:t>（二）开展县级基本农田保护和土地整理、复垦、开发工作。推进农村集体土地确权登记发证工作，完成年度土地变更调查工作，部署完成全县土地登记信息动态监管查询系统，进行不动产统一登记工作的调查研究，按照国家要求完成工作进度。</w:t>
      </w:r>
    </w:p>
    <w:p>
      <w:pPr>
        <w:pStyle w:val="18"/>
      </w:pPr>
      <w:r>
        <w:t>（三）推进节约集约用地，管理和监督城乡建设用地供应、政府土地储备、土地开发和节约集约利用，组织实施城乡建设用地增减挂钩。提高全县节约集约用地水平，维护全县土地市场良好秩序，统筹组织城乡建设用地增减挂钩管理和未利用地调查评价及利用。</w:t>
      </w:r>
    </w:p>
    <w:p>
      <w:pPr>
        <w:pStyle w:val="18"/>
      </w:pPr>
      <w:r>
        <w:t>（四）负责全县矿产资源开发管理，组织实施矿产资源勘查、重大地质勘查，推动地质环境恢复治理和地质遗迹保护工作。地质找矿取得显著成效，加强地质灾害防治力度和环境治理，按规定推进矿产资源管理。</w:t>
      </w:r>
    </w:p>
    <w:p>
      <w:pPr>
        <w:pStyle w:val="18"/>
      </w:pPr>
      <w:r>
        <w:t>（五）组织实施县级矿业权审批登记发证的管理工作，编制实施矿业权设置方案，矿产资源保护和保护性开采特定矿种的管理事项，下达开采总量控制指标，管理矿业权市场，调处重大矿业权权属纠纷。促进我县矿业权设置科学合理布局，保障和促进矿产资源的合理开发利用，为我县矿产资源的可持续发展提供保障。</w:t>
      </w:r>
    </w:p>
    <w:p>
      <w:pPr>
        <w:pStyle w:val="18"/>
      </w:pPr>
      <w:r>
        <w:t>（六）做好矿产资源储量评审、登记统计等工作，加强建设项目压覆矿产资源查询和地质成果资料管理工作。强化矿山资源储量动态监测及矿业权监督管理，做好矿山督察，推广先进适用技术，推进矿产资源节约与综合利用。</w:t>
      </w:r>
    </w:p>
    <w:p>
      <w:pPr>
        <w:pStyle w:val="18"/>
      </w:pPr>
      <w:r>
        <w:t>（七）开展县级地质环境综合调查评价,加强矿山地质环境保护工作，开展矿山地质环境调查评价和监测,建立矿山环境动态数据库；监督管理古生物化石、地质遗迹、矿业遗迹、海洋等重要保护区与保护地。</w:t>
      </w:r>
    </w:p>
    <w:p>
      <w:pPr>
        <w:pStyle w:val="18"/>
      </w:pPr>
      <w:r>
        <w:t>（八）组织实施地质灾害的防治工作，建立地质灾害调查评价、监测预警、应急和治理避让体系。掌握全县地质灾害动态现状，建立数据库和管理系统，完善监测预警措施，加大重大地质灾害治理力度。</w:t>
      </w:r>
    </w:p>
    <w:p>
      <w:pPr>
        <w:pStyle w:val="18"/>
      </w:pPr>
      <w:r>
        <w:t>（九）强化县级国土资源执法监察工作,提高国土资源执法能力。进一步加大执法监督力度。</w:t>
      </w:r>
    </w:p>
    <w:p>
      <w:pPr>
        <w:pStyle w:val="18"/>
      </w:pPr>
      <w:r>
        <w:t>对县级国土资源法律法规执行情况监督检查，依法查处国土资源违法案件。组织国土资源（海洋）执法监察部门，及时发现、制止违法行为。依法查处案件，开展卫片执法监督检查，协调、联络土地督察机构，推进国土资源基层所标准化建设等。</w:t>
      </w:r>
    </w:p>
    <w:p>
      <w:pPr>
        <w:pStyle w:val="18"/>
      </w:pPr>
      <w:r>
        <w:t>(十)组织编制、补充、修订、调整市域城镇体系规划和城乡、镇的总体规划、专项规划、城市设计以及重要地块的修建性详细规划。负责城乡规划实施和管理工作。负责历史优秀建筑和历史文物古迹保护的规划管理；会同有关部门做好历史文化名城相关的审查、报批和保护监督工作。负责城乡规划的监督工作。按照管理权限对违反城乡规划的行为依法予以认定；依法查处城市规划区外乡、镇、村庄的违反城乡规划的行为；协助有关部门依法查处城市规划区内违反城乡规划的行为。根据城乡规划工作的需要，负责规划勘探、勘察、测绘工作；负责城乡规划档案管理工作。承办有关行政应诉和行政复议案件。负责城乡规划委员会日常工作，承办市政府交办的其他事项。</w:t>
      </w:r>
    </w:p>
    <w:p>
      <w:pPr>
        <w:pStyle w:val="18"/>
      </w:pPr>
      <w:r>
        <w:t>（十一）实施城镇古树名木和风景名胜资源保护，加强风景名胜区监测管理；编制历史文化名城名镇名村及传统村落规划，加强保护，对核心保护范围内的历史建筑、传统建筑修缮、基础设施改造和环境综合整治；组织编制国家级风景名胜区规划</w:t>
      </w:r>
    </w:p>
    <w:p>
      <w:pPr>
        <w:pStyle w:val="18"/>
      </w:pPr>
      <w:r>
        <w:t xml:space="preserve">（十二）拟定全县城乡规划管理政策，制定城乡规划技术管理标准和导则；组织县域城镇体系规划等县级层面规划编制，依法编制总体规划、专项规划、控制性详细规划、历史文化名城和街区保护等专项规划。审查、督导依法编制城乡规划；    </w:t>
      </w:r>
    </w:p>
    <w:p>
      <w:pPr>
        <w:pStyle w:val="18"/>
      </w:pPr>
      <w:r>
        <w:t>（十三）负责全市森林资源的管理；监督执行林木采伐与运输等林政管理工作，负责林地、林权管理及森林资源的有偿使用和林地开发利用工作；负责全市陆生野生动物、植物资源的保护管理和合理开发利用；负责各类商品林和风景林的建设和管理；负责野生动物运输、经营、加工、利用的执法检查；负责打击滥采乱伐、盗林毁林、木材非法经营运输行为以及国家林业政策宣传等工作。</w:t>
      </w:r>
    </w:p>
    <w:p>
      <w:pPr>
        <w:pStyle w:val="18"/>
      </w:pPr>
      <w:r>
        <w:t>（十四）承担全市森林防火指挥部的日常工作，负责组织协调、指挥、调度全市森林防火工作，指导全市林业公安工作和林业公安队伍建设；指导、监督、查处破坏森林资源和野生动植物资源的案件。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新乐市自然资源和规划局本级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按照预算管理有关规定，目前部门预算的编制实行综合预算管理，即全部收入和支出都反映在预算中。新乐市自然资源和规划局机关及所属事业单位的收支包含在部门预算中。</w:t>
      </w:r>
    </w:p>
    <w:p>
      <w:pPr>
        <w:pStyle w:val="19"/>
      </w:pPr>
      <w:r>
        <w:t>1、收入说明</w:t>
      </w:r>
    </w:p>
    <w:p>
      <w:pPr>
        <w:pStyle w:val="19"/>
      </w:pPr>
      <w:r>
        <w:t>反映本部门当年全部收入。2025年预算收入9786.34万元，其中：一般公共预算收入2924.50万元，基金预算收入6861.84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自然资源和规划局年度部门预算中支出预算的总体情况。2025年支出预算9786.34万元，其中基本支出2657.18万元，包括人员经费2533.88万元和日常公用经费123.30万元；项目支出7129.16万元，主要为其中包括土地整理和自然资源利用与管理4000万元；林业补贴1896.0517万元；以前年度和2024年度上级下达10笔专项资金1233.11万元。</w:t>
      </w:r>
    </w:p>
    <w:p>
      <w:pPr>
        <w:pStyle w:val="19"/>
      </w:pPr>
      <w:r>
        <w:t>3、比上年增减情况</w:t>
      </w:r>
    </w:p>
    <w:p>
      <w:pPr>
        <w:pStyle w:val="19"/>
      </w:pPr>
      <w:r>
        <w:t>2025年预算收支安排9786.34万元，较2024年预算减少2211.33万元，其中：基本支出减少502.35万元，主要为树立过紧日子的观念，压缩支出，特殊因素类支出未列入预算，节省财政资金。项目支出减少1708.98万元，主要为树立过紧日子的观念，压缩支出，特殊因素类支出未列入预算，节省财政资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始终以习近平新时代中国特色社会主义思想为指导，在市委、市政府的坚强领导下，深入学习贯彻习近平总书记系列重要讲话精神，积极主动作为，聚焦年度目标任务，以规划为引领，以要素保障为抓手，以服务民生为落脚点，统筹推进各项工作，为推动经济社会高质量发展提供资源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一、坚持规划引领，构建城市高质量发展新格局。</w:t>
      </w:r>
    </w:p>
    <w:p>
      <w:pPr>
        <w:pStyle w:val="23"/>
      </w:pPr>
      <w:r>
        <w:t>一是根据上级文件要求，继续推进国土空间总体规划编制及审批工作。二是积极推进《新乐市中心城区控制性详细规划》、各类专项规划、总体城市设计和重点片区城市设计、《新乐市2023年度国土空间规划城市体检评估》等编制工作。三是扎实有序推进100个村庄的村庄规划编制工作，着力实现村庄规划应编尽编。</w:t>
      </w:r>
    </w:p>
    <w:p>
      <w:pPr>
        <w:pStyle w:val="23"/>
      </w:pPr>
      <w:r>
        <w:t>二、做好土地征收与供应，全力保障重点项目落地。</w:t>
      </w:r>
    </w:p>
    <w:p>
      <w:pPr>
        <w:pStyle w:val="23"/>
      </w:pPr>
      <w:r>
        <w:t>一是高效率开展征地组卷工作，细化、深化我市建设用地报批工作流程，认真落实征收政策，继续加快推进2023年未获得批复的征地工作，从而重保障我市重点项目顺利落地。二是持续做好土地收储工作。三是严格做好土地供应工作。编制用地供应计划，将全年的供应地块纳入计划中，做到统一管理、统一部署，合理控制土地供应总量，把握土地供应时序，确保执行到位，优先保障民生项目，重点项目用地需求。</w:t>
      </w:r>
    </w:p>
    <w:p>
      <w:pPr>
        <w:pStyle w:val="23"/>
      </w:pPr>
      <w:r>
        <w:t>三、统筹协调推进，实现宅基地应登尽登。</w:t>
      </w:r>
    </w:p>
    <w:p>
      <w:pPr>
        <w:pStyle w:val="23"/>
      </w:pPr>
      <w:r>
        <w:t>一是积极推进宅基地和集体建设用地确权登记发证工作。在完成宅基地房地一体审核的基础上，通过首次登记、变更登记或转移登记的方式，对农村宅基地使用权和房屋所有权进行登记，确保在石家庄市不落后。二是加快推行农村不动产登记“就近办”。通过对登记系统改造，完善登记业务流程，在各乡镇行政服务大厅设立农村不动产登记便民服务网点，让农民在家门口即可享受到便利的不动产登记服务。</w:t>
      </w:r>
    </w:p>
    <w:p>
      <w:pPr>
        <w:pStyle w:val="23"/>
      </w:pPr>
      <w:r>
        <w:t>四、落实耕地“占补平衡”，充分挖掘补充耕地潜力。</w:t>
      </w:r>
    </w:p>
    <w:p>
      <w:pPr>
        <w:pStyle w:val="23"/>
      </w:pPr>
      <w:r>
        <w:t>一是继续完成2023年土地整治（占补平衡）项目日常变更和报备入库工作。二是不断加强耕地占补平衡规范管理，全力以赴推进2024年度谋划的10个土地整治（占补平衡）项目工作开展，预计新增耕地2826亩，新增产能约85万公斤；三是全力推进2024年谋划的新乐市提质改造提升粮食产能1个项目，总规模10万亩，新增粮食产能约10万个。</w:t>
      </w:r>
    </w:p>
    <w:p>
      <w:pPr>
        <w:pStyle w:val="23"/>
      </w:pPr>
      <w:r>
        <w:t>五、持续强化宣传，坚决遏制新增违法行为。</w:t>
      </w:r>
    </w:p>
    <w:p>
      <w:pPr>
        <w:pStyle w:val="23"/>
      </w:pPr>
      <w:r>
        <w:t>一是加强源头防控，进一步拓宽严格保护耕地宣传的广度和深度，扩大宣传效果，消除宣传盲区，做到群众意识提上去，违法数量降下来。二是强化卫片执法，加大巡查力度，做到早发现、早制止、早处理。以长牙齿的硬措施严格保护耕地，以“零容忍”的态度坚决遏制新增违法用地行为。</w:t>
      </w:r>
    </w:p>
    <w:p>
      <w:pPr>
        <w:pStyle w:val="23"/>
      </w:pP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深入学习贯彻习近平新时代中国特色社会主义思想、习近平总书记考察河北</w:t>
      </w:r>
      <w:r>
        <w:rPr>
          <w:rFonts w:hint="eastAsia"/>
          <w:lang w:eastAsia="zh-CN"/>
        </w:rPr>
        <w:t>重要讲话精神</w:t>
      </w:r>
      <w:r>
        <w:t>，扎实</w:t>
      </w:r>
      <w:r>
        <w:rPr>
          <w:rFonts w:hint="eastAsia"/>
          <w:lang w:eastAsia="zh-CN"/>
        </w:rPr>
        <w:t>深入开展学习贯彻习近平新时代中国特色社会主义思想主题教育</w:t>
      </w:r>
      <w:r>
        <w:t>学习，进一步增强“四个意识”，坚定“四个自信”，做到“两个维护”。2024年，我们将紧盯工作目标不放手，严格按照高质量发展要求，全力以赴完成各项重点工作，为我市自然资源高质量发展贡献力量。</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1、2025年本级支出--林业补贴绩效目标表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13018425P005222100127</w:t>
            </w:r>
          </w:p>
        </w:tc>
        <w:tc>
          <w:tcPr>
            <w:tcW w:w="2835" w:type="dxa"/>
            <w:vAlign w:val="center"/>
          </w:tcPr>
          <w:p>
            <w:pPr>
              <w:pStyle w:val="11"/>
            </w:pPr>
            <w:r>
              <w:t>项目名称</w:t>
            </w:r>
          </w:p>
        </w:tc>
        <w:tc>
          <w:tcPr>
            <w:tcW w:w="6095" w:type="dxa"/>
            <w:gridSpan w:val="3"/>
            <w:vAlign w:val="center"/>
          </w:tcPr>
          <w:p>
            <w:pPr>
              <w:pStyle w:val="13"/>
            </w:pPr>
            <w:r>
              <w:t>2025年本级支出--林业补贴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1896.05</w:t>
            </w:r>
          </w:p>
        </w:tc>
        <w:tc>
          <w:tcPr>
            <w:tcW w:w="2835" w:type="dxa"/>
            <w:vAlign w:val="center"/>
          </w:tcPr>
          <w:p>
            <w:pPr>
              <w:pStyle w:val="11"/>
            </w:pPr>
            <w:r>
              <w:t>其中：财政    资金</w:t>
            </w:r>
          </w:p>
        </w:tc>
        <w:tc>
          <w:tcPr>
            <w:tcW w:w="2551" w:type="dxa"/>
            <w:vAlign w:val="center"/>
          </w:tcPr>
          <w:p>
            <w:pPr>
              <w:pStyle w:val="13"/>
            </w:pPr>
            <w:r>
              <w:t>1896.05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用于拨付造林绿化占地补助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1896.05</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1.2018年-2024年部分造林绿化补助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造林绿化建设面积</w:t>
            </w:r>
          </w:p>
        </w:tc>
        <w:tc>
          <w:tcPr>
            <w:tcW w:w="5386" w:type="dxa"/>
            <w:vAlign w:val="center"/>
          </w:tcPr>
          <w:p>
            <w:pPr>
              <w:pStyle w:val="13"/>
            </w:pPr>
            <w:r>
              <w:t>交通干线廊道绿化建设面积</w:t>
            </w:r>
          </w:p>
        </w:tc>
        <w:tc>
          <w:tcPr>
            <w:tcW w:w="2268" w:type="dxa"/>
            <w:vAlign w:val="center"/>
          </w:tcPr>
          <w:p>
            <w:pPr>
              <w:pStyle w:val="13"/>
            </w:pPr>
            <w:r>
              <w:t>10469.34亩</w:t>
            </w:r>
          </w:p>
        </w:tc>
        <w:tc>
          <w:tcPr>
            <w:tcW w:w="1276" w:type="dxa"/>
            <w:vAlign w:val="center"/>
          </w:tcPr>
          <w:p>
            <w:pPr>
              <w:pStyle w:val="13"/>
            </w:pPr>
            <w:r>
              <w:t>本级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造林完成面积合格率</w:t>
            </w:r>
          </w:p>
        </w:tc>
        <w:tc>
          <w:tcPr>
            <w:tcW w:w="5386" w:type="dxa"/>
            <w:vAlign w:val="center"/>
          </w:tcPr>
          <w:p>
            <w:pPr>
              <w:pStyle w:val="13"/>
            </w:pPr>
            <w:r>
              <w:t>造林完成面积合格率</w:t>
            </w:r>
          </w:p>
        </w:tc>
        <w:tc>
          <w:tcPr>
            <w:tcW w:w="2268" w:type="dxa"/>
            <w:vAlign w:val="center"/>
          </w:tcPr>
          <w:p>
            <w:pPr>
              <w:pStyle w:val="13"/>
            </w:pPr>
            <w:r>
              <w:t>≥85百分比</w:t>
            </w:r>
          </w:p>
        </w:tc>
        <w:tc>
          <w:tcPr>
            <w:tcW w:w="1276" w:type="dxa"/>
            <w:vAlign w:val="center"/>
          </w:tcPr>
          <w:p>
            <w:pPr>
              <w:pStyle w:val="13"/>
            </w:pPr>
            <w:r>
              <w:t>本级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造林当期任务完成率</w:t>
            </w:r>
          </w:p>
        </w:tc>
        <w:tc>
          <w:tcPr>
            <w:tcW w:w="5386" w:type="dxa"/>
            <w:vAlign w:val="center"/>
          </w:tcPr>
          <w:p>
            <w:pPr>
              <w:pStyle w:val="13"/>
            </w:pPr>
            <w:r>
              <w:t>造林当期任务完成率</w:t>
            </w:r>
          </w:p>
        </w:tc>
        <w:tc>
          <w:tcPr>
            <w:tcW w:w="2268" w:type="dxa"/>
            <w:vAlign w:val="center"/>
          </w:tcPr>
          <w:p>
            <w:pPr>
              <w:pStyle w:val="13"/>
            </w:pPr>
            <w:r>
              <w:t>≥90百分比</w:t>
            </w:r>
          </w:p>
        </w:tc>
        <w:tc>
          <w:tcPr>
            <w:tcW w:w="1276" w:type="dxa"/>
            <w:vAlign w:val="center"/>
          </w:tcPr>
          <w:p>
            <w:pPr>
              <w:pStyle w:val="13"/>
            </w:pPr>
            <w:r>
              <w:t>本级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交通干线廊道绿化占地费补助标准</w:t>
            </w:r>
          </w:p>
        </w:tc>
        <w:tc>
          <w:tcPr>
            <w:tcW w:w="5386" w:type="dxa"/>
            <w:vAlign w:val="center"/>
          </w:tcPr>
          <w:p>
            <w:pPr>
              <w:pStyle w:val="13"/>
            </w:pPr>
            <w:r>
              <w:t>交通干线廊道绿化占地费补助标准</w:t>
            </w:r>
          </w:p>
        </w:tc>
        <w:tc>
          <w:tcPr>
            <w:tcW w:w="2268" w:type="dxa"/>
            <w:vAlign w:val="center"/>
          </w:tcPr>
          <w:p>
            <w:pPr>
              <w:pStyle w:val="13"/>
            </w:pPr>
            <w:r>
              <w:t>1200元</w:t>
            </w:r>
          </w:p>
        </w:tc>
        <w:tc>
          <w:tcPr>
            <w:tcW w:w="1276" w:type="dxa"/>
            <w:vAlign w:val="center"/>
          </w:tcPr>
          <w:p>
            <w:pPr>
              <w:pStyle w:val="13"/>
            </w:pPr>
            <w:r>
              <w:t>本级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项目带动周边群众就业率</w:t>
            </w:r>
          </w:p>
        </w:tc>
        <w:tc>
          <w:tcPr>
            <w:tcW w:w="5386" w:type="dxa"/>
            <w:vAlign w:val="center"/>
          </w:tcPr>
          <w:p>
            <w:pPr>
              <w:pStyle w:val="13"/>
            </w:pPr>
            <w:r>
              <w:t>项目带动周边群众就业率</w:t>
            </w:r>
          </w:p>
        </w:tc>
        <w:tc>
          <w:tcPr>
            <w:tcW w:w="2268" w:type="dxa"/>
            <w:vAlign w:val="center"/>
          </w:tcPr>
          <w:p>
            <w:pPr>
              <w:pStyle w:val="13"/>
            </w:pPr>
            <w:r>
              <w:t>≥85百分比</w:t>
            </w:r>
          </w:p>
        </w:tc>
        <w:tc>
          <w:tcPr>
            <w:tcW w:w="1276" w:type="dxa"/>
            <w:vAlign w:val="center"/>
          </w:tcPr>
          <w:p>
            <w:pPr>
              <w:pStyle w:val="13"/>
            </w:pPr>
            <w:r>
              <w:t>本级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项目生态效益发挥率</w:t>
            </w:r>
          </w:p>
        </w:tc>
        <w:tc>
          <w:tcPr>
            <w:tcW w:w="5386" w:type="dxa"/>
            <w:vAlign w:val="center"/>
          </w:tcPr>
          <w:p>
            <w:pPr>
              <w:pStyle w:val="13"/>
            </w:pPr>
            <w:r>
              <w:t>项目生态效益发挥率</w:t>
            </w:r>
          </w:p>
        </w:tc>
        <w:tc>
          <w:tcPr>
            <w:tcW w:w="2268" w:type="dxa"/>
            <w:vAlign w:val="center"/>
          </w:tcPr>
          <w:p>
            <w:pPr>
              <w:pStyle w:val="13"/>
            </w:pPr>
            <w:r>
              <w:t>≥90百分比</w:t>
            </w:r>
          </w:p>
        </w:tc>
        <w:tc>
          <w:tcPr>
            <w:tcW w:w="1276" w:type="dxa"/>
            <w:vAlign w:val="center"/>
          </w:tcPr>
          <w:p>
            <w:pPr>
              <w:pStyle w:val="13"/>
            </w:pPr>
            <w:r>
              <w:t>本级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项目参与人员及项目周边群众满意度</w:t>
            </w:r>
          </w:p>
        </w:tc>
        <w:tc>
          <w:tcPr>
            <w:tcW w:w="5386" w:type="dxa"/>
            <w:vAlign w:val="center"/>
          </w:tcPr>
          <w:p>
            <w:pPr>
              <w:pStyle w:val="13"/>
            </w:pPr>
            <w:r>
              <w:t>项目参与人员及项目周边群众满意度</w:t>
            </w:r>
          </w:p>
        </w:tc>
        <w:tc>
          <w:tcPr>
            <w:tcW w:w="2268" w:type="dxa"/>
            <w:vAlign w:val="center"/>
          </w:tcPr>
          <w:p>
            <w:pPr>
              <w:pStyle w:val="13"/>
            </w:pPr>
            <w:r>
              <w:t>≥95百分比</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2、2025年本级支出--土地整理和自然资源利用与管理绩效目标表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13018425P005245100042</w:t>
            </w:r>
          </w:p>
        </w:tc>
        <w:tc>
          <w:tcPr>
            <w:tcW w:w="2835" w:type="dxa"/>
            <w:vAlign w:val="center"/>
          </w:tcPr>
          <w:p>
            <w:pPr>
              <w:pStyle w:val="11"/>
            </w:pPr>
            <w:r>
              <w:t>项目名称</w:t>
            </w:r>
          </w:p>
        </w:tc>
        <w:tc>
          <w:tcPr>
            <w:tcW w:w="6095" w:type="dxa"/>
            <w:gridSpan w:val="3"/>
            <w:vAlign w:val="center"/>
          </w:tcPr>
          <w:p>
            <w:pPr>
              <w:pStyle w:val="13"/>
            </w:pPr>
            <w:r>
              <w:t>2025年本级支出--土地整理和自然资源利用与管理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w:t>
            </w:r>
          </w:p>
        </w:tc>
        <w:tc>
          <w:tcPr>
            <w:tcW w:w="2835" w:type="dxa"/>
            <w:vAlign w:val="center"/>
          </w:tcPr>
          <w:p>
            <w:pPr>
              <w:pStyle w:val="11"/>
            </w:pPr>
            <w:r>
              <w:t>其中：财政    资金</w:t>
            </w:r>
          </w:p>
        </w:tc>
        <w:tc>
          <w:tcPr>
            <w:tcW w:w="2551" w:type="dxa"/>
            <w:vAlign w:val="center"/>
          </w:tcPr>
          <w:p>
            <w:pPr>
              <w:pStyle w:val="13"/>
            </w:pPr>
            <w:r>
              <w:t>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用于土地整治和自然资源利用与保护支出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2000.00</w:t>
            </w:r>
          </w:p>
        </w:tc>
        <w:tc>
          <w:tcPr>
            <w:tcW w:w="2835" w:type="dxa"/>
            <w:vAlign w:val="center"/>
          </w:tcPr>
          <w:p>
            <w:pPr>
              <w:pStyle w:val="14"/>
            </w:pPr>
            <w:r>
              <w:t xml:space="preserve"> </w:t>
            </w:r>
          </w:p>
        </w:tc>
        <w:tc>
          <w:tcPr>
            <w:tcW w:w="2551" w:type="dxa"/>
            <w:vAlign w:val="center"/>
          </w:tcPr>
          <w:p>
            <w:pPr>
              <w:pStyle w:val="14"/>
            </w:pPr>
            <w:r>
              <w:t>4000.00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1.用于土地整理和自然资源利用与管理类支出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完成数量</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按时拨付资金</w:t>
            </w:r>
          </w:p>
        </w:tc>
        <w:tc>
          <w:tcPr>
            <w:tcW w:w="5386" w:type="dxa"/>
            <w:vAlign w:val="center"/>
          </w:tcPr>
          <w:p>
            <w:pPr>
              <w:pStyle w:val="13"/>
            </w:pPr>
            <w:r>
              <w:t>按时拨付资金</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社会效益增长率</w:t>
            </w:r>
          </w:p>
        </w:tc>
        <w:tc>
          <w:tcPr>
            <w:tcW w:w="5386" w:type="dxa"/>
            <w:vAlign w:val="center"/>
          </w:tcPr>
          <w:p>
            <w:pPr>
              <w:pStyle w:val="13"/>
            </w:pPr>
            <w:r>
              <w:t>社会效益增长率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100百分比</w:t>
            </w:r>
          </w:p>
        </w:tc>
        <w:tc>
          <w:tcPr>
            <w:tcW w:w="1276" w:type="dxa"/>
            <w:vAlign w:val="center"/>
          </w:tcPr>
          <w:p>
            <w:pPr>
              <w:pStyle w:val="13"/>
            </w:pPr>
            <w:r>
              <w:t>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3、冀财资环【2020】65号--提前下达新增费返还市县部分绩效目标表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13018425P005245100017</w:t>
            </w:r>
          </w:p>
        </w:tc>
        <w:tc>
          <w:tcPr>
            <w:tcW w:w="2835" w:type="dxa"/>
            <w:vAlign w:val="center"/>
          </w:tcPr>
          <w:p>
            <w:pPr>
              <w:pStyle w:val="11"/>
            </w:pPr>
            <w:r>
              <w:t>项目名称</w:t>
            </w:r>
          </w:p>
        </w:tc>
        <w:tc>
          <w:tcPr>
            <w:tcW w:w="6095" w:type="dxa"/>
            <w:gridSpan w:val="3"/>
            <w:vAlign w:val="center"/>
          </w:tcPr>
          <w:p>
            <w:pPr>
              <w:pStyle w:val="13"/>
            </w:pPr>
            <w:r>
              <w:t>冀财资环【2020】65号--提前下达新增费返还市县部分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用于自然资源利用与保护支出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140.00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1.用于自然资源利用与保护支出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完成数量</w:t>
            </w:r>
          </w:p>
        </w:tc>
        <w:tc>
          <w:tcPr>
            <w:tcW w:w="5386" w:type="dxa"/>
            <w:vAlign w:val="center"/>
          </w:tcPr>
          <w:p>
            <w:pPr>
              <w:pStyle w:val="13"/>
            </w:pPr>
            <w:r>
              <w:t>完成数量</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100百分比</w:t>
            </w:r>
          </w:p>
        </w:tc>
        <w:tc>
          <w:tcPr>
            <w:tcW w:w="1276" w:type="dxa"/>
            <w:vAlign w:val="center"/>
          </w:tcPr>
          <w:p>
            <w:pPr>
              <w:pStyle w:val="13"/>
            </w:pPr>
            <w:r>
              <w:t>实际完成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4、冀财资环【2020】94号-提前下达2021年中央财政林业改革发展资金绩效目标表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13018425P000098100089</w:t>
            </w:r>
          </w:p>
        </w:tc>
        <w:tc>
          <w:tcPr>
            <w:tcW w:w="2835" w:type="dxa"/>
            <w:vAlign w:val="center"/>
          </w:tcPr>
          <w:p>
            <w:pPr>
              <w:pStyle w:val="11"/>
            </w:pPr>
            <w:r>
              <w:t>项目名称</w:t>
            </w:r>
          </w:p>
        </w:tc>
        <w:tc>
          <w:tcPr>
            <w:tcW w:w="6095" w:type="dxa"/>
            <w:gridSpan w:val="3"/>
            <w:vAlign w:val="center"/>
          </w:tcPr>
          <w:p>
            <w:pPr>
              <w:pStyle w:val="13"/>
            </w:pPr>
            <w:r>
              <w:t>冀财资环【2020】94号-提前下达2021年中央财政林业改革发展资金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4.44</w:t>
            </w:r>
          </w:p>
        </w:tc>
        <w:tc>
          <w:tcPr>
            <w:tcW w:w="2835" w:type="dxa"/>
            <w:vAlign w:val="center"/>
          </w:tcPr>
          <w:p>
            <w:pPr>
              <w:pStyle w:val="11"/>
            </w:pPr>
            <w:r>
              <w:t>其中：财政    资金</w:t>
            </w:r>
          </w:p>
        </w:tc>
        <w:tc>
          <w:tcPr>
            <w:tcW w:w="2551" w:type="dxa"/>
            <w:vAlign w:val="center"/>
          </w:tcPr>
          <w:p>
            <w:pPr>
              <w:pStyle w:val="13"/>
            </w:pPr>
            <w:r>
              <w:t>4.44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森林抚育（上一轮退耕还生态林）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4.44</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1.森林抚育（上一轮退耕还生态林）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数量指标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5386" w:type="dxa"/>
            <w:vAlign w:val="center"/>
          </w:tcPr>
          <w:p>
            <w:pPr>
              <w:pStyle w:val="13"/>
            </w:pPr>
            <w:r>
              <w:t>资金按时拨付</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成本利用率</w:t>
            </w:r>
          </w:p>
        </w:tc>
        <w:tc>
          <w:tcPr>
            <w:tcW w:w="5386" w:type="dxa"/>
            <w:vAlign w:val="center"/>
          </w:tcPr>
          <w:p>
            <w:pPr>
              <w:pStyle w:val="13"/>
            </w:pPr>
            <w:r>
              <w:t>成本利用率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补助对象满意度</w:t>
            </w:r>
          </w:p>
        </w:tc>
        <w:tc>
          <w:tcPr>
            <w:tcW w:w="5386" w:type="dxa"/>
            <w:vAlign w:val="center"/>
          </w:tcPr>
          <w:p>
            <w:pPr>
              <w:pStyle w:val="13"/>
            </w:pPr>
            <w:r>
              <w:t>补助对象满意度</w:t>
            </w:r>
          </w:p>
        </w:tc>
        <w:tc>
          <w:tcPr>
            <w:tcW w:w="2268" w:type="dxa"/>
            <w:vAlign w:val="center"/>
          </w:tcPr>
          <w:p>
            <w:pPr>
              <w:pStyle w:val="13"/>
            </w:pPr>
            <w:r>
              <w:t>100百分比</w:t>
            </w:r>
          </w:p>
        </w:tc>
        <w:tc>
          <w:tcPr>
            <w:tcW w:w="1276" w:type="dxa"/>
            <w:vAlign w:val="center"/>
          </w:tcPr>
          <w:p>
            <w:pPr>
              <w:pStyle w:val="13"/>
            </w:pPr>
            <w:r>
              <w:t>及时拨付资金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5、冀财资环【2022】91号、冀财资环【2022】104号-关于提前下达2023年中央及省级林业改革发展补助资金绩效目标表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13018425P00009810007M</w:t>
            </w:r>
          </w:p>
        </w:tc>
        <w:tc>
          <w:tcPr>
            <w:tcW w:w="2835" w:type="dxa"/>
            <w:vAlign w:val="center"/>
          </w:tcPr>
          <w:p>
            <w:pPr>
              <w:pStyle w:val="11"/>
            </w:pPr>
            <w:r>
              <w:t>项目名称</w:t>
            </w:r>
          </w:p>
        </w:tc>
        <w:tc>
          <w:tcPr>
            <w:tcW w:w="6095" w:type="dxa"/>
            <w:gridSpan w:val="3"/>
            <w:vAlign w:val="center"/>
          </w:tcPr>
          <w:p>
            <w:pPr>
              <w:pStyle w:val="13"/>
            </w:pPr>
            <w:r>
              <w:t>冀财资环【2022】91号、冀财资环【2022】104号-关于提前下达2023年中央及省级林业改革发展补助资金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27.13</w:t>
            </w:r>
          </w:p>
        </w:tc>
        <w:tc>
          <w:tcPr>
            <w:tcW w:w="2835" w:type="dxa"/>
            <w:vAlign w:val="center"/>
          </w:tcPr>
          <w:p>
            <w:pPr>
              <w:pStyle w:val="11"/>
            </w:pPr>
            <w:r>
              <w:t>其中：财政    资金</w:t>
            </w:r>
          </w:p>
        </w:tc>
        <w:tc>
          <w:tcPr>
            <w:tcW w:w="2551" w:type="dxa"/>
            <w:vAlign w:val="center"/>
          </w:tcPr>
          <w:p>
            <w:pPr>
              <w:pStyle w:val="13"/>
            </w:pPr>
            <w:r>
              <w:t>27.13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造林补助、森林质量提升补助、太行山绿化及其他重点区域奖补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27.13</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1.造林补助、森林质量提升补助、太行山绿化及其他重点区域奖补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数量指标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5386" w:type="dxa"/>
            <w:vAlign w:val="center"/>
          </w:tcPr>
          <w:p>
            <w:pPr>
              <w:pStyle w:val="13"/>
            </w:pPr>
            <w:r>
              <w:t>资金按时拨付</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成本利用率</w:t>
            </w:r>
          </w:p>
        </w:tc>
        <w:tc>
          <w:tcPr>
            <w:tcW w:w="5386" w:type="dxa"/>
            <w:vAlign w:val="center"/>
          </w:tcPr>
          <w:p>
            <w:pPr>
              <w:pStyle w:val="13"/>
            </w:pPr>
            <w:r>
              <w:t>成本利用率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补助对象满意度</w:t>
            </w:r>
          </w:p>
        </w:tc>
        <w:tc>
          <w:tcPr>
            <w:tcW w:w="5386" w:type="dxa"/>
            <w:vAlign w:val="center"/>
          </w:tcPr>
          <w:p>
            <w:pPr>
              <w:pStyle w:val="13"/>
            </w:pPr>
            <w:r>
              <w:t>补助对象满意度</w:t>
            </w:r>
          </w:p>
        </w:tc>
        <w:tc>
          <w:tcPr>
            <w:tcW w:w="2268" w:type="dxa"/>
            <w:vAlign w:val="center"/>
          </w:tcPr>
          <w:p>
            <w:pPr>
              <w:pStyle w:val="13"/>
            </w:pPr>
            <w:r>
              <w:t>100百分比</w:t>
            </w:r>
          </w:p>
        </w:tc>
        <w:tc>
          <w:tcPr>
            <w:tcW w:w="1276" w:type="dxa"/>
            <w:vAlign w:val="center"/>
          </w:tcPr>
          <w:p>
            <w:pPr>
              <w:pStyle w:val="13"/>
            </w:pPr>
            <w:r>
              <w:t>及时拨付资金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6、冀财资环【2024】106号--提前下达2025年中央财政林业草原改革发展资金绩效目标表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13018425P000098100037</w:t>
            </w:r>
          </w:p>
        </w:tc>
        <w:tc>
          <w:tcPr>
            <w:tcW w:w="2835" w:type="dxa"/>
            <w:vAlign w:val="center"/>
          </w:tcPr>
          <w:p>
            <w:pPr>
              <w:pStyle w:val="11"/>
            </w:pPr>
            <w:r>
              <w:t>项目名称</w:t>
            </w:r>
          </w:p>
        </w:tc>
        <w:tc>
          <w:tcPr>
            <w:tcW w:w="6095" w:type="dxa"/>
            <w:gridSpan w:val="3"/>
            <w:vAlign w:val="center"/>
          </w:tcPr>
          <w:p>
            <w:pPr>
              <w:pStyle w:val="13"/>
            </w:pPr>
            <w:r>
              <w:t>冀财资环【2024】106号--提前下达2025年中央财政林业草原改革发展资金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17.75</w:t>
            </w:r>
          </w:p>
        </w:tc>
        <w:tc>
          <w:tcPr>
            <w:tcW w:w="2835" w:type="dxa"/>
            <w:vAlign w:val="center"/>
          </w:tcPr>
          <w:p>
            <w:pPr>
              <w:pStyle w:val="11"/>
            </w:pPr>
            <w:r>
              <w:t>其中：财政    资金</w:t>
            </w:r>
          </w:p>
        </w:tc>
        <w:tc>
          <w:tcPr>
            <w:tcW w:w="2551" w:type="dxa"/>
            <w:vAlign w:val="center"/>
          </w:tcPr>
          <w:p>
            <w:pPr>
              <w:pStyle w:val="13"/>
            </w:pPr>
            <w:r>
              <w:t>17.75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用于林草湿荒监测普查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2.75</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1.全市林业有害生物防治、林草湿荒监测（普查）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喷药防治或样地调查</w:t>
            </w:r>
          </w:p>
        </w:tc>
        <w:tc>
          <w:tcPr>
            <w:tcW w:w="5386" w:type="dxa"/>
            <w:vAlign w:val="center"/>
          </w:tcPr>
          <w:p>
            <w:pPr>
              <w:pStyle w:val="13"/>
            </w:pPr>
            <w:r>
              <w:t>喷药防治或样地调查</w:t>
            </w:r>
          </w:p>
        </w:tc>
        <w:tc>
          <w:tcPr>
            <w:tcW w:w="2268" w:type="dxa"/>
            <w:vAlign w:val="center"/>
          </w:tcPr>
          <w:p>
            <w:pPr>
              <w:pStyle w:val="13"/>
            </w:pPr>
            <w:r>
              <w:t>≥90百分比</w:t>
            </w:r>
          </w:p>
        </w:tc>
        <w:tc>
          <w:tcPr>
            <w:tcW w:w="1276" w:type="dxa"/>
            <w:vAlign w:val="center"/>
          </w:tcPr>
          <w:p>
            <w:pPr>
              <w:pStyle w:val="13"/>
            </w:pPr>
            <w:r>
              <w:t>冀财资环【2024】106号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林业有害生物防治比率或样地调查率</w:t>
            </w:r>
          </w:p>
        </w:tc>
        <w:tc>
          <w:tcPr>
            <w:tcW w:w="5386" w:type="dxa"/>
            <w:vAlign w:val="center"/>
          </w:tcPr>
          <w:p>
            <w:pPr>
              <w:pStyle w:val="13"/>
            </w:pPr>
            <w:r>
              <w:t>林业有害生物防治比率或样地调查率</w:t>
            </w:r>
          </w:p>
        </w:tc>
        <w:tc>
          <w:tcPr>
            <w:tcW w:w="2268" w:type="dxa"/>
            <w:vAlign w:val="center"/>
          </w:tcPr>
          <w:p>
            <w:pPr>
              <w:pStyle w:val="13"/>
            </w:pPr>
            <w:r>
              <w:t>≥85百分比</w:t>
            </w:r>
          </w:p>
        </w:tc>
        <w:tc>
          <w:tcPr>
            <w:tcW w:w="1276" w:type="dxa"/>
            <w:vAlign w:val="center"/>
          </w:tcPr>
          <w:p>
            <w:pPr>
              <w:pStyle w:val="13"/>
            </w:pPr>
            <w:r>
              <w:t>冀财资环【2024】106号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防治期限或样地调查期限</w:t>
            </w:r>
          </w:p>
        </w:tc>
        <w:tc>
          <w:tcPr>
            <w:tcW w:w="5386" w:type="dxa"/>
            <w:vAlign w:val="center"/>
          </w:tcPr>
          <w:p>
            <w:pPr>
              <w:pStyle w:val="13"/>
            </w:pPr>
            <w:r>
              <w:t>防治期限或样地调查期限</w:t>
            </w:r>
          </w:p>
        </w:tc>
        <w:tc>
          <w:tcPr>
            <w:tcW w:w="2268" w:type="dxa"/>
            <w:vAlign w:val="center"/>
          </w:tcPr>
          <w:p>
            <w:pPr>
              <w:pStyle w:val="13"/>
            </w:pPr>
            <w:r>
              <w:t>1年</w:t>
            </w:r>
          </w:p>
        </w:tc>
        <w:tc>
          <w:tcPr>
            <w:tcW w:w="1276" w:type="dxa"/>
            <w:vAlign w:val="center"/>
          </w:tcPr>
          <w:p>
            <w:pPr>
              <w:pStyle w:val="13"/>
            </w:pPr>
            <w:r>
              <w:t>冀财资环【2024】106号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成本率</w:t>
            </w:r>
          </w:p>
        </w:tc>
        <w:tc>
          <w:tcPr>
            <w:tcW w:w="5386" w:type="dxa"/>
            <w:vAlign w:val="center"/>
          </w:tcPr>
          <w:p>
            <w:pPr>
              <w:pStyle w:val="13"/>
            </w:pPr>
            <w:r>
              <w:t>成本率</w:t>
            </w:r>
          </w:p>
        </w:tc>
        <w:tc>
          <w:tcPr>
            <w:tcW w:w="2268" w:type="dxa"/>
            <w:vAlign w:val="center"/>
          </w:tcPr>
          <w:p>
            <w:pPr>
              <w:pStyle w:val="13"/>
            </w:pPr>
            <w:r>
              <w:t>≤85百分比</w:t>
            </w:r>
          </w:p>
        </w:tc>
        <w:tc>
          <w:tcPr>
            <w:tcW w:w="1276" w:type="dxa"/>
            <w:vAlign w:val="center"/>
          </w:tcPr>
          <w:p>
            <w:pPr>
              <w:pStyle w:val="13"/>
            </w:pPr>
            <w:r>
              <w:t>冀财资环【2024】106号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科学防治</w:t>
            </w:r>
          </w:p>
        </w:tc>
        <w:tc>
          <w:tcPr>
            <w:tcW w:w="5386" w:type="dxa"/>
            <w:vAlign w:val="center"/>
          </w:tcPr>
          <w:p>
            <w:pPr>
              <w:pStyle w:val="13"/>
            </w:pPr>
            <w:r>
              <w:t>科学防治</w:t>
            </w:r>
          </w:p>
        </w:tc>
        <w:tc>
          <w:tcPr>
            <w:tcW w:w="2268" w:type="dxa"/>
            <w:vAlign w:val="center"/>
          </w:tcPr>
          <w:p>
            <w:pPr>
              <w:pStyle w:val="13"/>
            </w:pPr>
            <w:r>
              <w:t>≥90百分比</w:t>
            </w:r>
          </w:p>
        </w:tc>
        <w:tc>
          <w:tcPr>
            <w:tcW w:w="1276" w:type="dxa"/>
            <w:vAlign w:val="center"/>
          </w:tcPr>
          <w:p>
            <w:pPr>
              <w:pStyle w:val="13"/>
            </w:pPr>
            <w:r>
              <w:t>冀财资环【2024】106号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预报准确率</w:t>
            </w:r>
          </w:p>
        </w:tc>
        <w:tc>
          <w:tcPr>
            <w:tcW w:w="5386" w:type="dxa"/>
            <w:vAlign w:val="center"/>
          </w:tcPr>
          <w:p>
            <w:pPr>
              <w:pStyle w:val="13"/>
            </w:pPr>
            <w:r>
              <w:t>预报准确率</w:t>
            </w:r>
          </w:p>
        </w:tc>
        <w:tc>
          <w:tcPr>
            <w:tcW w:w="2268" w:type="dxa"/>
            <w:vAlign w:val="center"/>
          </w:tcPr>
          <w:p>
            <w:pPr>
              <w:pStyle w:val="13"/>
            </w:pPr>
            <w:r>
              <w:t>≥90百分比</w:t>
            </w:r>
          </w:p>
        </w:tc>
        <w:tc>
          <w:tcPr>
            <w:tcW w:w="1276" w:type="dxa"/>
            <w:vAlign w:val="center"/>
          </w:tcPr>
          <w:p>
            <w:pPr>
              <w:pStyle w:val="13"/>
            </w:pPr>
            <w:r>
              <w:t>冀财资环【2024】106号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虫株率或检测效果</w:t>
            </w:r>
          </w:p>
        </w:tc>
        <w:tc>
          <w:tcPr>
            <w:tcW w:w="5386" w:type="dxa"/>
            <w:vAlign w:val="center"/>
          </w:tcPr>
          <w:p>
            <w:pPr>
              <w:pStyle w:val="13"/>
            </w:pPr>
            <w:r>
              <w:t>虫株率或检测效果</w:t>
            </w:r>
          </w:p>
        </w:tc>
        <w:tc>
          <w:tcPr>
            <w:tcW w:w="2268" w:type="dxa"/>
            <w:vAlign w:val="center"/>
          </w:tcPr>
          <w:p>
            <w:pPr>
              <w:pStyle w:val="13"/>
            </w:pPr>
            <w:r>
              <w:t>≤3千分比</w:t>
            </w:r>
          </w:p>
        </w:tc>
        <w:tc>
          <w:tcPr>
            <w:tcW w:w="1276" w:type="dxa"/>
            <w:vAlign w:val="center"/>
          </w:tcPr>
          <w:p>
            <w:pPr>
              <w:pStyle w:val="13"/>
            </w:pPr>
            <w:r>
              <w:t>冀财资环【2024】106号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防灾减灾</w:t>
            </w:r>
          </w:p>
        </w:tc>
        <w:tc>
          <w:tcPr>
            <w:tcW w:w="5386" w:type="dxa"/>
            <w:vAlign w:val="center"/>
          </w:tcPr>
          <w:p>
            <w:pPr>
              <w:pStyle w:val="13"/>
            </w:pPr>
            <w:r>
              <w:t>防灾减灾</w:t>
            </w:r>
          </w:p>
        </w:tc>
        <w:tc>
          <w:tcPr>
            <w:tcW w:w="2268" w:type="dxa"/>
            <w:vAlign w:val="center"/>
          </w:tcPr>
          <w:p>
            <w:pPr>
              <w:pStyle w:val="13"/>
            </w:pPr>
            <w:r>
              <w:t>≥90百分比</w:t>
            </w:r>
          </w:p>
        </w:tc>
        <w:tc>
          <w:tcPr>
            <w:tcW w:w="1276" w:type="dxa"/>
            <w:vAlign w:val="center"/>
          </w:tcPr>
          <w:p>
            <w:pPr>
              <w:pStyle w:val="13"/>
            </w:pPr>
            <w:r>
              <w:t>冀财资环【2024】106号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≥90百分比</w:t>
            </w:r>
          </w:p>
        </w:tc>
        <w:tc>
          <w:tcPr>
            <w:tcW w:w="1276" w:type="dxa"/>
            <w:vAlign w:val="center"/>
          </w:tcPr>
          <w:p>
            <w:pPr>
              <w:pStyle w:val="13"/>
            </w:pPr>
            <w:r>
              <w:t>冀财资环【2024】106号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7、冀财资环【2024】113号--提前下达2025年省级林业改革发展补助资金绩效目标表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13018425P00009810002K</w:t>
            </w:r>
          </w:p>
        </w:tc>
        <w:tc>
          <w:tcPr>
            <w:tcW w:w="2835" w:type="dxa"/>
            <w:vAlign w:val="center"/>
          </w:tcPr>
          <w:p>
            <w:pPr>
              <w:pStyle w:val="11"/>
            </w:pPr>
            <w:r>
              <w:t>项目名称</w:t>
            </w:r>
          </w:p>
        </w:tc>
        <w:tc>
          <w:tcPr>
            <w:tcW w:w="6095" w:type="dxa"/>
            <w:gridSpan w:val="3"/>
            <w:vAlign w:val="center"/>
          </w:tcPr>
          <w:p>
            <w:pPr>
              <w:pStyle w:val="13"/>
            </w:pPr>
            <w:r>
              <w:t>冀财资环【2024】113号--提前下达2025年省级林业改革发展补助资金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拥有绿化提升村和森林乡村奖补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1.科学开展大规模国土绿化行动，扎实开展省级森林乡村和绿化提升村建设。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造林绿化重点工程</w:t>
            </w:r>
          </w:p>
        </w:tc>
        <w:tc>
          <w:tcPr>
            <w:tcW w:w="5386" w:type="dxa"/>
            <w:vAlign w:val="center"/>
          </w:tcPr>
          <w:p>
            <w:pPr>
              <w:pStyle w:val="13"/>
            </w:pPr>
            <w:r>
              <w:t>造林绿化重点工程</w:t>
            </w:r>
          </w:p>
        </w:tc>
        <w:tc>
          <w:tcPr>
            <w:tcW w:w="2268" w:type="dxa"/>
            <w:vAlign w:val="center"/>
          </w:tcPr>
          <w:p>
            <w:pPr>
              <w:pStyle w:val="13"/>
            </w:pPr>
            <w:r>
              <w:t>6个</w:t>
            </w:r>
          </w:p>
        </w:tc>
        <w:tc>
          <w:tcPr>
            <w:tcW w:w="1276" w:type="dxa"/>
            <w:vAlign w:val="center"/>
          </w:tcPr>
          <w:p>
            <w:pPr>
              <w:pStyle w:val="13"/>
            </w:pPr>
            <w:r>
              <w:t>《冀财资环【2024】113号》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森林质量提升任务完成率</w:t>
            </w:r>
          </w:p>
        </w:tc>
        <w:tc>
          <w:tcPr>
            <w:tcW w:w="5386" w:type="dxa"/>
            <w:vAlign w:val="center"/>
          </w:tcPr>
          <w:p>
            <w:pPr>
              <w:pStyle w:val="13"/>
            </w:pPr>
            <w:r>
              <w:t>森林质量提升任务完成率</w:t>
            </w:r>
          </w:p>
        </w:tc>
        <w:tc>
          <w:tcPr>
            <w:tcW w:w="2268" w:type="dxa"/>
            <w:vAlign w:val="center"/>
          </w:tcPr>
          <w:p>
            <w:pPr>
              <w:pStyle w:val="13"/>
            </w:pPr>
            <w:r>
              <w:t>≥85百分比</w:t>
            </w:r>
          </w:p>
        </w:tc>
        <w:tc>
          <w:tcPr>
            <w:tcW w:w="1276" w:type="dxa"/>
            <w:vAlign w:val="center"/>
          </w:tcPr>
          <w:p>
            <w:pPr>
              <w:pStyle w:val="13"/>
            </w:pPr>
            <w:r>
              <w:t>《冀财资环【2024】113号》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建设任务当期完成率</w:t>
            </w:r>
          </w:p>
        </w:tc>
        <w:tc>
          <w:tcPr>
            <w:tcW w:w="5386" w:type="dxa"/>
            <w:vAlign w:val="center"/>
          </w:tcPr>
          <w:p>
            <w:pPr>
              <w:pStyle w:val="13"/>
            </w:pPr>
            <w:r>
              <w:t>建设任务当期完成率</w:t>
            </w:r>
          </w:p>
        </w:tc>
        <w:tc>
          <w:tcPr>
            <w:tcW w:w="2268" w:type="dxa"/>
            <w:vAlign w:val="center"/>
          </w:tcPr>
          <w:p>
            <w:pPr>
              <w:pStyle w:val="13"/>
            </w:pPr>
            <w:r>
              <w:t>100百分比</w:t>
            </w:r>
          </w:p>
        </w:tc>
        <w:tc>
          <w:tcPr>
            <w:tcW w:w="1276" w:type="dxa"/>
            <w:vAlign w:val="center"/>
          </w:tcPr>
          <w:p>
            <w:pPr>
              <w:pStyle w:val="13"/>
            </w:pPr>
            <w:r>
              <w:t>《冀财资环【2024】113号》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森林质量提升补助成本</w:t>
            </w:r>
          </w:p>
        </w:tc>
        <w:tc>
          <w:tcPr>
            <w:tcW w:w="5386" w:type="dxa"/>
            <w:vAlign w:val="center"/>
          </w:tcPr>
          <w:p>
            <w:pPr>
              <w:pStyle w:val="13"/>
            </w:pPr>
            <w:r>
              <w:t>森林质量提升补助成本</w:t>
            </w:r>
          </w:p>
        </w:tc>
        <w:tc>
          <w:tcPr>
            <w:tcW w:w="2268" w:type="dxa"/>
            <w:vAlign w:val="center"/>
          </w:tcPr>
          <w:p>
            <w:pPr>
              <w:pStyle w:val="13"/>
            </w:pPr>
            <w:r>
              <w:t>100百分比</w:t>
            </w:r>
          </w:p>
        </w:tc>
        <w:tc>
          <w:tcPr>
            <w:tcW w:w="1276" w:type="dxa"/>
            <w:vAlign w:val="center"/>
          </w:tcPr>
          <w:p>
            <w:pPr>
              <w:pStyle w:val="13"/>
            </w:pPr>
            <w:r>
              <w:t>《冀财资环【2024】113号》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林木绿化率</w:t>
            </w:r>
          </w:p>
        </w:tc>
        <w:tc>
          <w:tcPr>
            <w:tcW w:w="5386" w:type="dxa"/>
            <w:vAlign w:val="center"/>
          </w:tcPr>
          <w:p>
            <w:pPr>
              <w:pStyle w:val="13"/>
            </w:pPr>
            <w:r>
              <w:t>林木绿化率</w:t>
            </w:r>
          </w:p>
        </w:tc>
        <w:tc>
          <w:tcPr>
            <w:tcW w:w="2268" w:type="dxa"/>
            <w:vAlign w:val="center"/>
          </w:tcPr>
          <w:p>
            <w:pPr>
              <w:pStyle w:val="13"/>
            </w:pPr>
            <w:r>
              <w:t>≥30百分比</w:t>
            </w:r>
          </w:p>
        </w:tc>
        <w:tc>
          <w:tcPr>
            <w:tcW w:w="1276" w:type="dxa"/>
            <w:vAlign w:val="center"/>
          </w:tcPr>
          <w:p>
            <w:pPr>
              <w:pStyle w:val="13"/>
            </w:pPr>
            <w:r>
              <w:t>《冀财资环【2024】113号》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改善环境</w:t>
            </w:r>
          </w:p>
        </w:tc>
        <w:tc>
          <w:tcPr>
            <w:tcW w:w="5386" w:type="dxa"/>
            <w:vAlign w:val="center"/>
          </w:tcPr>
          <w:p>
            <w:pPr>
              <w:pStyle w:val="13"/>
            </w:pPr>
            <w:r>
              <w:t>改善环境</w:t>
            </w:r>
          </w:p>
        </w:tc>
        <w:tc>
          <w:tcPr>
            <w:tcW w:w="2268" w:type="dxa"/>
            <w:vAlign w:val="center"/>
          </w:tcPr>
          <w:p>
            <w:pPr>
              <w:pStyle w:val="13"/>
            </w:pPr>
            <w:r>
              <w:t>100百分比</w:t>
            </w:r>
          </w:p>
        </w:tc>
        <w:tc>
          <w:tcPr>
            <w:tcW w:w="1276" w:type="dxa"/>
            <w:vAlign w:val="center"/>
          </w:tcPr>
          <w:p>
            <w:pPr>
              <w:pStyle w:val="13"/>
            </w:pPr>
            <w:r>
              <w:t>《冀财资环【2024】113号》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对生态环境的影响</w:t>
            </w:r>
          </w:p>
        </w:tc>
        <w:tc>
          <w:tcPr>
            <w:tcW w:w="5386" w:type="dxa"/>
            <w:vAlign w:val="center"/>
          </w:tcPr>
          <w:p>
            <w:pPr>
              <w:pStyle w:val="13"/>
            </w:pPr>
            <w:r>
              <w:t>对生态环境的影响</w:t>
            </w:r>
          </w:p>
        </w:tc>
        <w:tc>
          <w:tcPr>
            <w:tcW w:w="2268" w:type="dxa"/>
            <w:vAlign w:val="center"/>
          </w:tcPr>
          <w:p>
            <w:pPr>
              <w:pStyle w:val="13"/>
            </w:pPr>
            <w:r>
              <w:t>≥90百分比</w:t>
            </w:r>
          </w:p>
        </w:tc>
        <w:tc>
          <w:tcPr>
            <w:tcW w:w="1276" w:type="dxa"/>
            <w:vAlign w:val="center"/>
          </w:tcPr>
          <w:p>
            <w:pPr>
              <w:pStyle w:val="13"/>
            </w:pPr>
            <w:r>
              <w:t>《冀财资环【2024】113号》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生态系统功能改善</w:t>
            </w:r>
          </w:p>
        </w:tc>
        <w:tc>
          <w:tcPr>
            <w:tcW w:w="5386" w:type="dxa"/>
            <w:vAlign w:val="center"/>
          </w:tcPr>
          <w:p>
            <w:pPr>
              <w:pStyle w:val="13"/>
            </w:pPr>
            <w:r>
              <w:t>生态系统功能改善</w:t>
            </w:r>
          </w:p>
        </w:tc>
        <w:tc>
          <w:tcPr>
            <w:tcW w:w="2268" w:type="dxa"/>
            <w:vAlign w:val="center"/>
          </w:tcPr>
          <w:p>
            <w:pPr>
              <w:pStyle w:val="13"/>
            </w:pPr>
            <w:r>
              <w:t>≥90百分比</w:t>
            </w:r>
          </w:p>
        </w:tc>
        <w:tc>
          <w:tcPr>
            <w:tcW w:w="1276" w:type="dxa"/>
            <w:vAlign w:val="center"/>
          </w:tcPr>
          <w:p>
            <w:pPr>
              <w:pStyle w:val="13"/>
            </w:pPr>
            <w:r>
              <w:t>《冀财资环【2024】113号》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≥90百分比</w:t>
            </w:r>
          </w:p>
        </w:tc>
        <w:tc>
          <w:tcPr>
            <w:tcW w:w="1276" w:type="dxa"/>
            <w:vAlign w:val="center"/>
          </w:tcPr>
          <w:p>
            <w:pPr>
              <w:pStyle w:val="13"/>
            </w:pPr>
            <w:r>
              <w:t>《冀财资环【2024】113号》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8、冀财资环【2024】115号-关于提前下达2024年土地整治资金（新增费返还市县部分第二批）绩效目标表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13018425P00524510003E</w:t>
            </w:r>
          </w:p>
        </w:tc>
        <w:tc>
          <w:tcPr>
            <w:tcW w:w="2835" w:type="dxa"/>
            <w:vAlign w:val="center"/>
          </w:tcPr>
          <w:p>
            <w:pPr>
              <w:pStyle w:val="11"/>
            </w:pPr>
            <w:r>
              <w:t>项目名称</w:t>
            </w:r>
          </w:p>
        </w:tc>
        <w:tc>
          <w:tcPr>
            <w:tcW w:w="6095" w:type="dxa"/>
            <w:gridSpan w:val="3"/>
            <w:vAlign w:val="center"/>
          </w:tcPr>
          <w:p>
            <w:pPr>
              <w:pStyle w:val="13"/>
            </w:pPr>
            <w:r>
              <w:t>冀财资环【2024】115号-关于提前下达2024年土地整治资金（新增费返还市县部分第二批）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58.00</w:t>
            </w:r>
          </w:p>
        </w:tc>
        <w:tc>
          <w:tcPr>
            <w:tcW w:w="2835" w:type="dxa"/>
            <w:vAlign w:val="center"/>
          </w:tcPr>
          <w:p>
            <w:pPr>
              <w:pStyle w:val="11"/>
            </w:pPr>
            <w:r>
              <w:t>其中：财政    资金</w:t>
            </w:r>
          </w:p>
        </w:tc>
        <w:tc>
          <w:tcPr>
            <w:tcW w:w="2551" w:type="dxa"/>
            <w:vAlign w:val="center"/>
          </w:tcPr>
          <w:p>
            <w:pPr>
              <w:pStyle w:val="13"/>
            </w:pPr>
            <w:r>
              <w:t>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用于自然资源利用与保护支出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58.00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1.用于自然资源利用与管理支出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数量指标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社会效益显著</w:t>
            </w:r>
          </w:p>
        </w:tc>
        <w:tc>
          <w:tcPr>
            <w:tcW w:w="5386" w:type="dxa"/>
            <w:vAlign w:val="center"/>
          </w:tcPr>
          <w:p>
            <w:pPr>
              <w:pStyle w:val="13"/>
            </w:pPr>
            <w:r>
              <w:t>社会效益显著</w:t>
            </w:r>
          </w:p>
        </w:tc>
        <w:tc>
          <w:tcPr>
            <w:tcW w:w="2268" w:type="dxa"/>
            <w:vAlign w:val="center"/>
          </w:tcPr>
          <w:p>
            <w:pPr>
              <w:pStyle w:val="13"/>
            </w:pPr>
            <w:r>
              <w:t>100百分比</w:t>
            </w:r>
          </w:p>
        </w:tc>
        <w:tc>
          <w:tcPr>
            <w:tcW w:w="1276" w:type="dxa"/>
            <w:vAlign w:val="center"/>
          </w:tcPr>
          <w:p>
            <w:pPr>
              <w:pStyle w:val="13"/>
            </w:pPr>
            <w:r>
              <w:t>实际完成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100百分比</w:t>
            </w:r>
          </w:p>
        </w:tc>
        <w:tc>
          <w:tcPr>
            <w:tcW w:w="1276" w:type="dxa"/>
            <w:vAlign w:val="center"/>
          </w:tcPr>
          <w:p>
            <w:pPr>
              <w:pStyle w:val="13"/>
            </w:pPr>
            <w:r>
              <w:t>实际完成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9、石财农【2022】100号-提前下达2023年市级林业改革发展补助资金绩效目标表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13018425P00009810005E</w:t>
            </w:r>
          </w:p>
        </w:tc>
        <w:tc>
          <w:tcPr>
            <w:tcW w:w="2835" w:type="dxa"/>
            <w:vAlign w:val="center"/>
          </w:tcPr>
          <w:p>
            <w:pPr>
              <w:pStyle w:val="11"/>
            </w:pPr>
            <w:r>
              <w:t>项目名称</w:t>
            </w:r>
          </w:p>
        </w:tc>
        <w:tc>
          <w:tcPr>
            <w:tcW w:w="6095" w:type="dxa"/>
            <w:gridSpan w:val="3"/>
            <w:vAlign w:val="center"/>
          </w:tcPr>
          <w:p>
            <w:pPr>
              <w:pStyle w:val="13"/>
            </w:pPr>
            <w:r>
              <w:t>石财农【2022】100号-提前下达2023年市级林业改革发展补助资金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510.90</w:t>
            </w:r>
          </w:p>
        </w:tc>
        <w:tc>
          <w:tcPr>
            <w:tcW w:w="2835" w:type="dxa"/>
            <w:vAlign w:val="center"/>
          </w:tcPr>
          <w:p>
            <w:pPr>
              <w:pStyle w:val="11"/>
            </w:pPr>
            <w:r>
              <w:t>其中：财政    资金</w:t>
            </w:r>
          </w:p>
        </w:tc>
        <w:tc>
          <w:tcPr>
            <w:tcW w:w="2551" w:type="dxa"/>
            <w:vAlign w:val="center"/>
          </w:tcPr>
          <w:p>
            <w:pPr>
              <w:pStyle w:val="13"/>
            </w:pPr>
            <w:r>
              <w:t>510.90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用于交通干线廊道绿化补助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510.90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1.交通干线廊道绿化补助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数量指标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5386" w:type="dxa"/>
            <w:vAlign w:val="center"/>
          </w:tcPr>
          <w:p>
            <w:pPr>
              <w:pStyle w:val="13"/>
            </w:pPr>
            <w:r>
              <w:t>资金按时拨付</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完成金额</w:t>
            </w:r>
          </w:p>
        </w:tc>
        <w:tc>
          <w:tcPr>
            <w:tcW w:w="5386" w:type="dxa"/>
            <w:vAlign w:val="center"/>
          </w:tcPr>
          <w:p>
            <w:pPr>
              <w:pStyle w:val="13"/>
            </w:pPr>
            <w:r>
              <w:t>完成金额</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成本利用率</w:t>
            </w:r>
          </w:p>
        </w:tc>
        <w:tc>
          <w:tcPr>
            <w:tcW w:w="5386" w:type="dxa"/>
            <w:vAlign w:val="center"/>
          </w:tcPr>
          <w:p>
            <w:pPr>
              <w:pStyle w:val="13"/>
            </w:pPr>
            <w:r>
              <w:t>成本利用率</w:t>
            </w:r>
          </w:p>
        </w:tc>
        <w:tc>
          <w:tcPr>
            <w:tcW w:w="2268" w:type="dxa"/>
            <w:vAlign w:val="center"/>
          </w:tcPr>
          <w:p>
            <w:pPr>
              <w:pStyle w:val="13"/>
            </w:pPr>
            <w:r>
              <w:t>100百分比</w:t>
            </w:r>
          </w:p>
        </w:tc>
        <w:tc>
          <w:tcPr>
            <w:tcW w:w="1276" w:type="dxa"/>
            <w:vAlign w:val="center"/>
          </w:tcPr>
          <w:p>
            <w:pPr>
              <w:pStyle w:val="13"/>
            </w:pPr>
            <w:r>
              <w:t>实际完成率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补助对象满意度</w:t>
            </w:r>
          </w:p>
        </w:tc>
        <w:tc>
          <w:tcPr>
            <w:tcW w:w="5386" w:type="dxa"/>
            <w:vAlign w:val="center"/>
          </w:tcPr>
          <w:p>
            <w:pPr>
              <w:pStyle w:val="13"/>
            </w:pPr>
            <w:r>
              <w:t>补助对象满意度</w:t>
            </w:r>
          </w:p>
        </w:tc>
        <w:tc>
          <w:tcPr>
            <w:tcW w:w="2268" w:type="dxa"/>
            <w:vAlign w:val="center"/>
          </w:tcPr>
          <w:p>
            <w:pPr>
              <w:pStyle w:val="13"/>
            </w:pPr>
            <w:r>
              <w:t>100百分比</w:t>
            </w:r>
          </w:p>
        </w:tc>
        <w:tc>
          <w:tcPr>
            <w:tcW w:w="1276" w:type="dxa"/>
            <w:vAlign w:val="center"/>
          </w:tcPr>
          <w:p>
            <w:pPr>
              <w:pStyle w:val="13"/>
            </w:pPr>
            <w:r>
              <w:t>及时拨付资金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10、石财农【2023】118号-关于提前下达2024年市级林业改革发展补助资金绩效目标表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13018425P000098100062</w:t>
            </w:r>
          </w:p>
        </w:tc>
        <w:tc>
          <w:tcPr>
            <w:tcW w:w="2835" w:type="dxa"/>
            <w:vAlign w:val="center"/>
          </w:tcPr>
          <w:p>
            <w:pPr>
              <w:pStyle w:val="11"/>
            </w:pPr>
            <w:r>
              <w:t>项目名称</w:t>
            </w:r>
          </w:p>
        </w:tc>
        <w:tc>
          <w:tcPr>
            <w:tcW w:w="6095" w:type="dxa"/>
            <w:gridSpan w:val="3"/>
            <w:vAlign w:val="center"/>
          </w:tcPr>
          <w:p>
            <w:pPr>
              <w:pStyle w:val="13"/>
            </w:pPr>
            <w:r>
              <w:t>石财农【2023】118号-关于提前下达2024年市级林业改革发展补助资金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287.24</w:t>
            </w:r>
          </w:p>
        </w:tc>
        <w:tc>
          <w:tcPr>
            <w:tcW w:w="2835" w:type="dxa"/>
            <w:vAlign w:val="center"/>
          </w:tcPr>
          <w:p>
            <w:pPr>
              <w:pStyle w:val="11"/>
            </w:pPr>
            <w:r>
              <w:t>其中：财政    资金</w:t>
            </w:r>
          </w:p>
        </w:tc>
        <w:tc>
          <w:tcPr>
            <w:tcW w:w="2551" w:type="dxa"/>
            <w:vAlign w:val="center"/>
          </w:tcPr>
          <w:p>
            <w:pPr>
              <w:pStyle w:val="13"/>
            </w:pPr>
            <w:r>
              <w:t>287.24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用于交通干线廊道绿化补助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287.24</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1.交通干线廊道绿化补助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交通干线廊道绿化建设面积</w:t>
            </w:r>
          </w:p>
        </w:tc>
        <w:tc>
          <w:tcPr>
            <w:tcW w:w="5386" w:type="dxa"/>
            <w:vAlign w:val="center"/>
          </w:tcPr>
          <w:p>
            <w:pPr>
              <w:pStyle w:val="13"/>
            </w:pPr>
            <w:r>
              <w:t>交通干线廊道绿化建设面积</w:t>
            </w:r>
          </w:p>
        </w:tc>
        <w:tc>
          <w:tcPr>
            <w:tcW w:w="2268" w:type="dxa"/>
            <w:vAlign w:val="center"/>
          </w:tcPr>
          <w:p>
            <w:pPr>
              <w:pStyle w:val="13"/>
            </w:pPr>
            <w:r>
              <w:t>≥4787.29亩</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造林完成面积合格率</w:t>
            </w:r>
          </w:p>
        </w:tc>
        <w:tc>
          <w:tcPr>
            <w:tcW w:w="5386" w:type="dxa"/>
            <w:vAlign w:val="center"/>
          </w:tcPr>
          <w:p>
            <w:pPr>
              <w:pStyle w:val="13"/>
            </w:pPr>
            <w:r>
              <w:t>造林完成面积合格率</w:t>
            </w:r>
          </w:p>
        </w:tc>
        <w:tc>
          <w:tcPr>
            <w:tcW w:w="2268" w:type="dxa"/>
            <w:vAlign w:val="center"/>
          </w:tcPr>
          <w:p>
            <w:pPr>
              <w:pStyle w:val="13"/>
            </w:pPr>
            <w:r>
              <w:t>≥85百分比</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造林当期任务完成率</w:t>
            </w:r>
          </w:p>
        </w:tc>
        <w:tc>
          <w:tcPr>
            <w:tcW w:w="5386" w:type="dxa"/>
            <w:vAlign w:val="center"/>
          </w:tcPr>
          <w:p>
            <w:pPr>
              <w:pStyle w:val="13"/>
            </w:pPr>
            <w:r>
              <w:t>造林当期任务完成率</w:t>
            </w:r>
          </w:p>
        </w:tc>
        <w:tc>
          <w:tcPr>
            <w:tcW w:w="2268" w:type="dxa"/>
            <w:vAlign w:val="center"/>
          </w:tcPr>
          <w:p>
            <w:pPr>
              <w:pStyle w:val="13"/>
            </w:pPr>
            <w:r>
              <w:t>≥80百分比</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交通干线廊道绿化占地费补助标准</w:t>
            </w:r>
          </w:p>
        </w:tc>
        <w:tc>
          <w:tcPr>
            <w:tcW w:w="5386" w:type="dxa"/>
            <w:vAlign w:val="center"/>
          </w:tcPr>
          <w:p>
            <w:pPr>
              <w:pStyle w:val="13"/>
            </w:pPr>
            <w:r>
              <w:t>交通干线廊道绿化占地费补助标准</w:t>
            </w:r>
          </w:p>
        </w:tc>
        <w:tc>
          <w:tcPr>
            <w:tcW w:w="2268" w:type="dxa"/>
            <w:vAlign w:val="center"/>
          </w:tcPr>
          <w:p>
            <w:pPr>
              <w:pStyle w:val="13"/>
            </w:pPr>
            <w:r>
              <w:t>≥600元/亩/年</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≥100百分比</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造林绿化项目带动项目周边群众就业率</w:t>
            </w:r>
          </w:p>
        </w:tc>
        <w:tc>
          <w:tcPr>
            <w:tcW w:w="5386" w:type="dxa"/>
            <w:vAlign w:val="center"/>
          </w:tcPr>
          <w:p>
            <w:pPr>
              <w:pStyle w:val="13"/>
            </w:pPr>
            <w:r>
              <w:t>造林绿化项目带动项目周边群众就业率</w:t>
            </w:r>
          </w:p>
        </w:tc>
        <w:tc>
          <w:tcPr>
            <w:tcW w:w="2268" w:type="dxa"/>
            <w:vAlign w:val="center"/>
          </w:tcPr>
          <w:p>
            <w:pPr>
              <w:pStyle w:val="13"/>
            </w:pPr>
            <w:r>
              <w:t>≥90百分比</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项目生态效益发挥</w:t>
            </w:r>
          </w:p>
        </w:tc>
        <w:tc>
          <w:tcPr>
            <w:tcW w:w="5386" w:type="dxa"/>
            <w:vAlign w:val="center"/>
          </w:tcPr>
          <w:p>
            <w:pPr>
              <w:pStyle w:val="13"/>
            </w:pPr>
            <w:r>
              <w:t>项目生态效益发挥</w:t>
            </w:r>
          </w:p>
        </w:tc>
        <w:tc>
          <w:tcPr>
            <w:tcW w:w="2268" w:type="dxa"/>
            <w:vAlign w:val="center"/>
          </w:tcPr>
          <w:p>
            <w:pPr>
              <w:pStyle w:val="13"/>
            </w:pPr>
            <w:r>
              <w:t>≥90百分比</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生态系统功能改善可持续影响率</w:t>
            </w:r>
          </w:p>
        </w:tc>
        <w:tc>
          <w:tcPr>
            <w:tcW w:w="5386" w:type="dxa"/>
            <w:vAlign w:val="center"/>
          </w:tcPr>
          <w:p>
            <w:pPr>
              <w:pStyle w:val="13"/>
            </w:pPr>
            <w:r>
              <w:t>生态系统功能改善可持续影响率</w:t>
            </w:r>
          </w:p>
        </w:tc>
        <w:tc>
          <w:tcPr>
            <w:tcW w:w="2268" w:type="dxa"/>
            <w:vAlign w:val="center"/>
          </w:tcPr>
          <w:p>
            <w:pPr>
              <w:pStyle w:val="13"/>
            </w:pPr>
            <w:r>
              <w:t>≥90百分比</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项目参与人员及项目周边群众满意度</w:t>
            </w:r>
          </w:p>
        </w:tc>
        <w:tc>
          <w:tcPr>
            <w:tcW w:w="5386" w:type="dxa"/>
            <w:vAlign w:val="center"/>
          </w:tcPr>
          <w:p>
            <w:pPr>
              <w:pStyle w:val="13"/>
            </w:pPr>
            <w:r>
              <w:t>项目参与人员及项目周边群众满意度</w:t>
            </w:r>
          </w:p>
        </w:tc>
        <w:tc>
          <w:tcPr>
            <w:tcW w:w="2268" w:type="dxa"/>
            <w:vAlign w:val="center"/>
          </w:tcPr>
          <w:p>
            <w:pPr>
              <w:pStyle w:val="13"/>
            </w:pPr>
            <w:r>
              <w:t>≥90百分比</w:t>
            </w:r>
          </w:p>
        </w:tc>
        <w:tc>
          <w:tcPr>
            <w:tcW w:w="1276" w:type="dxa"/>
            <w:vAlign w:val="center"/>
          </w:tcPr>
          <w:p>
            <w:pPr>
              <w:pStyle w:val="13"/>
            </w:pPr>
            <w:r>
              <w:t>石财农【2023】118号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11、石财农【2024】89号--提前下达2025年市级林业改革发展补助资金绩效目标表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13018425P00009810004T</w:t>
            </w:r>
          </w:p>
        </w:tc>
        <w:tc>
          <w:tcPr>
            <w:tcW w:w="2835" w:type="dxa"/>
            <w:vAlign w:val="center"/>
          </w:tcPr>
          <w:p>
            <w:pPr>
              <w:pStyle w:val="11"/>
            </w:pPr>
            <w:r>
              <w:t>项目名称</w:t>
            </w:r>
          </w:p>
        </w:tc>
        <w:tc>
          <w:tcPr>
            <w:tcW w:w="6095" w:type="dxa"/>
            <w:gridSpan w:val="3"/>
            <w:vAlign w:val="center"/>
          </w:tcPr>
          <w:p>
            <w:pPr>
              <w:pStyle w:val="13"/>
            </w:pPr>
            <w:r>
              <w:t>石财农【2024】89号--提前下达2025年市级林业改革发展补助资金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167.65</w:t>
            </w:r>
          </w:p>
        </w:tc>
        <w:tc>
          <w:tcPr>
            <w:tcW w:w="2835" w:type="dxa"/>
            <w:vAlign w:val="center"/>
          </w:tcPr>
          <w:p>
            <w:pPr>
              <w:pStyle w:val="11"/>
            </w:pPr>
            <w:r>
              <w:t>其中：财政    资金</w:t>
            </w:r>
          </w:p>
        </w:tc>
        <w:tc>
          <w:tcPr>
            <w:tcW w:w="2551" w:type="dxa"/>
            <w:vAlign w:val="center"/>
          </w:tcPr>
          <w:p>
            <w:pPr>
              <w:pStyle w:val="13"/>
            </w:pPr>
            <w:r>
              <w:t>167.65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用于绿化占地补助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167.65</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1.交通安县廊道绿化补助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交通干线廊道绿化建设面积</w:t>
            </w:r>
          </w:p>
        </w:tc>
        <w:tc>
          <w:tcPr>
            <w:tcW w:w="5386" w:type="dxa"/>
            <w:vAlign w:val="center"/>
          </w:tcPr>
          <w:p>
            <w:pPr>
              <w:pStyle w:val="13"/>
            </w:pPr>
            <w:r>
              <w:t>交通干线廊道绿化建设面积</w:t>
            </w:r>
          </w:p>
        </w:tc>
        <w:tc>
          <w:tcPr>
            <w:tcW w:w="2268" w:type="dxa"/>
            <w:vAlign w:val="center"/>
          </w:tcPr>
          <w:p>
            <w:pPr>
              <w:pStyle w:val="13"/>
            </w:pPr>
            <w:r>
              <w:t>2794.08亩</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造林完成面积合格率</w:t>
            </w:r>
          </w:p>
        </w:tc>
        <w:tc>
          <w:tcPr>
            <w:tcW w:w="5386" w:type="dxa"/>
            <w:vAlign w:val="center"/>
          </w:tcPr>
          <w:p>
            <w:pPr>
              <w:pStyle w:val="13"/>
            </w:pPr>
            <w:r>
              <w:t>造林完成面积合格率</w:t>
            </w:r>
          </w:p>
        </w:tc>
        <w:tc>
          <w:tcPr>
            <w:tcW w:w="2268" w:type="dxa"/>
            <w:vAlign w:val="center"/>
          </w:tcPr>
          <w:p>
            <w:pPr>
              <w:pStyle w:val="13"/>
            </w:pPr>
            <w:r>
              <w:t>≥85百分比</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造林当期任务完成率</w:t>
            </w:r>
          </w:p>
        </w:tc>
        <w:tc>
          <w:tcPr>
            <w:tcW w:w="5386" w:type="dxa"/>
            <w:vAlign w:val="center"/>
          </w:tcPr>
          <w:p>
            <w:pPr>
              <w:pStyle w:val="13"/>
            </w:pPr>
            <w:r>
              <w:t>造林当期任务完成率</w:t>
            </w:r>
          </w:p>
        </w:tc>
        <w:tc>
          <w:tcPr>
            <w:tcW w:w="2268" w:type="dxa"/>
            <w:vAlign w:val="center"/>
          </w:tcPr>
          <w:p>
            <w:pPr>
              <w:pStyle w:val="13"/>
            </w:pPr>
            <w:r>
              <w:t>≥90百分比</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交通干线廊道绿化占地费补助标准</w:t>
            </w:r>
          </w:p>
        </w:tc>
        <w:tc>
          <w:tcPr>
            <w:tcW w:w="5386" w:type="dxa"/>
            <w:vAlign w:val="center"/>
          </w:tcPr>
          <w:p>
            <w:pPr>
              <w:pStyle w:val="13"/>
            </w:pPr>
            <w:r>
              <w:t>交通干线廊道绿化占地费补助标准</w:t>
            </w:r>
          </w:p>
        </w:tc>
        <w:tc>
          <w:tcPr>
            <w:tcW w:w="2268" w:type="dxa"/>
            <w:vAlign w:val="center"/>
          </w:tcPr>
          <w:p>
            <w:pPr>
              <w:pStyle w:val="13"/>
            </w:pPr>
            <w:r>
              <w:t>600</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项目带动周边群众就业率</w:t>
            </w:r>
          </w:p>
        </w:tc>
        <w:tc>
          <w:tcPr>
            <w:tcW w:w="5386" w:type="dxa"/>
            <w:vAlign w:val="center"/>
          </w:tcPr>
          <w:p>
            <w:pPr>
              <w:pStyle w:val="13"/>
            </w:pPr>
            <w:r>
              <w:t>项目带动周边群众就业率</w:t>
            </w:r>
          </w:p>
        </w:tc>
        <w:tc>
          <w:tcPr>
            <w:tcW w:w="2268" w:type="dxa"/>
            <w:vAlign w:val="center"/>
          </w:tcPr>
          <w:p>
            <w:pPr>
              <w:pStyle w:val="13"/>
            </w:pPr>
            <w:r>
              <w:t>≥85百分比</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项目生态效益发挥率</w:t>
            </w:r>
          </w:p>
        </w:tc>
        <w:tc>
          <w:tcPr>
            <w:tcW w:w="5386" w:type="dxa"/>
            <w:vAlign w:val="center"/>
          </w:tcPr>
          <w:p>
            <w:pPr>
              <w:pStyle w:val="13"/>
            </w:pPr>
            <w:r>
              <w:t>项目生态效益发挥率</w:t>
            </w:r>
          </w:p>
        </w:tc>
        <w:tc>
          <w:tcPr>
            <w:tcW w:w="2268" w:type="dxa"/>
            <w:vAlign w:val="center"/>
          </w:tcPr>
          <w:p>
            <w:pPr>
              <w:pStyle w:val="13"/>
            </w:pPr>
            <w:r>
              <w:t>≥90百分比</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项目参与人员及项目周边群众满意度</w:t>
            </w:r>
          </w:p>
        </w:tc>
        <w:tc>
          <w:tcPr>
            <w:tcW w:w="5386" w:type="dxa"/>
            <w:vAlign w:val="center"/>
          </w:tcPr>
          <w:p>
            <w:pPr>
              <w:pStyle w:val="13"/>
            </w:pPr>
            <w:r>
              <w:t>项目参与人员及项目周边群众满意度</w:t>
            </w:r>
          </w:p>
        </w:tc>
        <w:tc>
          <w:tcPr>
            <w:tcW w:w="2268" w:type="dxa"/>
            <w:vAlign w:val="center"/>
          </w:tcPr>
          <w:p>
            <w:pPr>
              <w:pStyle w:val="13"/>
            </w:pPr>
            <w:r>
              <w:t>≥95百分比</w:t>
            </w:r>
          </w:p>
        </w:tc>
        <w:tc>
          <w:tcPr>
            <w:tcW w:w="1276" w:type="dxa"/>
            <w:vAlign w:val="center"/>
          </w:tcPr>
          <w:p>
            <w:pPr>
              <w:pStyle w:val="13"/>
            </w:pPr>
            <w:r>
              <w:t>石财农【2024】89号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324新乐市自然资源和规划局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新乐市自然资源和规划局（含所属单位）上年末固定资产金额为0.00万元（详见下表）。本年度拟购置固定资产总额为0.00万元，已按要求列入政府采购预算，详见政府采购预算表。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324新乐市自然资源和规划局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8216A4D"/>
    <w:rsid w:val="4AFC4FFC"/>
    <w:rsid w:val="78751D3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Words>2630</Words>
  <Characters>4269</Characters>
  <TotalTime>1</TotalTime>
  <ScaleCrop>false</ScaleCrop>
  <LinksUpToDate>false</LinksUpToDate>
  <CharactersWithSpaces>4317</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2025-03-03T09:57:00Z</dcterms:created>
  <dc:creator>Administrator</dc:creator>
  <cp:lastModifiedBy>Administrator</cp:lastModifiedBy>
  <dcterms:modified xsi:type="dcterms:W3CDTF">2026-05-28T05:18:45Z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eyJoZGlkIjoiZDYwNzliNDc0NGQ5MjAwNjlmMzJlMjljZjgzNjhkZjAiLCJ1c2VySWQiOiI1OTA5Mzk1ODQifQ==</vt:lpwstr>
  </property>
  <property fmtid="{D5CDD505-2E9C-101B-9397-08002B2CF9AE}" pid="3" name="KSOProductBuildVer">
    <vt:lpwstr>2052-11.8.2.10972</vt:lpwstr>
  </property>
  <property fmtid="{D5CDD505-2E9C-101B-9397-08002B2CF9AE}" pid="4" name="ICV">
    <vt:lpwstr>479770FAF5C64DDD85E3DFDC017D6848_12</vt:lpwstr>
  </property>
</Properties>
</file>