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6F74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新乐市城市管理综合行政执法局</w:t>
      </w:r>
    </w:p>
    <w:p w14:paraId="6456494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执法检查制度</w:t>
      </w:r>
    </w:p>
    <w:bookmarkEnd w:id="0"/>
    <w:p w14:paraId="14B9C9F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</w:pPr>
    </w:p>
    <w:p w14:paraId="56CF701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1、城市管理检查机构按照法律法规的规定，负责组织协调本行政区域城市管理检查工作，综合运用全面检查、专项检查、重点检查等方式，定期或不定期开展经常性城市管理检查。</w:t>
      </w:r>
    </w:p>
    <w:p w14:paraId="74E3076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2、城市管理检查要与专业工作有机结合，协调联动，配合各专业及专项普查调查工作机构制定检查计划，明确检查重点，落实岗位责任，充分发挥执法检查对工作的保障作用。</w:t>
      </w:r>
    </w:p>
    <w:p w14:paraId="506DFC3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3、合理调配力量，提高检查成效，防止重复检查，除有举报、上级部门交办外，每年城市管理检查严格按照涉企检查工作计划开展。城市管理检查、调查取证或送达法律文书等公务，人数不得少于两人。</w:t>
      </w:r>
    </w:p>
    <w:p w14:paraId="1DF9ECD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4、城市管理检查员在执行检查任务时必须持有《行政执法证》合法证件，并按规定出示证件。</w:t>
      </w:r>
    </w:p>
    <w:p w14:paraId="4701439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5、城市管理检查员执行检查任务时要做到文明执法、依法行政。</w:t>
      </w:r>
    </w:p>
    <w:p w14:paraId="7D78AC5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6、对于执法检查中发现的违法行为必须依法作出处理，构成违法案件的应当按照法定程序立案、调查、处理、结案。</w:t>
      </w:r>
    </w:p>
    <w:p w14:paraId="30A7BA9F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7、查处违法案件应当做到事实清楚，证据确凿，定性准确，处理恰当，适用法律正确，符合法定程序。</w:t>
      </w:r>
    </w:p>
    <w:p w14:paraId="1FC7EF3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8、建立案件责任追究制。坚持以事实为依据，以法律为准绳，对于违反法律法规规定办理的错案，将追究经办人员的责任。</w:t>
      </w:r>
    </w:p>
    <w:p w14:paraId="1EE7409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9、违法案件结案后应及时归档。</w:t>
      </w:r>
    </w:p>
    <w:p w14:paraId="1308B6B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10、本制度自印发之日起执行。制度规定如遇有上级政策调整再另行制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定。</w:t>
      </w:r>
    </w:p>
    <w:p w14:paraId="7DBFE17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4124C"/>
    <w:rsid w:val="4A44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2026-06-01T02:33:00Z</dcterms:created>
  <dc:creator>H3C</dc:creator>
  <cp:lastModifiedBy>H3C</cp:lastModifiedBy>
  <dcterms:modified xsi:type="dcterms:W3CDTF">2026-06-01T02:38:37Z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DCE950745CAE4E659FD370B0C7474F83_11</vt:lpwstr>
  </property>
  <property fmtid="{D5CDD505-2E9C-101B-9397-08002B2CF9AE}" pid="4" name="KSOTemplateDocerSaveRecord">
    <vt:lpwstr>eyJoZGlkIjoiMGI3NjE1MDNiYTcxNWI2YmZmY2M3OGI0Y2Q2NmQ3YTYifQ==</vt:lpwstr>
  </property>
</Properties>
</file>