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6D5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b/>
          <w:bCs/>
          <w:i w:val="0"/>
          <w:iCs w:val="0"/>
          <w:caps w:val="0"/>
          <w:color w:val="auto"/>
          <w:spacing w:val="0"/>
          <w:sz w:val="44"/>
          <w:szCs w:val="44"/>
          <w:shd w:val="clear" w:fill="FFFFFF"/>
        </w:rPr>
      </w:pPr>
      <w:r>
        <w:rPr>
          <w:rFonts w:hint="eastAsia" w:ascii="方正小标宋_GBK" w:hAnsi="方正小标宋_GBK" w:eastAsia="方正小标宋_GBK" w:cs="方正小标宋_GBK"/>
          <w:b/>
          <w:bCs/>
          <w:i w:val="0"/>
          <w:iCs w:val="0"/>
          <w:caps w:val="0"/>
          <w:color w:val="auto"/>
          <w:spacing w:val="0"/>
          <w:sz w:val="44"/>
          <w:szCs w:val="44"/>
          <w:shd w:val="clear" w:fill="FFFFFF"/>
          <w:lang w:val="en-US" w:eastAsia="zh-CN"/>
        </w:rPr>
        <w:t>新乐市城市管理</w:t>
      </w:r>
      <w:r>
        <w:rPr>
          <w:rFonts w:hint="eastAsia" w:ascii="方正小标宋_GBK" w:hAnsi="方正小标宋_GBK" w:eastAsia="方正小标宋_GBK" w:cs="方正小标宋_GBK"/>
          <w:b/>
          <w:bCs/>
          <w:i w:val="0"/>
          <w:iCs w:val="0"/>
          <w:caps w:val="0"/>
          <w:color w:val="auto"/>
          <w:spacing w:val="0"/>
          <w:sz w:val="44"/>
          <w:szCs w:val="44"/>
          <w:shd w:val="clear" w:fill="FFFFFF"/>
        </w:rPr>
        <w:t>综合行政执法局</w:t>
      </w:r>
    </w:p>
    <w:p w14:paraId="3AA57D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b/>
          <w:bCs/>
          <w:i w:val="0"/>
          <w:iCs w:val="0"/>
          <w:caps w:val="0"/>
          <w:color w:val="auto"/>
          <w:spacing w:val="0"/>
          <w:sz w:val="44"/>
          <w:szCs w:val="44"/>
          <w:shd w:val="clear" w:fill="FFFFFF"/>
        </w:rPr>
      </w:pPr>
      <w:r>
        <w:rPr>
          <w:rFonts w:hint="eastAsia" w:ascii="方正小标宋_GBK" w:hAnsi="方正小标宋_GBK" w:eastAsia="方正小标宋_GBK" w:cs="方正小标宋_GBK"/>
          <w:b/>
          <w:bCs/>
          <w:i w:val="0"/>
          <w:iCs w:val="0"/>
          <w:caps w:val="0"/>
          <w:color w:val="auto"/>
          <w:spacing w:val="0"/>
          <w:sz w:val="44"/>
          <w:szCs w:val="44"/>
          <w:shd w:val="clear" w:fill="FFFFFF"/>
        </w:rPr>
        <w:t>关于进一步规范行政执法案件档案管理</w:t>
      </w:r>
    </w:p>
    <w:p w14:paraId="0BDF44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i w:val="0"/>
          <w:iCs w:val="0"/>
          <w:caps w:val="0"/>
          <w:color w:val="auto"/>
          <w:spacing w:val="0"/>
          <w:sz w:val="44"/>
          <w:szCs w:val="44"/>
          <w:shd w:val="clear" w:color="auto" w:fill="auto"/>
        </w:rPr>
      </w:pPr>
      <w:r>
        <w:rPr>
          <w:rFonts w:hint="eastAsia" w:ascii="方正小标宋_GBK" w:hAnsi="方正小标宋_GBK" w:eastAsia="方正小标宋_GBK" w:cs="方正小标宋_GBK"/>
          <w:b/>
          <w:bCs/>
          <w:i w:val="0"/>
          <w:iCs w:val="0"/>
          <w:caps w:val="0"/>
          <w:color w:val="auto"/>
          <w:spacing w:val="0"/>
          <w:sz w:val="44"/>
          <w:szCs w:val="44"/>
          <w:shd w:val="clear" w:fill="FFFFFF"/>
        </w:rPr>
        <w:t>的工作方案</w:t>
      </w:r>
    </w:p>
    <w:p w14:paraId="08D242A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为进一步规范我局行政执法案件档案管理工作，提升案卷管理水平，确保案卷的完整性、规范性、系统性及安全性，根据《中华人民共和国档案法》、《中华人民共和国行政处罚法》、《中华人民共和国行政强制法》及《机关文件材料归档范围和文书档案保管期限规定》等相关法律法规及规章要求，针对当前案卷归档工作中存在的问题，特制定本工作方案。</w:t>
      </w:r>
    </w:p>
    <w:p w14:paraId="107EE01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Style w:val="5"/>
          <w:rFonts w:hint="eastAsia" w:ascii="仿宋_GB2312" w:hAnsi="仿宋_GB2312" w:eastAsia="仿宋_GB2312" w:cs="仿宋_GB2312"/>
          <w:i w:val="0"/>
          <w:iCs w:val="0"/>
          <w:caps w:val="0"/>
          <w:color w:val="auto"/>
          <w:spacing w:val="0"/>
          <w:sz w:val="32"/>
          <w:szCs w:val="32"/>
          <w:shd w:val="clear" w:color="auto" w:fill="auto"/>
        </w:rPr>
        <w:t>一、总体要求</w:t>
      </w:r>
    </w:p>
    <w:p w14:paraId="462BD31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以习近平新时代中国特色社会主义思想为指导，深入贯彻落实党的二十大以及二十届二中、三中全会精神，以依法行政为原则，以规范执法行为为核心，以标准化的案卷管理为手段，全面梳理和整改案卷归档各环节存在的问题，建立健全长效管理机制，为巡视巡察、执法监督、行政复议、行政诉讼及历史查考提供坚实可靠的档案支撑。在规定时间内保质保量完成档案整理工作，推进我局档案管理数字化、智能化，促进流程再造和业务水平提高。</w:t>
      </w:r>
    </w:p>
    <w:p w14:paraId="7452D91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Style w:val="5"/>
          <w:rFonts w:hint="eastAsia" w:ascii="仿宋_GB2312" w:hAnsi="仿宋_GB2312" w:eastAsia="仿宋_GB2312" w:cs="仿宋_GB2312"/>
          <w:i w:val="0"/>
          <w:iCs w:val="0"/>
          <w:caps w:val="0"/>
          <w:color w:val="auto"/>
          <w:spacing w:val="0"/>
          <w:sz w:val="32"/>
          <w:szCs w:val="32"/>
          <w:shd w:val="clear" w:color="auto" w:fill="auto"/>
        </w:rPr>
        <w:t>二、工作目标</w:t>
      </w:r>
    </w:p>
    <w:p w14:paraId="285D672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（一）问题导向，全面整改。有效解决现有案卷归档中存在的应归档不归档、延迟归档、材料内容不全、顺序混乱、装订不规范、目录不清、保管不善、丢失档案等问题。</w:t>
      </w:r>
    </w:p>
    <w:p w14:paraId="25E95DA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（二）建章立制，规范流程。修订完善现有的行政执法案件档案制度，规范案卷立卷、归档、保管、查阅等环节的操作规程与标准。</w:t>
      </w:r>
    </w:p>
    <w:p w14:paraId="15690E3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（三）提升质量，达到标准。确保整改后形成的案卷符合国家及行业相关档案管理标准与评查要求。</w:t>
      </w:r>
    </w:p>
    <w:p w14:paraId="6EBCF5E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（四）强化意识，落实责任。增强各部门以及全体执法人员的档案意识和责任意识，将案卷规范化要求融入执法全过程。</w:t>
      </w:r>
    </w:p>
    <w:p w14:paraId="073C5F2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Style w:val="5"/>
          <w:rFonts w:hint="eastAsia" w:ascii="仿宋_GB2312" w:hAnsi="仿宋_GB2312" w:eastAsia="仿宋_GB2312" w:cs="仿宋_GB2312"/>
          <w:i w:val="0"/>
          <w:iCs w:val="0"/>
          <w:caps w:val="0"/>
          <w:color w:val="auto"/>
          <w:spacing w:val="0"/>
          <w:sz w:val="32"/>
          <w:szCs w:val="32"/>
          <w:shd w:val="clear" w:color="auto" w:fill="auto"/>
        </w:rPr>
        <w:t>三、整改内容与措施　</w:t>
      </w:r>
      <w:r>
        <w:rPr>
          <w:rFonts w:hint="eastAsia" w:ascii="仿宋_GB2312" w:hAnsi="仿宋_GB2312" w:eastAsia="仿宋_GB2312" w:cs="仿宋_GB2312"/>
          <w:i w:val="0"/>
          <w:iCs w:val="0"/>
          <w:caps w:val="0"/>
          <w:color w:val="auto"/>
          <w:spacing w:val="0"/>
          <w:sz w:val="32"/>
          <w:szCs w:val="32"/>
          <w:shd w:val="clear" w:color="auto" w:fill="auto"/>
        </w:rPr>
        <w:br w:type="textWrapping"/>
      </w:r>
      <w:r>
        <w:rPr>
          <w:rFonts w:hint="eastAsia" w:ascii="仿宋_GB2312" w:hAnsi="仿宋_GB2312" w:eastAsia="仿宋_GB2312" w:cs="仿宋_GB2312"/>
          <w:i w:val="0"/>
          <w:iCs w:val="0"/>
          <w:caps w:val="0"/>
          <w:color w:val="auto"/>
          <w:spacing w:val="0"/>
          <w:sz w:val="32"/>
          <w:szCs w:val="32"/>
          <w:shd w:val="clear" w:color="auto" w:fill="auto"/>
        </w:rPr>
        <w:t>   （一）全面梳理与核查</w:t>
      </w:r>
    </w:p>
    <w:p w14:paraId="3D27670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1. 排查案卷。对2021年以来已归档和未归档的行政执法案卷进行一次全面摸底排查，逐卷检查，详细登记存在的问题，建立自查自纠工作台账。力求把问题找准、把措施定实，实现整改提升，提高执法办案和案卷归档质量。（责任单位：各</w:t>
      </w:r>
      <w:r>
        <w:rPr>
          <w:rFonts w:hint="eastAsia" w:ascii="仿宋_GB2312" w:hAnsi="仿宋_GB2312" w:eastAsia="仿宋_GB2312" w:cs="仿宋_GB2312"/>
          <w:i w:val="0"/>
          <w:iCs w:val="0"/>
          <w:caps w:val="0"/>
          <w:color w:val="auto"/>
          <w:spacing w:val="0"/>
          <w:sz w:val="32"/>
          <w:szCs w:val="32"/>
          <w:shd w:val="clear" w:color="auto" w:fill="auto"/>
          <w:lang w:val="en-US" w:eastAsia="zh-CN"/>
        </w:rPr>
        <w:t>执法大</w:t>
      </w:r>
      <w:r>
        <w:rPr>
          <w:rFonts w:hint="eastAsia" w:ascii="仿宋_GB2312" w:hAnsi="仿宋_GB2312" w:eastAsia="仿宋_GB2312" w:cs="仿宋_GB2312"/>
          <w:i w:val="0"/>
          <w:iCs w:val="0"/>
          <w:caps w:val="0"/>
          <w:color w:val="auto"/>
          <w:spacing w:val="0"/>
          <w:sz w:val="32"/>
          <w:szCs w:val="32"/>
          <w:shd w:val="clear" w:color="auto" w:fill="auto"/>
        </w:rPr>
        <w:t>队）</w:t>
      </w:r>
    </w:p>
    <w:p w14:paraId="554B34E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2. 分类处置。</w:t>
      </w:r>
    </w:p>
    <w:p w14:paraId="171CBC7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（1）对应归档不归档或者延迟归档的，责令办案单位及时按要求归档；</w:t>
      </w:r>
    </w:p>
    <w:p w14:paraId="7F52474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（2）对材料缺失的案卷，责令办案单位或执法人员补充收集；确实无法补充的，需在案卷备考表中注明原因；</w:t>
      </w:r>
    </w:p>
    <w:p w14:paraId="32B2CA6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（3）对顺序混乱、装订不合格、目录不清的案卷，立即重新整理、编目、装订；</w:t>
      </w:r>
    </w:p>
    <w:p w14:paraId="0A0DB56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（4）对出现书写、用纸不规范等问题的案卷，进行标注说明，必要时复印替换重要页面（需加盖核对章）；</w:t>
      </w:r>
    </w:p>
    <w:p w14:paraId="4DE4068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（5）对于保管不善导致案卷丢失的，查明原因，严肃追责。</w:t>
      </w:r>
    </w:p>
    <w:p w14:paraId="424DBC4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（责任单位：</w:t>
      </w:r>
      <w:r>
        <w:rPr>
          <w:rFonts w:hint="eastAsia" w:ascii="仿宋_GB2312" w:hAnsi="仿宋_GB2312" w:eastAsia="仿宋_GB2312" w:cs="仿宋_GB2312"/>
          <w:i w:val="0"/>
          <w:iCs w:val="0"/>
          <w:caps w:val="0"/>
          <w:color w:val="auto"/>
          <w:spacing w:val="0"/>
          <w:sz w:val="32"/>
          <w:szCs w:val="32"/>
          <w:shd w:val="clear" w:color="auto" w:fill="auto"/>
          <w:lang w:val="en-US" w:eastAsia="zh-CN"/>
        </w:rPr>
        <w:t>局办公室、政策法规室、各执法大队</w:t>
      </w:r>
      <w:r>
        <w:rPr>
          <w:rFonts w:hint="eastAsia" w:ascii="仿宋_GB2312" w:hAnsi="仿宋_GB2312" w:eastAsia="仿宋_GB2312" w:cs="仿宋_GB2312"/>
          <w:i w:val="0"/>
          <w:iCs w:val="0"/>
          <w:caps w:val="0"/>
          <w:color w:val="auto"/>
          <w:spacing w:val="0"/>
          <w:sz w:val="32"/>
          <w:szCs w:val="32"/>
          <w:shd w:val="clear" w:color="auto" w:fill="auto"/>
        </w:rPr>
        <w:t>）</w:t>
      </w:r>
    </w:p>
    <w:p w14:paraId="66AFDD0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（二）健全制度与标准</w:t>
      </w:r>
    </w:p>
    <w:p w14:paraId="21BCDAA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1. 完善制度。修订完善《</w:t>
      </w:r>
      <w:r>
        <w:rPr>
          <w:rFonts w:hint="eastAsia" w:ascii="仿宋_GB2312" w:hAnsi="仿宋_GB2312" w:eastAsia="仿宋_GB2312" w:cs="仿宋_GB2312"/>
          <w:i w:val="0"/>
          <w:iCs w:val="0"/>
          <w:caps w:val="0"/>
          <w:color w:val="auto"/>
          <w:spacing w:val="0"/>
          <w:sz w:val="32"/>
          <w:szCs w:val="32"/>
          <w:shd w:val="clear" w:color="auto" w:fill="auto"/>
          <w:lang w:val="en-US" w:eastAsia="zh-CN"/>
        </w:rPr>
        <w:t>新乐市城市管理</w:t>
      </w:r>
      <w:r>
        <w:rPr>
          <w:rFonts w:hint="eastAsia" w:ascii="仿宋_GB2312" w:hAnsi="仿宋_GB2312" w:eastAsia="仿宋_GB2312" w:cs="仿宋_GB2312"/>
          <w:i w:val="0"/>
          <w:iCs w:val="0"/>
          <w:caps w:val="0"/>
          <w:color w:val="auto"/>
          <w:spacing w:val="0"/>
          <w:sz w:val="32"/>
          <w:szCs w:val="32"/>
          <w:shd w:val="clear" w:color="auto" w:fill="auto"/>
        </w:rPr>
        <w:t>综合行政执法局行政执法案件档案管理制度》，明确案卷材料的收集范围、归档时限、整理标准、质量要求、保管期限、移交程序、电子案卷归档要求以及鉴定销毁等。</w:t>
      </w:r>
    </w:p>
    <w:p w14:paraId="05EB704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（责任单位：</w:t>
      </w:r>
      <w:r>
        <w:rPr>
          <w:rFonts w:hint="eastAsia" w:ascii="仿宋_GB2312" w:hAnsi="仿宋_GB2312" w:eastAsia="仿宋_GB2312" w:cs="仿宋_GB2312"/>
          <w:i w:val="0"/>
          <w:iCs w:val="0"/>
          <w:caps w:val="0"/>
          <w:color w:val="auto"/>
          <w:spacing w:val="0"/>
          <w:sz w:val="32"/>
          <w:szCs w:val="32"/>
          <w:shd w:val="clear" w:color="auto" w:fill="auto"/>
          <w:lang w:val="en-US" w:eastAsia="zh-CN"/>
        </w:rPr>
        <w:t>政策法规室</w:t>
      </w:r>
      <w:r>
        <w:rPr>
          <w:rFonts w:hint="eastAsia" w:ascii="仿宋_GB2312" w:hAnsi="仿宋_GB2312" w:eastAsia="仿宋_GB2312" w:cs="仿宋_GB2312"/>
          <w:i w:val="0"/>
          <w:iCs w:val="0"/>
          <w:caps w:val="0"/>
          <w:color w:val="auto"/>
          <w:spacing w:val="0"/>
          <w:sz w:val="32"/>
          <w:szCs w:val="32"/>
          <w:shd w:val="clear" w:color="auto" w:fill="auto"/>
        </w:rPr>
        <w:t>）</w:t>
      </w:r>
    </w:p>
    <w:p w14:paraId="37F4CBF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2. 建立归档质量检查机制。实行“谁办案谁立卷、谁立卷谁负责”责任制。由督查科牵头，机关纪委、法制科、办公室等参加的督导小组，按照年度督查工作方案的要求，开展督查检查，督查结果纳入绩效考核。</w:t>
      </w:r>
    </w:p>
    <w:p w14:paraId="71734D5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（责任单位：</w:t>
      </w:r>
      <w:r>
        <w:rPr>
          <w:rFonts w:hint="eastAsia" w:ascii="仿宋_GB2312" w:hAnsi="仿宋_GB2312" w:eastAsia="仿宋_GB2312" w:cs="仿宋_GB2312"/>
          <w:i w:val="0"/>
          <w:iCs w:val="0"/>
          <w:caps w:val="0"/>
          <w:color w:val="auto"/>
          <w:spacing w:val="0"/>
          <w:sz w:val="32"/>
          <w:szCs w:val="32"/>
          <w:shd w:val="clear" w:color="auto" w:fill="auto"/>
          <w:lang w:val="en-US" w:eastAsia="zh-CN"/>
        </w:rPr>
        <w:t>局办公室、政策法规室、各执法大队</w:t>
      </w:r>
      <w:r>
        <w:rPr>
          <w:rFonts w:hint="eastAsia" w:ascii="仿宋_GB2312" w:hAnsi="仿宋_GB2312" w:eastAsia="仿宋_GB2312" w:cs="仿宋_GB2312"/>
          <w:i w:val="0"/>
          <w:iCs w:val="0"/>
          <w:caps w:val="0"/>
          <w:color w:val="auto"/>
          <w:spacing w:val="0"/>
          <w:sz w:val="32"/>
          <w:szCs w:val="32"/>
          <w:shd w:val="clear" w:color="auto" w:fill="auto"/>
        </w:rPr>
        <w:t>）</w:t>
      </w:r>
    </w:p>
    <w:p w14:paraId="19FD1AA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Style w:val="5"/>
          <w:rFonts w:hint="eastAsia" w:ascii="仿宋_GB2312" w:hAnsi="仿宋_GB2312" w:eastAsia="仿宋_GB2312" w:cs="仿宋_GB2312"/>
          <w:i w:val="0"/>
          <w:iCs w:val="0"/>
          <w:caps w:val="0"/>
          <w:color w:val="auto"/>
          <w:spacing w:val="0"/>
          <w:sz w:val="32"/>
          <w:szCs w:val="32"/>
          <w:shd w:val="clear" w:color="auto" w:fill="auto"/>
        </w:rPr>
        <w:t>四、实施步骤与时间安排</w:t>
      </w:r>
    </w:p>
    <w:p w14:paraId="5010D61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（一）自查自纠阶段。各</w:t>
      </w:r>
      <w:r>
        <w:rPr>
          <w:rFonts w:hint="eastAsia" w:ascii="仿宋_GB2312" w:hAnsi="仿宋_GB2312" w:eastAsia="仿宋_GB2312" w:cs="仿宋_GB2312"/>
          <w:i w:val="0"/>
          <w:iCs w:val="0"/>
          <w:caps w:val="0"/>
          <w:color w:val="auto"/>
          <w:spacing w:val="0"/>
          <w:sz w:val="32"/>
          <w:szCs w:val="32"/>
          <w:shd w:val="clear" w:color="auto" w:fill="auto"/>
          <w:lang w:val="en-US" w:eastAsia="zh-CN"/>
        </w:rPr>
        <w:t>大</w:t>
      </w:r>
      <w:r>
        <w:rPr>
          <w:rFonts w:hint="eastAsia" w:ascii="仿宋_GB2312" w:hAnsi="仿宋_GB2312" w:eastAsia="仿宋_GB2312" w:cs="仿宋_GB2312"/>
          <w:i w:val="0"/>
          <w:iCs w:val="0"/>
          <w:caps w:val="0"/>
          <w:color w:val="auto"/>
          <w:spacing w:val="0"/>
          <w:sz w:val="32"/>
          <w:szCs w:val="32"/>
          <w:shd w:val="clear" w:color="auto" w:fill="auto"/>
        </w:rPr>
        <w:t>队对照标准和要求，对未归档、已归档和即将归档的案卷进行全面自查，建立自查自纠工作台账，全面落实整改。</w:t>
      </w:r>
    </w:p>
    <w:p w14:paraId="0211C99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（二）集中整改阶段。组织力量，压实责任，对问题突出的案卷进行集中规范整理。</w:t>
      </w:r>
    </w:p>
    <w:p w14:paraId="26ECA51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（三）检查验收阶段。对各</w:t>
      </w:r>
      <w:r>
        <w:rPr>
          <w:rFonts w:hint="eastAsia" w:ascii="仿宋_GB2312" w:hAnsi="仿宋_GB2312" w:eastAsia="仿宋_GB2312" w:cs="仿宋_GB2312"/>
          <w:i w:val="0"/>
          <w:iCs w:val="0"/>
          <w:caps w:val="0"/>
          <w:color w:val="auto"/>
          <w:spacing w:val="0"/>
          <w:sz w:val="32"/>
          <w:szCs w:val="32"/>
          <w:shd w:val="clear" w:color="auto" w:fill="auto"/>
          <w:lang w:val="en-US" w:eastAsia="zh-CN"/>
        </w:rPr>
        <w:t>大</w:t>
      </w:r>
      <w:r>
        <w:rPr>
          <w:rFonts w:hint="eastAsia" w:ascii="仿宋_GB2312" w:hAnsi="仿宋_GB2312" w:eastAsia="仿宋_GB2312" w:cs="仿宋_GB2312"/>
          <w:i w:val="0"/>
          <w:iCs w:val="0"/>
          <w:caps w:val="0"/>
          <w:color w:val="auto"/>
          <w:spacing w:val="0"/>
          <w:sz w:val="32"/>
          <w:szCs w:val="32"/>
          <w:shd w:val="clear" w:color="auto" w:fill="auto"/>
        </w:rPr>
        <w:t>队整改情况进行检查验收，对整改不到位的严肃追责。</w:t>
      </w:r>
    </w:p>
    <w:p w14:paraId="71EFF00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（四）巩固提升阶段。全面总结整改工作经验，固化整改成果，将案卷规范化管理纳入日常监督考核，形成长效机制。</w:t>
      </w:r>
    </w:p>
    <w:p w14:paraId="121F632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Style w:val="5"/>
          <w:rFonts w:hint="eastAsia" w:ascii="仿宋_GB2312" w:hAnsi="仿宋_GB2312" w:eastAsia="仿宋_GB2312" w:cs="仿宋_GB2312"/>
          <w:i w:val="0"/>
          <w:iCs w:val="0"/>
          <w:caps w:val="0"/>
          <w:color w:val="auto"/>
          <w:spacing w:val="0"/>
          <w:sz w:val="32"/>
          <w:szCs w:val="32"/>
          <w:shd w:val="clear" w:color="auto" w:fill="auto"/>
        </w:rPr>
        <w:t>五、责任分工</w:t>
      </w:r>
    </w:p>
    <w:p w14:paraId="5E64DD4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1. 局机关负总责，统筹协调整改工作。</w:t>
      </w:r>
    </w:p>
    <w:p w14:paraId="787880B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2. 办公室负责档案管理业务指导、标准解释、集中整改的实施、保管条件的维护、归档验收及日常管理。</w:t>
      </w:r>
    </w:p>
    <w:p w14:paraId="1B8011D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 xml:space="preserve">3. </w:t>
      </w:r>
      <w:r>
        <w:rPr>
          <w:rFonts w:hint="eastAsia" w:ascii="仿宋_GB2312" w:hAnsi="仿宋_GB2312" w:eastAsia="仿宋_GB2312" w:cs="仿宋_GB2312"/>
          <w:i w:val="0"/>
          <w:iCs w:val="0"/>
          <w:caps w:val="0"/>
          <w:color w:val="auto"/>
          <w:spacing w:val="0"/>
          <w:sz w:val="32"/>
          <w:szCs w:val="32"/>
          <w:shd w:val="clear" w:color="auto" w:fill="auto"/>
          <w:lang w:val="en-US" w:eastAsia="zh-CN"/>
        </w:rPr>
        <w:t>政策法规室</w:t>
      </w:r>
      <w:r>
        <w:rPr>
          <w:rFonts w:hint="eastAsia" w:ascii="仿宋_GB2312" w:hAnsi="仿宋_GB2312" w:eastAsia="仿宋_GB2312" w:cs="仿宋_GB2312"/>
          <w:i w:val="0"/>
          <w:iCs w:val="0"/>
          <w:caps w:val="0"/>
          <w:color w:val="auto"/>
          <w:spacing w:val="0"/>
          <w:sz w:val="32"/>
          <w:szCs w:val="32"/>
          <w:shd w:val="clear" w:color="auto" w:fill="auto"/>
        </w:rPr>
        <w:t>负责制度标准的修订、执法程序合规性审查指导、培训内容的法律支持。</w:t>
      </w:r>
    </w:p>
    <w:p w14:paraId="605D778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 xml:space="preserve">4. </w:t>
      </w:r>
      <w:r>
        <w:rPr>
          <w:rFonts w:hint="eastAsia" w:ascii="仿宋_GB2312" w:hAnsi="仿宋_GB2312" w:eastAsia="仿宋_GB2312" w:cs="仿宋_GB2312"/>
          <w:i w:val="0"/>
          <w:iCs w:val="0"/>
          <w:caps w:val="0"/>
          <w:color w:val="auto"/>
          <w:spacing w:val="0"/>
          <w:sz w:val="32"/>
          <w:szCs w:val="32"/>
          <w:shd w:val="clear" w:color="auto" w:fill="auto"/>
          <w:lang w:val="en-US" w:eastAsia="zh-CN"/>
        </w:rPr>
        <w:t>政策法规室</w:t>
      </w:r>
      <w:r>
        <w:rPr>
          <w:rFonts w:hint="eastAsia" w:ascii="仿宋_GB2312" w:hAnsi="仿宋_GB2312" w:eastAsia="仿宋_GB2312" w:cs="仿宋_GB2312"/>
          <w:i w:val="0"/>
          <w:iCs w:val="0"/>
          <w:caps w:val="0"/>
          <w:color w:val="auto"/>
          <w:spacing w:val="0"/>
          <w:sz w:val="32"/>
          <w:szCs w:val="32"/>
          <w:shd w:val="clear" w:color="auto" w:fill="auto"/>
        </w:rPr>
        <w:t>负责组织行政执法案件档案归档工作整改落实的现场督导检查工作。</w:t>
      </w:r>
    </w:p>
    <w:p w14:paraId="15AB20F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5. 各</w:t>
      </w:r>
      <w:r>
        <w:rPr>
          <w:rFonts w:hint="eastAsia" w:ascii="仿宋_GB2312" w:hAnsi="仿宋_GB2312" w:eastAsia="仿宋_GB2312" w:cs="仿宋_GB2312"/>
          <w:i w:val="0"/>
          <w:iCs w:val="0"/>
          <w:caps w:val="0"/>
          <w:color w:val="auto"/>
          <w:spacing w:val="0"/>
          <w:sz w:val="32"/>
          <w:szCs w:val="32"/>
          <w:shd w:val="clear" w:color="auto" w:fill="auto"/>
          <w:lang w:val="en-US" w:eastAsia="zh-CN"/>
        </w:rPr>
        <w:t>大</w:t>
      </w:r>
      <w:r>
        <w:rPr>
          <w:rFonts w:hint="eastAsia" w:ascii="仿宋_GB2312" w:hAnsi="仿宋_GB2312" w:eastAsia="仿宋_GB2312" w:cs="仿宋_GB2312"/>
          <w:i w:val="0"/>
          <w:iCs w:val="0"/>
          <w:caps w:val="0"/>
          <w:color w:val="auto"/>
          <w:spacing w:val="0"/>
          <w:sz w:val="32"/>
          <w:szCs w:val="32"/>
          <w:shd w:val="clear" w:color="auto" w:fill="auto"/>
        </w:rPr>
        <w:t>队负责本机构所办行政执法案件档案的自查、补充、初步整理及日常立卷工作。</w:t>
      </w:r>
    </w:p>
    <w:p w14:paraId="49115BF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Style w:val="5"/>
          <w:rFonts w:hint="eastAsia" w:ascii="仿宋_GB2312" w:hAnsi="仿宋_GB2312" w:eastAsia="仿宋_GB2312" w:cs="仿宋_GB2312"/>
          <w:i w:val="0"/>
          <w:iCs w:val="0"/>
          <w:caps w:val="0"/>
          <w:color w:val="auto"/>
          <w:spacing w:val="0"/>
          <w:sz w:val="32"/>
          <w:szCs w:val="32"/>
          <w:shd w:val="clear" w:color="auto" w:fill="auto"/>
        </w:rPr>
        <w:t>六、保障措施</w:t>
      </w:r>
    </w:p>
    <w:p w14:paraId="3FA6B15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（一）加强组织领导。局成立由主要领导任组长，分管领导任副组长，各</w:t>
      </w:r>
      <w:r>
        <w:rPr>
          <w:rFonts w:hint="eastAsia" w:ascii="仿宋_GB2312" w:hAnsi="仿宋_GB2312" w:eastAsia="仿宋_GB2312" w:cs="仿宋_GB2312"/>
          <w:i w:val="0"/>
          <w:iCs w:val="0"/>
          <w:caps w:val="0"/>
          <w:color w:val="auto"/>
          <w:spacing w:val="0"/>
          <w:sz w:val="32"/>
          <w:szCs w:val="32"/>
          <w:shd w:val="clear" w:color="auto" w:fill="auto"/>
          <w:lang w:eastAsia="zh-CN"/>
        </w:rPr>
        <w:t>股室</w:t>
      </w:r>
      <w:r>
        <w:rPr>
          <w:rFonts w:hint="eastAsia" w:ascii="仿宋_GB2312" w:hAnsi="仿宋_GB2312" w:eastAsia="仿宋_GB2312" w:cs="仿宋_GB2312"/>
          <w:i w:val="0"/>
          <w:iCs w:val="0"/>
          <w:caps w:val="0"/>
          <w:color w:val="auto"/>
          <w:spacing w:val="0"/>
          <w:sz w:val="32"/>
          <w:szCs w:val="32"/>
          <w:shd w:val="clear" w:color="auto" w:fill="auto"/>
        </w:rPr>
        <w:t>、</w:t>
      </w:r>
      <w:r>
        <w:rPr>
          <w:rFonts w:hint="eastAsia" w:ascii="仿宋_GB2312" w:hAnsi="仿宋_GB2312" w:eastAsia="仿宋_GB2312" w:cs="仿宋_GB2312"/>
          <w:i w:val="0"/>
          <w:iCs w:val="0"/>
          <w:caps w:val="0"/>
          <w:color w:val="auto"/>
          <w:spacing w:val="0"/>
          <w:sz w:val="32"/>
          <w:szCs w:val="32"/>
          <w:shd w:val="clear" w:color="auto" w:fill="auto"/>
          <w:lang w:val="en-US" w:eastAsia="zh-CN"/>
        </w:rPr>
        <w:t>大</w:t>
      </w:r>
      <w:r>
        <w:rPr>
          <w:rFonts w:hint="eastAsia" w:ascii="仿宋_GB2312" w:hAnsi="仿宋_GB2312" w:eastAsia="仿宋_GB2312" w:cs="仿宋_GB2312"/>
          <w:i w:val="0"/>
          <w:iCs w:val="0"/>
          <w:caps w:val="0"/>
          <w:color w:val="auto"/>
          <w:spacing w:val="0"/>
          <w:sz w:val="32"/>
          <w:szCs w:val="32"/>
          <w:shd w:val="clear" w:color="auto" w:fill="auto"/>
        </w:rPr>
        <w:t>队负责人为成员的行政执法档案管理工作领导小组，各</w:t>
      </w:r>
      <w:r>
        <w:rPr>
          <w:rFonts w:hint="eastAsia" w:ascii="仿宋_GB2312" w:hAnsi="仿宋_GB2312" w:eastAsia="仿宋_GB2312" w:cs="仿宋_GB2312"/>
          <w:i w:val="0"/>
          <w:iCs w:val="0"/>
          <w:caps w:val="0"/>
          <w:color w:val="auto"/>
          <w:spacing w:val="0"/>
          <w:sz w:val="32"/>
          <w:szCs w:val="32"/>
          <w:shd w:val="clear" w:color="auto" w:fill="auto"/>
          <w:lang w:val="en-US" w:eastAsia="zh-CN"/>
        </w:rPr>
        <w:t>大</w:t>
      </w:r>
      <w:r>
        <w:rPr>
          <w:rFonts w:hint="eastAsia" w:ascii="仿宋_GB2312" w:hAnsi="仿宋_GB2312" w:eastAsia="仿宋_GB2312" w:cs="仿宋_GB2312"/>
          <w:i w:val="0"/>
          <w:iCs w:val="0"/>
          <w:caps w:val="0"/>
          <w:color w:val="auto"/>
          <w:spacing w:val="0"/>
          <w:sz w:val="32"/>
          <w:szCs w:val="32"/>
          <w:shd w:val="clear" w:color="auto" w:fill="auto"/>
        </w:rPr>
        <w:t>队负责人亲自抓，确保整改工作落到实处。</w:t>
      </w:r>
    </w:p>
    <w:p w14:paraId="2DC4EFA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（二）保障经费投入。确保案卷整理、设备购置、库房改造、培训等所需经费。</w:t>
      </w:r>
    </w:p>
    <w:p w14:paraId="0664541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（三）强化督导考核。将案卷归档规范化管理工作纳入年度工作考核范围，对整改不力、问题反复的单位和个人根据情节轻重进行通报批评，或依法给予党纪政纪处分。</w:t>
      </w:r>
    </w:p>
    <w:p w14:paraId="2A93F2B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（四）建立长效机制。以此次整改为契机，实现案卷归档工作的常态化、标准化、规范化管理。档案管理进入常态化后，执法类案卷办结后20个工作日内移交</w:t>
      </w:r>
      <w:r>
        <w:rPr>
          <w:rFonts w:hint="eastAsia" w:ascii="仿宋_GB2312" w:hAnsi="仿宋_GB2312" w:eastAsia="仿宋_GB2312" w:cs="仿宋_GB2312"/>
          <w:i w:val="0"/>
          <w:iCs w:val="0"/>
          <w:caps w:val="0"/>
          <w:color w:val="auto"/>
          <w:spacing w:val="0"/>
          <w:sz w:val="32"/>
          <w:szCs w:val="32"/>
          <w:shd w:val="clear" w:color="auto" w:fill="auto"/>
          <w:lang w:val="en-US" w:eastAsia="zh-CN"/>
        </w:rPr>
        <w:t>政策法规室</w:t>
      </w:r>
      <w:r>
        <w:rPr>
          <w:rFonts w:hint="eastAsia" w:ascii="仿宋_GB2312" w:hAnsi="仿宋_GB2312" w:eastAsia="仿宋_GB2312" w:cs="仿宋_GB2312"/>
          <w:i w:val="0"/>
          <w:iCs w:val="0"/>
          <w:caps w:val="0"/>
          <w:color w:val="auto"/>
          <w:spacing w:val="0"/>
          <w:sz w:val="32"/>
          <w:szCs w:val="32"/>
          <w:shd w:val="clear" w:color="auto" w:fill="auto"/>
        </w:rPr>
        <w:t>档室。                                                              </w:t>
      </w:r>
    </w:p>
    <w:p w14:paraId="0D56BB5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color="auto" w:fill="auto"/>
          <w:lang w:eastAsia="zh-CN"/>
        </w:rPr>
      </w:pPr>
    </w:p>
    <w:p w14:paraId="1FF1008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color="auto" w:fill="auto"/>
          <w:lang w:eastAsia="zh-CN"/>
        </w:rPr>
      </w:pPr>
    </w:p>
    <w:p w14:paraId="55CD117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color="auto" w:fill="auto"/>
          <w:lang w:eastAsia="zh-CN"/>
        </w:rPr>
      </w:pPr>
      <w:bookmarkStart w:id="0" w:name="_GoBack"/>
      <w:bookmarkEnd w:id="0"/>
      <w:r>
        <w:rPr>
          <w:rFonts w:hint="eastAsia" w:ascii="仿宋_GB2312" w:hAnsi="仿宋_GB2312" w:eastAsia="仿宋_GB2312" w:cs="仿宋_GB2312"/>
          <w:i w:val="0"/>
          <w:iCs w:val="0"/>
          <w:caps w:val="0"/>
          <w:color w:val="auto"/>
          <w:spacing w:val="0"/>
          <w:sz w:val="32"/>
          <w:szCs w:val="32"/>
          <w:shd w:val="clear" w:color="auto" w:fill="auto"/>
          <w:lang w:eastAsia="zh-CN"/>
        </w:rPr>
        <w:t>新乐市城市管理综合行政执法局</w:t>
      </w:r>
    </w:p>
    <w:p w14:paraId="7D01D2D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color="auto" w:fill="auto"/>
        </w:rPr>
      </w:pPr>
      <w:r>
        <w:rPr>
          <w:rFonts w:hint="eastAsia" w:ascii="仿宋_GB2312" w:hAnsi="仿宋_GB2312" w:eastAsia="仿宋_GB2312" w:cs="仿宋_GB2312"/>
          <w:i w:val="0"/>
          <w:iCs w:val="0"/>
          <w:caps w:val="0"/>
          <w:color w:val="auto"/>
          <w:spacing w:val="0"/>
          <w:sz w:val="32"/>
          <w:szCs w:val="32"/>
          <w:shd w:val="clear" w:color="auto" w:fill="auto"/>
        </w:rPr>
        <w:t xml:space="preserve"> 202</w:t>
      </w:r>
      <w:r>
        <w:rPr>
          <w:rFonts w:hint="eastAsia" w:ascii="仿宋_GB2312" w:hAnsi="仿宋_GB2312" w:eastAsia="仿宋_GB2312" w:cs="仿宋_GB2312"/>
          <w:i w:val="0"/>
          <w:iCs w:val="0"/>
          <w:caps w:val="0"/>
          <w:color w:val="auto"/>
          <w:spacing w:val="0"/>
          <w:sz w:val="32"/>
          <w:szCs w:val="32"/>
          <w:shd w:val="clear" w:color="auto" w:fill="auto"/>
          <w:lang w:val="en-US" w:eastAsia="zh-CN"/>
        </w:rPr>
        <w:t>6</w:t>
      </w:r>
      <w:r>
        <w:rPr>
          <w:rFonts w:hint="eastAsia" w:ascii="仿宋_GB2312" w:hAnsi="仿宋_GB2312" w:eastAsia="仿宋_GB2312" w:cs="仿宋_GB2312"/>
          <w:i w:val="0"/>
          <w:iCs w:val="0"/>
          <w:caps w:val="0"/>
          <w:color w:val="auto"/>
          <w:spacing w:val="0"/>
          <w:sz w:val="32"/>
          <w:szCs w:val="32"/>
          <w:shd w:val="clear" w:color="auto" w:fill="auto"/>
        </w:rPr>
        <w:t>年</w:t>
      </w:r>
      <w:r>
        <w:rPr>
          <w:rFonts w:hint="eastAsia" w:ascii="仿宋_GB2312" w:hAnsi="仿宋_GB2312" w:eastAsia="仿宋_GB2312" w:cs="仿宋_GB2312"/>
          <w:i w:val="0"/>
          <w:iCs w:val="0"/>
          <w:caps w:val="0"/>
          <w:color w:val="auto"/>
          <w:spacing w:val="0"/>
          <w:sz w:val="32"/>
          <w:szCs w:val="32"/>
          <w:shd w:val="clear" w:color="auto" w:fill="auto"/>
          <w:lang w:val="en-US" w:eastAsia="zh-CN"/>
        </w:rPr>
        <w:t>4</w:t>
      </w:r>
      <w:r>
        <w:rPr>
          <w:rFonts w:hint="eastAsia" w:ascii="仿宋_GB2312" w:hAnsi="仿宋_GB2312" w:eastAsia="仿宋_GB2312" w:cs="仿宋_GB2312"/>
          <w:i w:val="0"/>
          <w:iCs w:val="0"/>
          <w:caps w:val="0"/>
          <w:color w:val="auto"/>
          <w:spacing w:val="0"/>
          <w:sz w:val="32"/>
          <w:szCs w:val="32"/>
          <w:shd w:val="clear" w:color="auto" w:fill="auto"/>
        </w:rPr>
        <w:t>月</w:t>
      </w:r>
      <w:r>
        <w:rPr>
          <w:rFonts w:hint="eastAsia" w:ascii="仿宋_GB2312" w:hAnsi="仿宋_GB2312" w:eastAsia="仿宋_GB2312" w:cs="仿宋_GB2312"/>
          <w:i w:val="0"/>
          <w:iCs w:val="0"/>
          <w:caps w:val="0"/>
          <w:color w:val="auto"/>
          <w:spacing w:val="0"/>
          <w:sz w:val="32"/>
          <w:szCs w:val="32"/>
          <w:shd w:val="clear" w:color="auto" w:fill="auto"/>
          <w:lang w:val="en-US" w:eastAsia="zh-CN"/>
        </w:rPr>
        <w:t>22</w:t>
      </w:r>
      <w:r>
        <w:rPr>
          <w:rFonts w:hint="eastAsia" w:ascii="仿宋_GB2312" w:hAnsi="仿宋_GB2312" w:eastAsia="仿宋_GB2312" w:cs="仿宋_GB2312"/>
          <w:i w:val="0"/>
          <w:iCs w:val="0"/>
          <w:caps w:val="0"/>
          <w:color w:val="auto"/>
          <w:spacing w:val="0"/>
          <w:sz w:val="32"/>
          <w:szCs w:val="32"/>
          <w:shd w:val="clear" w:color="auto" w:fill="auto"/>
        </w:rPr>
        <w:t>日</w:t>
      </w:r>
    </w:p>
    <w:p w14:paraId="67CD51A7">
      <w:pPr>
        <w:shd w:val="clear"/>
        <w:rPr>
          <w:rFonts w:hint="eastAsia" w:ascii="仿宋_GB2312" w:hAnsi="仿宋_GB2312" w:eastAsia="仿宋_GB2312" w:cs="仿宋_GB2312"/>
          <w:color w:val="auto"/>
          <w:sz w:val="32"/>
          <w:szCs w:val="32"/>
          <w:shd w:val="clear" w:color="auto" w:fil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01784"/>
    <w:rsid w:val="1C997F3D"/>
    <w:rsid w:val="41F01784"/>
    <w:rsid w:val="55703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1870</Words>
  <Characters>1887</Characters>
  <Lines>0</Lines>
  <Paragraphs>0</Paragraphs>
  <TotalTime>3</TotalTime>
  <ScaleCrop>false</ScaleCrop>
  <LinksUpToDate>false</LinksUpToDate>
  <CharactersWithSpaces>1963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2026-06-01T02:11:00Z</dcterms:created>
  <dc:creator>H3C</dc:creator>
  <cp:lastModifiedBy>WPS_1580261007</cp:lastModifiedBy>
  <dcterms:modified xsi:type="dcterms:W3CDTF">2026-06-26T07:53:10Z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69425195295540E6B84618B50C45A320_11</vt:lpwstr>
  </property>
  <property fmtid="{D5CDD505-2E9C-101B-9397-08002B2CF9AE}" pid="4" name="KSOTemplateDocerSaveRecord">
    <vt:lpwstr>eyJoZGlkIjoiNjUyZjQ1NjAyMTZjYzc2YWE4ZmMyZTBhNWNhMjBiZGYiLCJ1c2VySWQiOiI3NzAwNzI1MTkifQ==</vt:lpwstr>
  </property>
</Properties>
</file>