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C239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sz w:val="28"/>
          <w:szCs w:val="28"/>
          <w:lang w:val="en-US" w:eastAsia="zh-CN"/>
        </w:rPr>
      </w:pPr>
    </w:p>
    <w:p w14:paraId="16C3F8E5">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附件：</w:t>
      </w:r>
    </w:p>
    <w:p w14:paraId="25A010B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heme="minorEastAsia" w:hAnsiTheme="minorEastAsia" w:cstheme="minorEastAsia"/>
          <w:sz w:val="44"/>
          <w:szCs w:val="44"/>
          <w:lang w:val="en-US" w:eastAsia="zh-CN"/>
        </w:rPr>
      </w:pPr>
      <w:r>
        <w:rPr>
          <w:rFonts w:hint="default" w:asciiTheme="minorEastAsia" w:hAnsiTheme="minorEastAsia" w:cstheme="minorEastAsia"/>
          <w:sz w:val="44"/>
          <w:szCs w:val="44"/>
          <w:lang w:val="en-US" w:eastAsia="zh-CN"/>
        </w:rPr>
        <w:t>新乐市2026年耕地质量等级变更调查评价项目报价单</w:t>
      </w:r>
    </w:p>
    <w:p w14:paraId="3E8F644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heme="minorEastAsia" w:hAnsiTheme="minorEastAsia" w:cstheme="minorEastAsia"/>
          <w:sz w:val="28"/>
          <w:szCs w:val="28"/>
          <w:lang w:val="en-US" w:eastAsia="zh-CN"/>
        </w:rPr>
      </w:pP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58"/>
        <w:gridCol w:w="696"/>
        <w:gridCol w:w="3745"/>
        <w:gridCol w:w="1708"/>
        <w:gridCol w:w="1712"/>
      </w:tblGrid>
      <w:tr w14:paraId="5A1EF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8" w:hRule="atLeast"/>
        </w:trPr>
        <w:tc>
          <w:tcPr>
            <w:tcW w:w="222" w:type="pct"/>
            <w:tcBorders>
              <w:top w:val="nil"/>
              <w:left w:val="nil"/>
              <w:bottom w:val="nil"/>
              <w:right w:val="nil"/>
            </w:tcBorders>
            <w:shd w:val="clear"/>
            <w:noWrap/>
            <w:vAlign w:val="center"/>
          </w:tcPr>
          <w:p w14:paraId="1AC611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529" w:type="pct"/>
            <w:tcBorders>
              <w:top w:val="nil"/>
              <w:left w:val="nil"/>
              <w:bottom w:val="nil"/>
              <w:right w:val="nil"/>
            </w:tcBorders>
            <w:shd w:val="clear"/>
            <w:noWrap/>
            <w:vAlign w:val="center"/>
          </w:tcPr>
          <w:p w14:paraId="6B8381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模块</w:t>
            </w:r>
          </w:p>
        </w:tc>
        <w:tc>
          <w:tcPr>
            <w:tcW w:w="3220" w:type="pct"/>
            <w:tcBorders>
              <w:top w:val="nil"/>
              <w:left w:val="nil"/>
              <w:bottom w:val="nil"/>
              <w:right w:val="nil"/>
            </w:tcBorders>
            <w:shd w:val="clear"/>
            <w:noWrap/>
            <w:vAlign w:val="center"/>
          </w:tcPr>
          <w:p w14:paraId="3E874D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服务内容及要求</w:t>
            </w:r>
          </w:p>
        </w:tc>
        <w:tc>
          <w:tcPr>
            <w:tcW w:w="513" w:type="pct"/>
            <w:tcBorders>
              <w:top w:val="nil"/>
              <w:left w:val="nil"/>
              <w:bottom w:val="nil"/>
              <w:right w:val="nil"/>
            </w:tcBorders>
            <w:shd w:val="clear"/>
            <w:noWrap/>
            <w:vAlign w:val="center"/>
          </w:tcPr>
          <w:p w14:paraId="0EF76F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报价</w:t>
            </w:r>
          </w:p>
        </w:tc>
        <w:tc>
          <w:tcPr>
            <w:tcW w:w="513" w:type="pct"/>
            <w:tcBorders>
              <w:top w:val="nil"/>
              <w:left w:val="nil"/>
              <w:bottom w:val="nil"/>
              <w:right w:val="nil"/>
            </w:tcBorders>
            <w:shd w:val="clear"/>
            <w:vAlign w:val="center"/>
          </w:tcPr>
          <w:p w14:paraId="2376F9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14:paraId="5867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restart"/>
            <w:tcBorders>
              <w:top w:val="single" w:color="000000" w:sz="8" w:space="0"/>
              <w:left w:val="single" w:color="000000" w:sz="8" w:space="0"/>
              <w:bottom w:val="single" w:color="000000" w:sz="8" w:space="0"/>
              <w:right w:val="single" w:color="000000" w:sz="8" w:space="0"/>
            </w:tcBorders>
            <w:shd w:val="clear"/>
            <w:vAlign w:val="center"/>
          </w:tcPr>
          <w:p w14:paraId="32B2B2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1.1</w:t>
            </w:r>
          </w:p>
        </w:tc>
        <w:tc>
          <w:tcPr>
            <w:tcW w:w="529" w:type="pct"/>
            <w:vMerge w:val="restart"/>
            <w:tcBorders>
              <w:top w:val="single" w:color="000000" w:sz="8" w:space="0"/>
              <w:left w:val="single" w:color="000000" w:sz="8" w:space="0"/>
              <w:bottom w:val="single" w:color="000000" w:sz="8" w:space="0"/>
              <w:right w:val="single" w:color="000000" w:sz="8" w:space="0"/>
            </w:tcBorders>
            <w:shd w:val="clear"/>
            <w:vAlign w:val="center"/>
          </w:tcPr>
          <w:p w14:paraId="1170E266">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资料收集、整理与评价单元划分</w:t>
            </w:r>
          </w:p>
        </w:tc>
        <w:tc>
          <w:tcPr>
            <w:tcW w:w="3220" w:type="pct"/>
            <w:tcBorders>
              <w:top w:val="single" w:color="000000" w:sz="8" w:space="0"/>
              <w:left w:val="single" w:color="000000" w:sz="8" w:space="0"/>
              <w:bottom w:val="nil"/>
              <w:right w:val="single" w:color="000000" w:sz="8" w:space="0"/>
            </w:tcBorders>
            <w:shd w:val="clear"/>
            <w:vAlign w:val="center"/>
          </w:tcPr>
          <w:p w14:paraId="533DD9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w:t>
            </w:r>
            <w:r>
              <w:rPr>
                <w:rFonts w:hint="eastAsia" w:ascii="仿宋" w:hAnsi="仿宋" w:eastAsia="仿宋" w:cs="仿宋"/>
                <w:i w:val="0"/>
                <w:iCs w:val="0"/>
                <w:color w:val="000000"/>
                <w:kern w:val="0"/>
                <w:sz w:val="24"/>
                <w:szCs w:val="24"/>
                <w:u w:val="none"/>
                <w:bdr w:val="none" w:color="auto" w:sz="0" w:space="0"/>
                <w:lang w:val="en-US" w:eastAsia="zh-CN" w:bidi="ar"/>
              </w:rPr>
              <w:t>、收集第三次全国土壤普查耕地质量评价数据资料成果（含耕地质量等级评价单元图）、第三次全国土壤普查土壤类型图、</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2024</w:t>
            </w:r>
            <w:r>
              <w:rPr>
                <w:rFonts w:hint="eastAsia" w:ascii="仿宋" w:hAnsi="仿宋" w:eastAsia="仿宋" w:cs="仿宋"/>
                <w:i w:val="0"/>
                <w:iCs w:val="0"/>
                <w:color w:val="000000"/>
                <w:kern w:val="0"/>
                <w:sz w:val="24"/>
                <w:szCs w:val="24"/>
                <w:u w:val="none"/>
                <w:bdr w:val="none" w:color="auto" w:sz="0" w:space="0"/>
                <w:lang w:val="en-US" w:eastAsia="zh-CN" w:bidi="ar"/>
              </w:rPr>
              <w:t>年及</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2025</w:t>
            </w:r>
            <w:r>
              <w:rPr>
                <w:rFonts w:hint="eastAsia" w:ascii="仿宋" w:hAnsi="仿宋" w:eastAsia="仿宋" w:cs="仿宋"/>
                <w:i w:val="0"/>
                <w:iCs w:val="0"/>
                <w:color w:val="000000"/>
                <w:kern w:val="0"/>
                <w:sz w:val="24"/>
                <w:szCs w:val="24"/>
                <w:u w:val="none"/>
                <w:bdr w:val="none" w:color="auto" w:sz="0" w:space="0"/>
                <w:lang w:val="en-US" w:eastAsia="zh-CN" w:bidi="ar"/>
              </w:rPr>
              <w:t>年度国土变更调查数据成果及新增耕地资料、占用耕地等相关资料，并对数据进行审核及标准化处理。</w:t>
            </w:r>
          </w:p>
        </w:tc>
        <w:tc>
          <w:tcPr>
            <w:tcW w:w="513" w:type="pct"/>
            <w:vMerge w:val="restart"/>
            <w:tcBorders>
              <w:top w:val="single" w:color="000000" w:sz="8" w:space="0"/>
              <w:left w:val="nil"/>
              <w:bottom w:val="single" w:color="000000" w:sz="8" w:space="0"/>
              <w:right w:val="single" w:color="000000" w:sz="8" w:space="0"/>
            </w:tcBorders>
            <w:shd w:val="clear"/>
            <w:noWrap/>
            <w:vAlign w:val="center"/>
          </w:tcPr>
          <w:p w14:paraId="11ED7146">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vMerge w:val="restart"/>
            <w:tcBorders>
              <w:top w:val="single" w:color="000000" w:sz="8" w:space="0"/>
              <w:left w:val="single" w:color="000000" w:sz="8" w:space="0"/>
              <w:bottom w:val="single" w:color="000000" w:sz="8" w:space="0"/>
              <w:right w:val="single" w:color="000000" w:sz="8" w:space="0"/>
            </w:tcBorders>
            <w:shd w:val="clear"/>
            <w:vAlign w:val="center"/>
          </w:tcPr>
          <w:p w14:paraId="09A52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包含本项目涉及该模块全部工作</w:t>
            </w:r>
          </w:p>
        </w:tc>
      </w:tr>
      <w:tr w14:paraId="3D76A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7F70DB6">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33A15CB">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7627970D">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数据审核及标准化处理：收集项目区耕地矢量地块图，并进行数据审核及标准化处理，主要要求如下。</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755AA936">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1389668">
            <w:pPr>
              <w:jc w:val="center"/>
              <w:rPr>
                <w:rFonts w:hint="eastAsia" w:ascii="宋体" w:hAnsi="宋体" w:eastAsia="宋体" w:cs="宋体"/>
                <w:i w:val="0"/>
                <w:iCs w:val="0"/>
                <w:color w:val="000000"/>
                <w:sz w:val="22"/>
                <w:szCs w:val="22"/>
                <w:u w:val="none"/>
              </w:rPr>
            </w:pPr>
          </w:p>
        </w:tc>
      </w:tr>
      <w:tr w14:paraId="17BC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1FC7B03A">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8B8F3F0">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61FE528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w:t>
            </w:r>
            <w:r>
              <w:rPr>
                <w:rFonts w:hint="eastAsia" w:ascii="仿宋" w:hAnsi="仿宋" w:eastAsia="仿宋" w:cs="仿宋"/>
                <w:i w:val="0"/>
                <w:iCs w:val="0"/>
                <w:color w:val="000000"/>
                <w:kern w:val="0"/>
                <w:sz w:val="24"/>
                <w:szCs w:val="24"/>
                <w:u w:val="none"/>
                <w:bdr w:val="none" w:color="auto" w:sz="0" w:space="0"/>
                <w:lang w:val="en-US" w:eastAsia="zh-CN" w:bidi="ar"/>
              </w:rPr>
              <w:t>）坐标系统：采用</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2000</w:t>
            </w:r>
            <w:r>
              <w:rPr>
                <w:rFonts w:hint="eastAsia" w:ascii="仿宋" w:hAnsi="仿宋" w:eastAsia="仿宋" w:cs="仿宋"/>
                <w:i w:val="0"/>
                <w:iCs w:val="0"/>
                <w:color w:val="000000"/>
                <w:kern w:val="0"/>
                <w:sz w:val="24"/>
                <w:szCs w:val="24"/>
                <w:u w:val="none"/>
                <w:bdr w:val="none" w:color="auto" w:sz="0" w:space="0"/>
                <w:lang w:val="en-US" w:eastAsia="zh-CN" w:bidi="ar"/>
              </w:rPr>
              <w:t>国家大地坐标系（</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China Geodetic Coordinate System 2000</w:t>
            </w: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058F541E">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CE68E54">
            <w:pPr>
              <w:jc w:val="center"/>
              <w:rPr>
                <w:rFonts w:hint="eastAsia" w:ascii="宋体" w:hAnsi="宋体" w:eastAsia="宋体" w:cs="宋体"/>
                <w:i w:val="0"/>
                <w:iCs w:val="0"/>
                <w:color w:val="000000"/>
                <w:sz w:val="22"/>
                <w:szCs w:val="22"/>
                <w:u w:val="none"/>
              </w:rPr>
            </w:pPr>
          </w:p>
        </w:tc>
      </w:tr>
      <w:tr w14:paraId="32504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66261C2">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9952686">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1947D21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2</w:t>
            </w:r>
            <w:r>
              <w:rPr>
                <w:rFonts w:hint="eastAsia" w:ascii="仿宋" w:hAnsi="仿宋" w:eastAsia="仿宋" w:cs="仿宋"/>
                <w:i w:val="0"/>
                <w:iCs w:val="0"/>
                <w:color w:val="000000"/>
                <w:kern w:val="0"/>
                <w:sz w:val="24"/>
                <w:szCs w:val="24"/>
                <w:u w:val="none"/>
                <w:bdr w:val="none" w:color="auto" w:sz="0" w:space="0"/>
                <w:lang w:val="en-US" w:eastAsia="zh-CN" w:bidi="ar"/>
              </w:rPr>
              <w:t>）高程基准：采用</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“1985</w:t>
            </w:r>
            <w:r>
              <w:rPr>
                <w:rFonts w:hint="eastAsia" w:ascii="仿宋" w:hAnsi="仿宋" w:eastAsia="仿宋" w:cs="仿宋"/>
                <w:i w:val="0"/>
                <w:iCs w:val="0"/>
                <w:color w:val="000000"/>
                <w:kern w:val="0"/>
                <w:sz w:val="24"/>
                <w:szCs w:val="24"/>
                <w:u w:val="none"/>
                <w:bdr w:val="none" w:color="auto" w:sz="0" w:space="0"/>
                <w:lang w:val="en-US" w:eastAsia="zh-CN" w:bidi="ar"/>
              </w:rPr>
              <w:t>国家高程基准</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64A03333">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3A974A8">
            <w:pPr>
              <w:jc w:val="center"/>
              <w:rPr>
                <w:rFonts w:hint="eastAsia" w:ascii="宋体" w:hAnsi="宋体" w:eastAsia="宋体" w:cs="宋体"/>
                <w:i w:val="0"/>
                <w:iCs w:val="0"/>
                <w:color w:val="000000"/>
                <w:sz w:val="22"/>
                <w:szCs w:val="22"/>
                <w:u w:val="none"/>
              </w:rPr>
            </w:pPr>
          </w:p>
        </w:tc>
      </w:tr>
      <w:tr w14:paraId="5A99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121C4CA9">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BFC2E8F">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2F6D9AF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3</w:t>
            </w:r>
            <w:r>
              <w:rPr>
                <w:rFonts w:hint="eastAsia" w:ascii="仿宋" w:hAnsi="仿宋" w:eastAsia="仿宋" w:cs="仿宋"/>
                <w:i w:val="0"/>
                <w:iCs w:val="0"/>
                <w:color w:val="000000"/>
                <w:kern w:val="0"/>
                <w:sz w:val="24"/>
                <w:szCs w:val="24"/>
                <w:u w:val="none"/>
                <w:bdr w:val="none" w:color="auto" w:sz="0" w:space="0"/>
                <w:lang w:val="en-US" w:eastAsia="zh-CN" w:bidi="ar"/>
              </w:rPr>
              <w:t>）投影方式：采用高斯－克吕格投影；</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19782042">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2B1BBB7">
            <w:pPr>
              <w:jc w:val="center"/>
              <w:rPr>
                <w:rFonts w:hint="eastAsia" w:ascii="宋体" w:hAnsi="宋体" w:eastAsia="宋体" w:cs="宋体"/>
                <w:i w:val="0"/>
                <w:iCs w:val="0"/>
                <w:color w:val="000000"/>
                <w:sz w:val="22"/>
                <w:szCs w:val="22"/>
                <w:u w:val="none"/>
              </w:rPr>
            </w:pPr>
          </w:p>
        </w:tc>
      </w:tr>
      <w:tr w14:paraId="606D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593A7EE">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BE42B7C">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4968F7D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4</w:t>
            </w:r>
            <w:r>
              <w:rPr>
                <w:rFonts w:hint="eastAsia" w:ascii="仿宋" w:hAnsi="仿宋" w:eastAsia="仿宋" w:cs="仿宋"/>
                <w:i w:val="0"/>
                <w:iCs w:val="0"/>
                <w:color w:val="000000"/>
                <w:kern w:val="0"/>
                <w:sz w:val="24"/>
                <w:szCs w:val="24"/>
                <w:u w:val="none"/>
                <w:bdr w:val="none" w:color="auto" w:sz="0" w:space="0"/>
                <w:lang w:val="en-US" w:eastAsia="zh-CN" w:bidi="ar"/>
              </w:rPr>
              <w:t>）拓扑错误：检查矢量图层是否存在面与面重叠、组合图斑、面自相交、环方向错误等问题。</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7CB1D0E6">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045C6A7C">
            <w:pPr>
              <w:jc w:val="center"/>
              <w:rPr>
                <w:rFonts w:hint="eastAsia" w:ascii="宋体" w:hAnsi="宋体" w:eastAsia="宋体" w:cs="宋体"/>
                <w:i w:val="0"/>
                <w:iCs w:val="0"/>
                <w:color w:val="000000"/>
                <w:sz w:val="22"/>
                <w:szCs w:val="22"/>
                <w:u w:val="none"/>
              </w:rPr>
            </w:pPr>
          </w:p>
        </w:tc>
      </w:tr>
      <w:tr w14:paraId="3107D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77B3E09A">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13EED375">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43AF582D">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w:t>
            </w:r>
            <w:r>
              <w:rPr>
                <w:rFonts w:hint="eastAsia" w:ascii="仿宋" w:hAnsi="仿宋" w:eastAsia="仿宋" w:cs="仿宋"/>
                <w:i w:val="0"/>
                <w:iCs w:val="0"/>
                <w:color w:val="000000"/>
                <w:kern w:val="0"/>
                <w:sz w:val="24"/>
                <w:szCs w:val="24"/>
                <w:u w:val="none"/>
                <w:bdr w:val="none" w:color="auto" w:sz="0" w:space="0"/>
                <w:lang w:val="en-US" w:eastAsia="zh-CN" w:bidi="ar"/>
              </w:rPr>
              <w:t>、调查单元划分：划分原则应综合考虑行政区划、地形地貌等因素，耕地占补区单个评价按照不高于</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1000</w:t>
            </w:r>
            <w:r>
              <w:rPr>
                <w:rFonts w:hint="eastAsia" w:ascii="仿宋" w:hAnsi="仿宋" w:eastAsia="仿宋" w:cs="仿宋"/>
                <w:i w:val="0"/>
                <w:iCs w:val="0"/>
                <w:color w:val="000000"/>
                <w:kern w:val="0"/>
                <w:sz w:val="24"/>
                <w:szCs w:val="24"/>
                <w:u w:val="none"/>
                <w:bdr w:val="none" w:color="auto" w:sz="0" w:space="0"/>
                <w:lang w:val="en-US" w:eastAsia="zh-CN" w:bidi="ar"/>
              </w:rPr>
              <w:t>亩原则进行划分。调查单元应包含成果图的完整图斑，不得切分图斑（</w:t>
            </w:r>
            <w:r>
              <w:rPr>
                <w:rFonts w:hint="eastAsia" w:ascii="仿宋" w:hAnsi="仿宋" w:eastAsia="仿宋" w:cs="仿宋"/>
                <w:b/>
                <w:bCs/>
                <w:i w:val="0"/>
                <w:iCs w:val="0"/>
                <w:color w:val="000000"/>
                <w:kern w:val="0"/>
                <w:sz w:val="24"/>
                <w:szCs w:val="24"/>
                <w:u w:val="none"/>
                <w:bdr w:val="none" w:color="auto" w:sz="0" w:space="0"/>
                <w:lang w:val="en-US" w:eastAsia="zh-CN" w:bidi="ar"/>
              </w:rPr>
              <w:t>初步估算我市可划分成</w:t>
            </w: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20-25</w:t>
            </w:r>
            <w:r>
              <w:rPr>
                <w:rFonts w:hint="eastAsia" w:ascii="宋体" w:hAnsi="宋体" w:eastAsia="宋体" w:cs="宋体"/>
                <w:b/>
                <w:bCs/>
                <w:i w:val="0"/>
                <w:iCs w:val="0"/>
                <w:color w:val="000000"/>
                <w:kern w:val="0"/>
                <w:sz w:val="24"/>
                <w:szCs w:val="24"/>
                <w:u w:val="none"/>
                <w:bdr w:val="none" w:color="auto" w:sz="0" w:space="0"/>
                <w:lang w:val="en-US" w:eastAsia="zh-CN" w:bidi="ar"/>
              </w:rPr>
              <w:t>个调查单元，具体数量需中标公司核定</w:t>
            </w:r>
            <w:r>
              <w:rPr>
                <w:rStyle w:val="17"/>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4FF80C59">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036323A2">
            <w:pPr>
              <w:jc w:val="center"/>
              <w:rPr>
                <w:rFonts w:hint="eastAsia" w:ascii="宋体" w:hAnsi="宋体" w:eastAsia="宋体" w:cs="宋体"/>
                <w:i w:val="0"/>
                <w:iCs w:val="0"/>
                <w:color w:val="000000"/>
                <w:sz w:val="22"/>
                <w:szCs w:val="22"/>
                <w:u w:val="none"/>
              </w:rPr>
            </w:pPr>
          </w:p>
        </w:tc>
      </w:tr>
      <w:tr w14:paraId="6424A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restart"/>
            <w:tcBorders>
              <w:top w:val="single" w:color="000000" w:sz="8" w:space="0"/>
              <w:left w:val="single" w:color="000000" w:sz="8" w:space="0"/>
              <w:bottom w:val="single" w:color="000000" w:sz="8" w:space="0"/>
              <w:right w:val="single" w:color="000000" w:sz="8" w:space="0"/>
            </w:tcBorders>
            <w:shd w:val="clear"/>
            <w:vAlign w:val="center"/>
          </w:tcPr>
          <w:p w14:paraId="2B3F3F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1.2</w:t>
            </w:r>
          </w:p>
        </w:tc>
        <w:tc>
          <w:tcPr>
            <w:tcW w:w="529" w:type="pct"/>
            <w:vMerge w:val="restart"/>
            <w:tcBorders>
              <w:top w:val="single" w:color="000000" w:sz="8" w:space="0"/>
              <w:left w:val="single" w:color="000000" w:sz="8" w:space="0"/>
              <w:bottom w:val="single" w:color="000000" w:sz="8" w:space="0"/>
              <w:right w:val="single" w:color="000000" w:sz="8" w:space="0"/>
            </w:tcBorders>
            <w:shd w:val="clear"/>
            <w:vAlign w:val="center"/>
          </w:tcPr>
          <w:p w14:paraId="763488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实地踏勘与信息调查</w:t>
            </w:r>
          </w:p>
        </w:tc>
        <w:tc>
          <w:tcPr>
            <w:tcW w:w="3220" w:type="pct"/>
            <w:tcBorders>
              <w:top w:val="single" w:color="000000" w:sz="8" w:space="0"/>
              <w:left w:val="single" w:color="000000" w:sz="8" w:space="0"/>
              <w:bottom w:val="nil"/>
              <w:right w:val="single" w:color="000000" w:sz="8" w:space="0"/>
            </w:tcBorders>
            <w:shd w:val="clear"/>
            <w:vAlign w:val="center"/>
          </w:tcPr>
          <w:p w14:paraId="4A334385">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1、调查点位布设：在调查单元内选取</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w:t>
            </w:r>
            <w:r>
              <w:rPr>
                <w:rFonts w:hint="eastAsia" w:ascii="仿宋" w:hAnsi="仿宋" w:eastAsia="仿宋" w:cs="仿宋"/>
                <w:i w:val="0"/>
                <w:iCs w:val="0"/>
                <w:color w:val="000000"/>
                <w:kern w:val="0"/>
                <w:sz w:val="24"/>
                <w:szCs w:val="24"/>
                <w:u w:val="none"/>
                <w:bdr w:val="none" w:color="auto" w:sz="0" w:space="0"/>
                <w:lang w:val="en-US" w:eastAsia="zh-CN" w:bidi="ar"/>
              </w:rPr>
              <w:t>个有代表性地块布设调查点位，并在调查单元内选取</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5</w:t>
            </w:r>
            <w:r>
              <w:rPr>
                <w:rFonts w:hint="eastAsia" w:ascii="仿宋" w:hAnsi="仿宋" w:eastAsia="仿宋" w:cs="仿宋"/>
                <w:i w:val="0"/>
                <w:iCs w:val="0"/>
                <w:color w:val="000000"/>
                <w:kern w:val="0"/>
                <w:sz w:val="24"/>
                <w:szCs w:val="24"/>
                <w:u w:val="none"/>
                <w:bdr w:val="none" w:color="auto" w:sz="0" w:space="0"/>
                <w:lang w:val="en-US" w:eastAsia="zh-CN" w:bidi="ar"/>
              </w:rPr>
              <w:t>个有代表性地块的随机位置作为采样分样点。</w:t>
            </w:r>
          </w:p>
        </w:tc>
        <w:tc>
          <w:tcPr>
            <w:tcW w:w="513" w:type="pct"/>
            <w:vMerge w:val="restart"/>
            <w:tcBorders>
              <w:top w:val="single" w:color="000000" w:sz="8" w:space="0"/>
              <w:left w:val="nil"/>
              <w:bottom w:val="single" w:color="000000" w:sz="8" w:space="0"/>
              <w:right w:val="single" w:color="000000" w:sz="8" w:space="0"/>
            </w:tcBorders>
            <w:shd w:val="clear"/>
            <w:noWrap/>
            <w:vAlign w:val="center"/>
          </w:tcPr>
          <w:p w14:paraId="5E9E05B2">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vMerge w:val="restart"/>
            <w:tcBorders>
              <w:top w:val="single" w:color="000000" w:sz="8" w:space="0"/>
              <w:left w:val="single" w:color="000000" w:sz="8" w:space="0"/>
              <w:bottom w:val="single" w:color="000000" w:sz="8" w:space="0"/>
              <w:right w:val="single" w:color="000000" w:sz="8" w:space="0"/>
            </w:tcBorders>
            <w:shd w:val="clear"/>
            <w:vAlign w:val="center"/>
          </w:tcPr>
          <w:p w14:paraId="792F0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初步估算我市可划分成20-25个单元，该处填写总价。</w:t>
            </w:r>
          </w:p>
        </w:tc>
      </w:tr>
      <w:tr w14:paraId="56702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30050AA">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001B31F5">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4EADD780">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现场踏勘内容：依据《河北省补充耕地质量鉴定技术规范（试行修订版）》（冀农发[2026]9号）、《第三次全国土壤普查耕地质量等级评价技术规范》（国土壤普查办发[2025]3号），针对耕地占补区开展实地踏勘与信息调查，调查指标主要包括地形部位、有效土层厚度、质地构型、水资源保障条件、排水能力、耕层厚度等，并填写耕地质量等级变更调查信息表。</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7707F0BF">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438A7CA">
            <w:pPr>
              <w:jc w:val="center"/>
              <w:rPr>
                <w:rFonts w:hint="eastAsia" w:ascii="宋体" w:hAnsi="宋体" w:eastAsia="宋体" w:cs="宋体"/>
                <w:i w:val="0"/>
                <w:iCs w:val="0"/>
                <w:color w:val="000000"/>
                <w:sz w:val="22"/>
                <w:szCs w:val="22"/>
                <w:u w:val="none"/>
              </w:rPr>
            </w:pPr>
          </w:p>
        </w:tc>
      </w:tr>
      <w:tr w14:paraId="0852C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restart"/>
            <w:tcBorders>
              <w:top w:val="single" w:color="000000" w:sz="8" w:space="0"/>
              <w:left w:val="single" w:color="000000" w:sz="8" w:space="0"/>
              <w:bottom w:val="single" w:color="000000" w:sz="8" w:space="0"/>
              <w:right w:val="single" w:color="000000" w:sz="8" w:space="0"/>
            </w:tcBorders>
            <w:shd w:val="clear"/>
            <w:vAlign w:val="center"/>
          </w:tcPr>
          <w:p w14:paraId="10009B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1.3</w:t>
            </w:r>
          </w:p>
        </w:tc>
        <w:tc>
          <w:tcPr>
            <w:tcW w:w="529" w:type="pct"/>
            <w:vMerge w:val="restart"/>
            <w:tcBorders>
              <w:top w:val="single" w:color="000000" w:sz="8" w:space="0"/>
              <w:left w:val="single" w:color="000000" w:sz="8" w:space="0"/>
              <w:bottom w:val="single" w:color="000000" w:sz="8" w:space="0"/>
              <w:right w:val="single" w:color="000000" w:sz="8" w:space="0"/>
            </w:tcBorders>
            <w:shd w:val="clear"/>
            <w:vAlign w:val="center"/>
          </w:tcPr>
          <w:p w14:paraId="3F9FF1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土壤样品采集</w:t>
            </w:r>
          </w:p>
        </w:tc>
        <w:tc>
          <w:tcPr>
            <w:tcW w:w="3220" w:type="pct"/>
            <w:tcBorders>
              <w:top w:val="single" w:color="000000" w:sz="8" w:space="0"/>
              <w:left w:val="single" w:color="000000" w:sz="8" w:space="0"/>
              <w:bottom w:val="nil"/>
              <w:right w:val="single" w:color="000000" w:sz="8" w:space="0"/>
            </w:tcBorders>
            <w:shd w:val="clear"/>
            <w:vAlign w:val="center"/>
          </w:tcPr>
          <w:p w14:paraId="05B27BBB">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表层样品采集</w:t>
            </w:r>
          </w:p>
        </w:tc>
        <w:tc>
          <w:tcPr>
            <w:tcW w:w="513" w:type="pct"/>
            <w:vMerge w:val="restart"/>
            <w:tcBorders>
              <w:top w:val="single" w:color="000000" w:sz="8" w:space="0"/>
              <w:left w:val="nil"/>
              <w:bottom w:val="single" w:color="000000" w:sz="8" w:space="0"/>
              <w:right w:val="single" w:color="000000" w:sz="8" w:space="0"/>
            </w:tcBorders>
            <w:shd w:val="clear"/>
            <w:noWrap/>
            <w:vAlign w:val="center"/>
          </w:tcPr>
          <w:p w14:paraId="4C198A33">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vMerge w:val="restart"/>
            <w:tcBorders>
              <w:top w:val="single" w:color="000000" w:sz="8" w:space="0"/>
              <w:left w:val="single" w:color="000000" w:sz="8" w:space="0"/>
              <w:bottom w:val="single" w:color="000000" w:sz="8" w:space="0"/>
              <w:right w:val="single" w:color="000000" w:sz="8" w:space="0"/>
            </w:tcBorders>
            <w:shd w:val="clear"/>
            <w:vAlign w:val="center"/>
          </w:tcPr>
          <w:p w14:paraId="30A08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初步估算我市可划分成20-25个单元，该处填写总价。</w:t>
            </w:r>
          </w:p>
        </w:tc>
      </w:tr>
      <w:tr w14:paraId="3ED64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B5FCA32">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7B8B7E91">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2A56C26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采集密度：在每个调查单元内选取</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5</w:t>
            </w:r>
            <w:r>
              <w:rPr>
                <w:rFonts w:hint="eastAsia" w:ascii="仿宋" w:hAnsi="仿宋" w:eastAsia="仿宋" w:cs="仿宋"/>
                <w:i w:val="0"/>
                <w:iCs w:val="0"/>
                <w:color w:val="000000"/>
                <w:kern w:val="0"/>
                <w:sz w:val="24"/>
                <w:szCs w:val="24"/>
                <w:u w:val="none"/>
                <w:bdr w:val="none" w:color="auto" w:sz="0" w:space="0"/>
                <w:lang w:val="en-US" w:eastAsia="zh-CN" w:bidi="ar"/>
              </w:rPr>
              <w:t>个有代表性地块的随机位置作为采样分样点，形成</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w:t>
            </w:r>
            <w:r>
              <w:rPr>
                <w:rFonts w:hint="eastAsia" w:ascii="仿宋" w:hAnsi="仿宋" w:eastAsia="仿宋" w:cs="仿宋"/>
                <w:i w:val="0"/>
                <w:iCs w:val="0"/>
                <w:color w:val="000000"/>
                <w:kern w:val="0"/>
                <w:sz w:val="24"/>
                <w:szCs w:val="24"/>
                <w:u w:val="none"/>
                <w:bdr w:val="none" w:color="auto" w:sz="0" w:space="0"/>
                <w:lang w:val="en-US" w:eastAsia="zh-CN" w:bidi="ar"/>
              </w:rPr>
              <w:t>个混合样，采样避开</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三线一堆</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（水沟、田埂、田间路、肥堆）。</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2B1123C6">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CBF5D6D">
            <w:pPr>
              <w:jc w:val="center"/>
              <w:rPr>
                <w:rFonts w:hint="eastAsia" w:ascii="宋体" w:hAnsi="宋体" w:eastAsia="宋体" w:cs="宋体"/>
                <w:i w:val="0"/>
                <w:iCs w:val="0"/>
                <w:color w:val="000000"/>
                <w:sz w:val="22"/>
                <w:szCs w:val="22"/>
                <w:u w:val="none"/>
              </w:rPr>
            </w:pPr>
          </w:p>
        </w:tc>
      </w:tr>
      <w:tr w14:paraId="2EF5F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A304396">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E39B8E6">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51985795">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采样位置：依据确定的调查点位坐标，使用定位仪定位地块采样位置；</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3548B68E">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B5DC549">
            <w:pPr>
              <w:jc w:val="center"/>
              <w:rPr>
                <w:rFonts w:hint="eastAsia" w:ascii="宋体" w:hAnsi="宋体" w:eastAsia="宋体" w:cs="宋体"/>
                <w:i w:val="0"/>
                <w:iCs w:val="0"/>
                <w:color w:val="000000"/>
                <w:sz w:val="22"/>
                <w:szCs w:val="22"/>
                <w:u w:val="none"/>
              </w:rPr>
            </w:pPr>
          </w:p>
        </w:tc>
      </w:tr>
      <w:tr w14:paraId="109C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706E66C">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1B66738">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33C54FB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采样深度：</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0-20cm</w:t>
            </w: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79B76632">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AEF68D1">
            <w:pPr>
              <w:jc w:val="center"/>
              <w:rPr>
                <w:rFonts w:hint="eastAsia" w:ascii="宋体" w:hAnsi="宋体" w:eastAsia="宋体" w:cs="宋体"/>
                <w:i w:val="0"/>
                <w:iCs w:val="0"/>
                <w:color w:val="000000"/>
                <w:sz w:val="22"/>
                <w:szCs w:val="22"/>
                <w:u w:val="none"/>
              </w:rPr>
            </w:pPr>
          </w:p>
        </w:tc>
      </w:tr>
      <w:tr w14:paraId="0759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71B7E91E">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E079A09">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7476B245">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采土量：混合后采用</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四分法</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留取不少于</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1.5kg</w:t>
            </w:r>
            <w:r>
              <w:rPr>
                <w:rFonts w:hint="eastAsia" w:ascii="仿宋" w:hAnsi="仿宋" w:eastAsia="仿宋" w:cs="仿宋"/>
                <w:i w:val="0"/>
                <w:iCs w:val="0"/>
                <w:color w:val="000000"/>
                <w:kern w:val="0"/>
                <w:sz w:val="24"/>
                <w:szCs w:val="24"/>
                <w:u w:val="none"/>
                <w:bdr w:val="none" w:color="auto" w:sz="0" w:space="0"/>
                <w:lang w:val="en-US" w:eastAsia="zh-CN" w:bidi="ar"/>
              </w:rPr>
              <w:t>土壤样品（鲜样）。</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38B4AF70">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1BB70EDD">
            <w:pPr>
              <w:jc w:val="center"/>
              <w:rPr>
                <w:rFonts w:hint="eastAsia" w:ascii="宋体" w:hAnsi="宋体" w:eastAsia="宋体" w:cs="宋体"/>
                <w:i w:val="0"/>
                <w:iCs w:val="0"/>
                <w:color w:val="000000"/>
                <w:sz w:val="22"/>
                <w:szCs w:val="22"/>
                <w:u w:val="none"/>
              </w:rPr>
            </w:pPr>
          </w:p>
        </w:tc>
      </w:tr>
      <w:tr w14:paraId="19A40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07D90736">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F32C04F">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078EAC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耕层厚度、有效土层厚度：在调查单元内最大图斑靠近中心点位置，通过土钻法获取。</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4C083801">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0256BF2">
            <w:pPr>
              <w:jc w:val="center"/>
              <w:rPr>
                <w:rFonts w:hint="eastAsia" w:ascii="宋体" w:hAnsi="宋体" w:eastAsia="宋体" w:cs="宋体"/>
                <w:i w:val="0"/>
                <w:iCs w:val="0"/>
                <w:color w:val="000000"/>
                <w:sz w:val="22"/>
                <w:szCs w:val="22"/>
                <w:u w:val="none"/>
              </w:rPr>
            </w:pPr>
          </w:p>
        </w:tc>
      </w:tr>
      <w:tr w14:paraId="3A934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0766901">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0E896F96">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77BB922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质地构型</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1127BD89">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5CB9E8F">
            <w:pPr>
              <w:jc w:val="center"/>
              <w:rPr>
                <w:rFonts w:hint="eastAsia" w:ascii="宋体" w:hAnsi="宋体" w:eastAsia="宋体" w:cs="宋体"/>
                <w:i w:val="0"/>
                <w:iCs w:val="0"/>
                <w:color w:val="000000"/>
                <w:sz w:val="22"/>
                <w:szCs w:val="22"/>
                <w:u w:val="none"/>
              </w:rPr>
            </w:pPr>
          </w:p>
        </w:tc>
      </w:tr>
      <w:tr w14:paraId="536EA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70F61143">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D8677B1">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373EB3A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采集密度：在每个调查单元内选择面积最大图斑，作为剖面点位。</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75B51FF4">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ED8E8B2">
            <w:pPr>
              <w:jc w:val="center"/>
              <w:rPr>
                <w:rFonts w:hint="eastAsia" w:ascii="宋体" w:hAnsi="宋体" w:eastAsia="宋体" w:cs="宋体"/>
                <w:i w:val="0"/>
                <w:iCs w:val="0"/>
                <w:color w:val="000000"/>
                <w:sz w:val="22"/>
                <w:szCs w:val="22"/>
                <w:u w:val="none"/>
              </w:rPr>
            </w:pPr>
          </w:p>
        </w:tc>
      </w:tr>
      <w:tr w14:paraId="0918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90F2FD6">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0230A94F">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60F70454">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采样深度：</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1m</w:t>
            </w: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73E31255">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1902EA2">
            <w:pPr>
              <w:jc w:val="center"/>
              <w:rPr>
                <w:rFonts w:hint="eastAsia" w:ascii="宋体" w:hAnsi="宋体" w:eastAsia="宋体" w:cs="宋体"/>
                <w:i w:val="0"/>
                <w:iCs w:val="0"/>
                <w:color w:val="000000"/>
                <w:sz w:val="22"/>
                <w:szCs w:val="22"/>
                <w:u w:val="none"/>
              </w:rPr>
            </w:pPr>
          </w:p>
        </w:tc>
      </w:tr>
      <w:tr w14:paraId="46C91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98CF005">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F046B21">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32944C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采集方法：在该调查单元内，选择面积最大图斑靠近中心位置点位，采用土钻法，获取质地构型信息。</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4128F4DB">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68CDD693">
            <w:pPr>
              <w:jc w:val="center"/>
              <w:rPr>
                <w:rFonts w:hint="eastAsia" w:ascii="宋体" w:hAnsi="宋体" w:eastAsia="宋体" w:cs="宋体"/>
                <w:i w:val="0"/>
                <w:iCs w:val="0"/>
                <w:color w:val="000000"/>
                <w:sz w:val="22"/>
                <w:szCs w:val="22"/>
                <w:u w:val="none"/>
              </w:rPr>
            </w:pPr>
          </w:p>
        </w:tc>
      </w:tr>
      <w:tr w14:paraId="1CF3D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56BA113">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EFDED48">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4A7B88D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土壤容重样品采集</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3AD65765">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7D050C82">
            <w:pPr>
              <w:jc w:val="center"/>
              <w:rPr>
                <w:rFonts w:hint="eastAsia" w:ascii="宋体" w:hAnsi="宋体" w:eastAsia="宋体" w:cs="宋体"/>
                <w:i w:val="0"/>
                <w:iCs w:val="0"/>
                <w:color w:val="000000"/>
                <w:sz w:val="22"/>
                <w:szCs w:val="22"/>
                <w:u w:val="none"/>
              </w:rPr>
            </w:pPr>
          </w:p>
        </w:tc>
      </w:tr>
      <w:tr w14:paraId="4CAF2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23497D1">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single" w:color="000000" w:sz="8" w:space="0"/>
              <w:left w:val="single" w:color="000000" w:sz="8" w:space="0"/>
              <w:bottom w:val="single" w:color="000000" w:sz="8" w:space="0"/>
              <w:right w:val="single" w:color="000000" w:sz="8" w:space="0"/>
            </w:tcBorders>
            <w:shd w:val="clear"/>
            <w:vAlign w:val="center"/>
          </w:tcPr>
          <w:p w14:paraId="70605723">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7ABF7B8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采样数量：每个调查点采集不少于</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1</w:t>
            </w:r>
            <w:r>
              <w:rPr>
                <w:rFonts w:hint="eastAsia" w:ascii="仿宋" w:hAnsi="仿宋" w:eastAsia="仿宋" w:cs="仿宋"/>
                <w:i w:val="0"/>
                <w:iCs w:val="0"/>
                <w:color w:val="000000"/>
                <w:kern w:val="0"/>
                <w:sz w:val="24"/>
                <w:szCs w:val="24"/>
                <w:u w:val="none"/>
                <w:bdr w:val="none" w:color="auto" w:sz="0" w:space="0"/>
                <w:lang w:val="en-US" w:eastAsia="zh-CN" w:bidi="ar"/>
              </w:rPr>
              <w:t>个土壤容重样品，具体数量以最新规范及工作要求确定。</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38C4030A">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3DAC870">
            <w:pPr>
              <w:jc w:val="center"/>
              <w:rPr>
                <w:rFonts w:hint="eastAsia" w:ascii="宋体" w:hAnsi="宋体" w:eastAsia="宋体" w:cs="宋体"/>
                <w:i w:val="0"/>
                <w:iCs w:val="0"/>
                <w:color w:val="000000"/>
                <w:sz w:val="22"/>
                <w:szCs w:val="22"/>
                <w:u w:val="none"/>
              </w:rPr>
            </w:pPr>
          </w:p>
        </w:tc>
      </w:tr>
      <w:tr w14:paraId="2090B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restart"/>
            <w:tcBorders>
              <w:top w:val="nil"/>
              <w:left w:val="single" w:color="000000" w:sz="8" w:space="0"/>
              <w:bottom w:val="single" w:color="000000" w:sz="8" w:space="0"/>
              <w:right w:val="single" w:color="000000" w:sz="8" w:space="0"/>
            </w:tcBorders>
            <w:shd w:val="clear"/>
            <w:vAlign w:val="center"/>
          </w:tcPr>
          <w:p w14:paraId="0FD1061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1.4</w:t>
            </w:r>
          </w:p>
        </w:tc>
        <w:tc>
          <w:tcPr>
            <w:tcW w:w="529" w:type="pct"/>
            <w:vMerge w:val="restart"/>
            <w:tcBorders>
              <w:top w:val="nil"/>
              <w:left w:val="single" w:color="000000" w:sz="8" w:space="0"/>
              <w:bottom w:val="single" w:color="000000" w:sz="8" w:space="0"/>
              <w:right w:val="single" w:color="000000" w:sz="8" w:space="0"/>
            </w:tcBorders>
            <w:shd w:val="clear"/>
            <w:vAlign w:val="center"/>
          </w:tcPr>
          <w:p w14:paraId="5EEF9B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土壤样品处理及检测</w:t>
            </w:r>
          </w:p>
        </w:tc>
        <w:tc>
          <w:tcPr>
            <w:tcW w:w="3220" w:type="pct"/>
            <w:tcBorders>
              <w:top w:val="nil"/>
              <w:left w:val="single" w:color="000000" w:sz="8" w:space="0"/>
              <w:bottom w:val="nil"/>
              <w:right w:val="single" w:color="000000" w:sz="8" w:space="0"/>
            </w:tcBorders>
            <w:shd w:val="clear"/>
            <w:vAlign w:val="center"/>
          </w:tcPr>
          <w:p w14:paraId="092B748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样品处理：按</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NY/T1121.1</w:t>
            </w:r>
            <w:r>
              <w:rPr>
                <w:rFonts w:hint="eastAsia" w:ascii="仿宋" w:hAnsi="仿宋" w:eastAsia="仿宋" w:cs="仿宋"/>
                <w:i w:val="0"/>
                <w:iCs w:val="0"/>
                <w:color w:val="000000"/>
                <w:kern w:val="0"/>
                <w:sz w:val="24"/>
                <w:szCs w:val="24"/>
                <w:u w:val="none"/>
                <w:bdr w:val="none" w:color="auto" w:sz="0" w:space="0"/>
                <w:lang w:val="en-US" w:eastAsia="zh-CN" w:bidi="ar"/>
              </w:rPr>
              <w:t>及相关标准、技术规程的规定执行；</w:t>
            </w:r>
          </w:p>
        </w:tc>
        <w:tc>
          <w:tcPr>
            <w:tcW w:w="513" w:type="pct"/>
            <w:vMerge w:val="restart"/>
            <w:tcBorders>
              <w:top w:val="single" w:color="000000" w:sz="8" w:space="0"/>
              <w:left w:val="nil"/>
              <w:bottom w:val="single" w:color="000000" w:sz="8" w:space="0"/>
              <w:right w:val="single" w:color="000000" w:sz="8" w:space="0"/>
            </w:tcBorders>
            <w:shd w:val="clear"/>
            <w:noWrap/>
            <w:vAlign w:val="center"/>
          </w:tcPr>
          <w:p w14:paraId="03A79788">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vMerge w:val="restart"/>
            <w:tcBorders>
              <w:top w:val="single" w:color="000000" w:sz="8" w:space="0"/>
              <w:left w:val="single" w:color="000000" w:sz="8" w:space="0"/>
              <w:bottom w:val="single" w:color="000000" w:sz="8" w:space="0"/>
              <w:right w:val="single" w:color="000000" w:sz="8" w:space="0"/>
            </w:tcBorders>
            <w:shd w:val="clear"/>
            <w:vAlign w:val="center"/>
          </w:tcPr>
          <w:p w14:paraId="50A78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初步估算我市可划分成20-25个单元，该处填写总价。</w:t>
            </w:r>
          </w:p>
        </w:tc>
      </w:tr>
      <w:tr w14:paraId="1C12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23721C46">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3E048874">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296DB98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检测项目：主要对酸碱度、土壤容重、土壤机械组成、有机质、有效磷、速效钾等指标进行检测，具体检测指标及数量以最新相关规范及工作要求为准。</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45632E9E">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7BB72E5">
            <w:pPr>
              <w:jc w:val="center"/>
              <w:rPr>
                <w:rFonts w:hint="eastAsia" w:ascii="宋体" w:hAnsi="宋体" w:eastAsia="宋体" w:cs="宋体"/>
                <w:i w:val="0"/>
                <w:iCs w:val="0"/>
                <w:color w:val="000000"/>
                <w:sz w:val="22"/>
                <w:szCs w:val="22"/>
                <w:u w:val="none"/>
              </w:rPr>
            </w:pPr>
          </w:p>
        </w:tc>
      </w:tr>
      <w:tr w14:paraId="5D5F9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22" w:type="pct"/>
            <w:vMerge w:val="restart"/>
            <w:tcBorders>
              <w:top w:val="nil"/>
              <w:left w:val="single" w:color="000000" w:sz="8" w:space="0"/>
              <w:bottom w:val="single" w:color="000000" w:sz="8" w:space="0"/>
              <w:right w:val="single" w:color="000000" w:sz="8" w:space="0"/>
            </w:tcBorders>
            <w:shd w:val="clear"/>
            <w:vAlign w:val="center"/>
          </w:tcPr>
          <w:p w14:paraId="380CFC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1.5</w:t>
            </w:r>
          </w:p>
        </w:tc>
        <w:tc>
          <w:tcPr>
            <w:tcW w:w="529" w:type="pct"/>
            <w:vMerge w:val="restart"/>
            <w:tcBorders>
              <w:top w:val="nil"/>
              <w:left w:val="single" w:color="000000" w:sz="8" w:space="0"/>
              <w:bottom w:val="single" w:color="000000" w:sz="8" w:space="0"/>
              <w:right w:val="single" w:color="000000" w:sz="8" w:space="0"/>
            </w:tcBorders>
            <w:shd w:val="clear"/>
            <w:vAlign w:val="center"/>
          </w:tcPr>
          <w:p w14:paraId="77663C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耕地占补区耕地质量评价</w:t>
            </w:r>
          </w:p>
        </w:tc>
        <w:tc>
          <w:tcPr>
            <w:tcW w:w="3220" w:type="pct"/>
            <w:tcBorders>
              <w:top w:val="nil"/>
              <w:left w:val="single" w:color="000000" w:sz="8" w:space="0"/>
              <w:bottom w:val="single" w:color="000000" w:sz="8" w:space="0"/>
              <w:right w:val="single" w:color="000000" w:sz="8" w:space="0"/>
            </w:tcBorders>
            <w:shd w:val="clear"/>
            <w:vAlign w:val="center"/>
          </w:tcPr>
          <w:p w14:paraId="7303A2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依据农业分区标准，确定项目区所属二级农业区；依据《第三次全国土壤普查耕地质量等级评价技术规范》（国土壤普查办发〔</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2025</w:t>
            </w: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3</w:t>
            </w:r>
            <w:r>
              <w:rPr>
                <w:rFonts w:hint="eastAsia" w:ascii="仿宋" w:hAnsi="仿宋" w:eastAsia="仿宋" w:cs="仿宋"/>
                <w:i w:val="0"/>
                <w:iCs w:val="0"/>
                <w:color w:val="000000"/>
                <w:kern w:val="0"/>
                <w:sz w:val="24"/>
                <w:szCs w:val="24"/>
                <w:u w:val="none"/>
                <w:bdr w:val="none" w:color="auto" w:sz="0" w:space="0"/>
                <w:lang w:val="en-US" w:eastAsia="zh-CN" w:bidi="ar"/>
              </w:rPr>
              <w:t>号）、《河北省补充耕地质量鉴定技术规范（试行修订版</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冀农发〔</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2026</w:t>
            </w:r>
            <w:r>
              <w:rPr>
                <w:rFonts w:hint="eastAsia" w:ascii="仿宋" w:hAnsi="仿宋" w:eastAsia="仿宋" w:cs="仿宋"/>
                <w:i w:val="0"/>
                <w:iCs w:val="0"/>
                <w:color w:val="000000"/>
                <w:kern w:val="0"/>
                <w:sz w:val="24"/>
                <w:szCs w:val="24"/>
                <w:u w:val="none"/>
                <w:bdr w:val="none" w:color="auto" w:sz="0" w:space="0"/>
                <w:lang w:val="en-US" w:eastAsia="zh-CN" w:bidi="ar"/>
              </w:rPr>
              <w:t>〕</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9</w:t>
            </w:r>
            <w:r>
              <w:rPr>
                <w:rFonts w:hint="eastAsia" w:ascii="仿宋" w:hAnsi="仿宋" w:eastAsia="仿宋" w:cs="仿宋"/>
                <w:i w:val="0"/>
                <w:iCs w:val="0"/>
                <w:color w:val="000000"/>
                <w:kern w:val="0"/>
                <w:sz w:val="24"/>
                <w:szCs w:val="24"/>
                <w:u w:val="none"/>
                <w:bdr w:val="none" w:color="auto" w:sz="0" w:space="0"/>
                <w:lang w:val="en-US" w:eastAsia="zh-CN" w:bidi="ar"/>
              </w:rPr>
              <w:t>号</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，构建评价指标体系；汇总、整理调查点位调查及土壤样品检测数据，构建属性数据库。</w:t>
            </w:r>
          </w:p>
        </w:tc>
        <w:tc>
          <w:tcPr>
            <w:tcW w:w="513" w:type="pct"/>
            <w:vMerge w:val="restart"/>
            <w:tcBorders>
              <w:top w:val="single" w:color="000000" w:sz="8" w:space="0"/>
              <w:left w:val="nil"/>
              <w:bottom w:val="single" w:color="000000" w:sz="8" w:space="0"/>
              <w:right w:val="single" w:color="000000" w:sz="8" w:space="0"/>
            </w:tcBorders>
            <w:shd w:val="clear"/>
            <w:noWrap/>
            <w:vAlign w:val="center"/>
          </w:tcPr>
          <w:p w14:paraId="306341AC">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vMerge w:val="restart"/>
            <w:tcBorders>
              <w:top w:val="single" w:color="000000" w:sz="8" w:space="0"/>
              <w:left w:val="single" w:color="000000" w:sz="8" w:space="0"/>
              <w:bottom w:val="single" w:color="000000" w:sz="8" w:space="0"/>
              <w:right w:val="single" w:color="000000" w:sz="8" w:space="0"/>
            </w:tcBorders>
            <w:shd w:val="clear"/>
            <w:vAlign w:val="center"/>
          </w:tcPr>
          <w:p w14:paraId="40E31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包含本项目涉及该模块全部工作</w:t>
            </w:r>
          </w:p>
        </w:tc>
      </w:tr>
      <w:tr w14:paraId="1CA4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65EFF6D3">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42958BF9">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059CA7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综合新增耕地地块图、行政区划图、土壤类型图进行信息综合，形成耕地资源管理单元图。依据确定的项目区评价指标体系，建立耕地质量评价层次分析模型、隶属函数等评价模型；按照工作要求，针对不同指标类型，通过以点带面赋值方法，实现新增耕地评价单元的赋值计算。以</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累加法</w:t>
            </w:r>
            <w:r>
              <w:rPr>
                <w:rFonts w:hint="default" w:ascii="Times New Roman" w:hAnsi="Times New Roman" w:eastAsia="仿宋" w:cs="Times New Roman"/>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为基础，计算耕地质量综合指数；依据耕地质量综合指数分级标准，划分项目区新增耕地等级。</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2B3D9801">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216F85B">
            <w:pPr>
              <w:jc w:val="center"/>
              <w:rPr>
                <w:rFonts w:hint="eastAsia" w:ascii="宋体" w:hAnsi="宋体" w:eastAsia="宋体" w:cs="宋体"/>
                <w:i w:val="0"/>
                <w:iCs w:val="0"/>
                <w:color w:val="000000"/>
                <w:sz w:val="22"/>
                <w:szCs w:val="22"/>
                <w:u w:val="none"/>
              </w:rPr>
            </w:pPr>
          </w:p>
        </w:tc>
      </w:tr>
      <w:tr w14:paraId="0A93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tcBorders>
              <w:top w:val="nil"/>
              <w:left w:val="single" w:color="000000" w:sz="8" w:space="0"/>
              <w:bottom w:val="single" w:color="000000" w:sz="8" w:space="0"/>
              <w:right w:val="single" w:color="000000" w:sz="8" w:space="0"/>
            </w:tcBorders>
            <w:shd w:val="clear"/>
            <w:vAlign w:val="center"/>
          </w:tcPr>
          <w:p w14:paraId="2F204A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1.6</w:t>
            </w:r>
          </w:p>
        </w:tc>
        <w:tc>
          <w:tcPr>
            <w:tcW w:w="529" w:type="pct"/>
            <w:tcBorders>
              <w:top w:val="nil"/>
              <w:left w:val="single" w:color="000000" w:sz="8" w:space="0"/>
              <w:bottom w:val="single" w:color="000000" w:sz="8" w:space="0"/>
              <w:right w:val="single" w:color="000000" w:sz="8" w:space="0"/>
            </w:tcBorders>
            <w:shd w:val="clear"/>
            <w:vAlign w:val="center"/>
          </w:tcPr>
          <w:p w14:paraId="14F93B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构建县域年度耕地质量等级变更调查评价数据库</w:t>
            </w:r>
          </w:p>
        </w:tc>
        <w:tc>
          <w:tcPr>
            <w:tcW w:w="3220" w:type="pct"/>
            <w:tcBorders>
              <w:top w:val="nil"/>
              <w:left w:val="single" w:color="000000" w:sz="8" w:space="0"/>
              <w:bottom w:val="single" w:color="000000" w:sz="8" w:space="0"/>
              <w:right w:val="single" w:color="000000" w:sz="8" w:space="0"/>
            </w:tcBorders>
            <w:shd w:val="clear"/>
            <w:vAlign w:val="center"/>
          </w:tcPr>
          <w:p w14:paraId="305EDE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以第三次全国土壤普查耕地质量等级评价矢量数据为基础作为常规利用区，将耕地占补区评价结果矢量数据更新替换，核减占用耕地矢量数据，形成最终县域变更调查评价矢量成果，并按照工作要求，构建县域年度耕地质量等级变更调查评价数据库。</w:t>
            </w:r>
          </w:p>
        </w:tc>
        <w:tc>
          <w:tcPr>
            <w:tcW w:w="513" w:type="pct"/>
            <w:tcBorders>
              <w:top w:val="single" w:color="000000" w:sz="8" w:space="0"/>
              <w:left w:val="nil"/>
              <w:bottom w:val="single" w:color="000000" w:sz="8" w:space="0"/>
              <w:right w:val="single" w:color="000000" w:sz="8" w:space="0"/>
            </w:tcBorders>
            <w:shd w:val="clear"/>
            <w:noWrap/>
            <w:vAlign w:val="center"/>
          </w:tcPr>
          <w:p w14:paraId="4321E6BF">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tcBorders>
              <w:top w:val="single" w:color="000000" w:sz="8" w:space="0"/>
              <w:left w:val="single" w:color="000000" w:sz="8" w:space="0"/>
              <w:bottom w:val="single" w:color="000000" w:sz="8" w:space="0"/>
              <w:right w:val="single" w:color="000000" w:sz="8" w:space="0"/>
            </w:tcBorders>
            <w:shd w:val="clear"/>
            <w:vAlign w:val="center"/>
          </w:tcPr>
          <w:p w14:paraId="5BDF7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包含本项目涉及该模块全部工作</w:t>
            </w:r>
          </w:p>
        </w:tc>
      </w:tr>
      <w:tr w14:paraId="14700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restart"/>
            <w:tcBorders>
              <w:top w:val="nil"/>
              <w:left w:val="single" w:color="000000" w:sz="8" w:space="0"/>
              <w:bottom w:val="single" w:color="000000" w:sz="8" w:space="0"/>
              <w:right w:val="single" w:color="000000" w:sz="8" w:space="0"/>
            </w:tcBorders>
            <w:shd w:val="clear"/>
            <w:vAlign w:val="center"/>
          </w:tcPr>
          <w:p w14:paraId="315BCE1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1.7</w:t>
            </w:r>
          </w:p>
        </w:tc>
        <w:tc>
          <w:tcPr>
            <w:tcW w:w="529" w:type="pct"/>
            <w:vMerge w:val="restart"/>
            <w:tcBorders>
              <w:top w:val="nil"/>
              <w:left w:val="single" w:color="000000" w:sz="8" w:space="0"/>
              <w:bottom w:val="single" w:color="000000" w:sz="8" w:space="0"/>
              <w:right w:val="single" w:color="000000" w:sz="8" w:space="0"/>
            </w:tcBorders>
            <w:shd w:val="clear"/>
            <w:vAlign w:val="center"/>
          </w:tcPr>
          <w:p w14:paraId="06A140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耕地质量等级变更调查评价成果编制</w:t>
            </w:r>
          </w:p>
        </w:tc>
        <w:tc>
          <w:tcPr>
            <w:tcW w:w="3220" w:type="pct"/>
            <w:tcBorders>
              <w:top w:val="nil"/>
              <w:left w:val="single" w:color="000000" w:sz="8" w:space="0"/>
              <w:bottom w:val="nil"/>
              <w:right w:val="single" w:color="000000" w:sz="8" w:space="0"/>
            </w:tcBorders>
            <w:shd w:val="clear"/>
            <w:vAlign w:val="center"/>
          </w:tcPr>
          <w:p w14:paraId="1F6498F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编制县域年度耕地质量等级变更调查评价成果，包括：</w:t>
            </w:r>
          </w:p>
        </w:tc>
        <w:tc>
          <w:tcPr>
            <w:tcW w:w="513" w:type="pct"/>
            <w:vMerge w:val="restart"/>
            <w:tcBorders>
              <w:top w:val="single" w:color="000000" w:sz="8" w:space="0"/>
              <w:left w:val="nil"/>
              <w:bottom w:val="single" w:color="000000" w:sz="8" w:space="0"/>
              <w:right w:val="single" w:color="000000" w:sz="8" w:space="0"/>
            </w:tcBorders>
            <w:shd w:val="clear"/>
            <w:noWrap/>
            <w:vAlign w:val="center"/>
          </w:tcPr>
          <w:p w14:paraId="0D19CF47">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bdr w:val="none" w:color="auto" w:sz="0" w:space="0"/>
                <w:lang w:val="en-US" w:eastAsia="zh-CN" w:bidi="ar"/>
              </w:rPr>
              <w:t xml:space="preserve">     </w:t>
            </w:r>
            <w:r>
              <w:rPr>
                <w:rFonts w:hint="eastAsia" w:ascii="宋体" w:hAnsi="宋体" w:eastAsia="宋体" w:cs="宋体"/>
                <w:i w:val="0"/>
                <w:iCs w:val="0"/>
                <w:color w:val="000000"/>
                <w:kern w:val="0"/>
                <w:sz w:val="22"/>
                <w:szCs w:val="22"/>
                <w:u w:val="single"/>
                <w:bdr w:val="none" w:color="auto" w:sz="0" w:space="0"/>
                <w:lang w:val="en-US" w:eastAsia="zh-CN" w:bidi="ar"/>
              </w:rPr>
              <w:t>元</w:t>
            </w:r>
          </w:p>
        </w:tc>
        <w:tc>
          <w:tcPr>
            <w:tcW w:w="513" w:type="pct"/>
            <w:vMerge w:val="restart"/>
            <w:tcBorders>
              <w:top w:val="single" w:color="000000" w:sz="8" w:space="0"/>
              <w:left w:val="single" w:color="000000" w:sz="8" w:space="0"/>
              <w:bottom w:val="single" w:color="000000" w:sz="8" w:space="0"/>
              <w:right w:val="single" w:color="000000" w:sz="8" w:space="0"/>
            </w:tcBorders>
            <w:shd w:val="clear"/>
            <w:vAlign w:val="center"/>
          </w:tcPr>
          <w:p w14:paraId="62BDF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包含本项目涉及该模块全部工作</w:t>
            </w:r>
          </w:p>
        </w:tc>
      </w:tr>
      <w:tr w14:paraId="67F6D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5A673194">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3D1D9C07">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4B3133B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数据库成果：评价成果空间文件、耕地属性数据库；</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468F8518">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40AD777E">
            <w:pPr>
              <w:jc w:val="center"/>
              <w:rPr>
                <w:rFonts w:hint="eastAsia" w:ascii="宋体" w:hAnsi="宋体" w:eastAsia="宋体" w:cs="宋体"/>
                <w:i w:val="0"/>
                <w:iCs w:val="0"/>
                <w:color w:val="000000"/>
                <w:sz w:val="22"/>
                <w:szCs w:val="22"/>
                <w:u w:val="none"/>
              </w:rPr>
            </w:pPr>
          </w:p>
        </w:tc>
      </w:tr>
      <w:tr w14:paraId="6436F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031B9259">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25600498">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3A284AE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文本成果：县级年度耕地质量等级变更调查评价报告；</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40170509">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6AFBDAC">
            <w:pPr>
              <w:jc w:val="center"/>
              <w:rPr>
                <w:rFonts w:hint="eastAsia" w:ascii="宋体" w:hAnsi="宋体" w:eastAsia="宋体" w:cs="宋体"/>
                <w:i w:val="0"/>
                <w:iCs w:val="0"/>
                <w:color w:val="000000"/>
                <w:sz w:val="22"/>
                <w:szCs w:val="22"/>
                <w:u w:val="none"/>
              </w:rPr>
            </w:pPr>
          </w:p>
        </w:tc>
      </w:tr>
      <w:tr w14:paraId="48D8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24D174F1">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20CB02A6">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2F0A109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图件成果：取土点位图、质量等级图；</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18E76D4D">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5063173C">
            <w:pPr>
              <w:jc w:val="center"/>
              <w:rPr>
                <w:rFonts w:hint="eastAsia" w:ascii="宋体" w:hAnsi="宋体" w:eastAsia="宋体" w:cs="宋体"/>
                <w:i w:val="0"/>
                <w:iCs w:val="0"/>
                <w:color w:val="000000"/>
                <w:sz w:val="22"/>
                <w:szCs w:val="22"/>
                <w:u w:val="none"/>
              </w:rPr>
            </w:pPr>
          </w:p>
        </w:tc>
      </w:tr>
      <w:tr w14:paraId="15B4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46D02D40">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363D0246">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nil"/>
              <w:right w:val="single" w:color="000000" w:sz="8" w:space="0"/>
            </w:tcBorders>
            <w:shd w:val="clear"/>
            <w:vAlign w:val="center"/>
          </w:tcPr>
          <w:p w14:paraId="48C106B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表格成果：耕地质量等级及变动表。</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282E9FA8">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2EBC0C23">
            <w:pPr>
              <w:jc w:val="center"/>
              <w:rPr>
                <w:rFonts w:hint="eastAsia" w:ascii="宋体" w:hAnsi="宋体" w:eastAsia="宋体" w:cs="宋体"/>
                <w:i w:val="0"/>
                <w:iCs w:val="0"/>
                <w:color w:val="000000"/>
                <w:sz w:val="22"/>
                <w:szCs w:val="22"/>
                <w:u w:val="none"/>
              </w:rPr>
            </w:pPr>
          </w:p>
        </w:tc>
      </w:tr>
      <w:tr w14:paraId="5CCA5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2" w:type="pct"/>
            <w:vMerge w:val="continue"/>
            <w:tcBorders>
              <w:top w:val="nil"/>
              <w:left w:val="single" w:color="000000" w:sz="8" w:space="0"/>
              <w:bottom w:val="single" w:color="000000" w:sz="8" w:space="0"/>
              <w:right w:val="single" w:color="000000" w:sz="8" w:space="0"/>
            </w:tcBorders>
            <w:shd w:val="clear"/>
            <w:vAlign w:val="center"/>
          </w:tcPr>
          <w:p w14:paraId="35F0EE6E">
            <w:pPr>
              <w:jc w:val="center"/>
              <w:rPr>
                <w:rFonts w:hint="default" w:ascii="Times New Roman" w:hAnsi="Times New Roman" w:eastAsia="宋体" w:cs="Times New Roman"/>
                <w:i w:val="0"/>
                <w:iCs w:val="0"/>
                <w:color w:val="000000"/>
                <w:sz w:val="24"/>
                <w:szCs w:val="24"/>
                <w:u w:val="none"/>
              </w:rPr>
            </w:pPr>
          </w:p>
        </w:tc>
        <w:tc>
          <w:tcPr>
            <w:tcW w:w="529" w:type="pct"/>
            <w:vMerge w:val="continue"/>
            <w:tcBorders>
              <w:top w:val="nil"/>
              <w:left w:val="single" w:color="000000" w:sz="8" w:space="0"/>
              <w:bottom w:val="single" w:color="000000" w:sz="8" w:space="0"/>
              <w:right w:val="single" w:color="000000" w:sz="8" w:space="0"/>
            </w:tcBorders>
            <w:shd w:val="clear"/>
            <w:vAlign w:val="center"/>
          </w:tcPr>
          <w:p w14:paraId="19CD1B25">
            <w:pPr>
              <w:jc w:val="center"/>
              <w:rPr>
                <w:rFonts w:hint="eastAsia" w:ascii="仿宋" w:hAnsi="仿宋" w:eastAsia="仿宋" w:cs="仿宋"/>
                <w:i w:val="0"/>
                <w:iCs w:val="0"/>
                <w:color w:val="000000"/>
                <w:sz w:val="24"/>
                <w:szCs w:val="24"/>
                <w:u w:val="none"/>
              </w:rPr>
            </w:pPr>
          </w:p>
        </w:tc>
        <w:tc>
          <w:tcPr>
            <w:tcW w:w="3220" w:type="pct"/>
            <w:tcBorders>
              <w:top w:val="nil"/>
              <w:left w:val="single" w:color="000000" w:sz="8" w:space="0"/>
              <w:bottom w:val="single" w:color="000000" w:sz="8" w:space="0"/>
              <w:right w:val="single" w:color="000000" w:sz="8" w:space="0"/>
            </w:tcBorders>
            <w:shd w:val="clear"/>
            <w:vAlign w:val="center"/>
          </w:tcPr>
          <w:p w14:paraId="2474D90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对项目验收成果进行汇总，并胶装成册。</w:t>
            </w:r>
          </w:p>
        </w:tc>
        <w:tc>
          <w:tcPr>
            <w:tcW w:w="513" w:type="pct"/>
            <w:vMerge w:val="continue"/>
            <w:tcBorders>
              <w:top w:val="single" w:color="000000" w:sz="8" w:space="0"/>
              <w:left w:val="nil"/>
              <w:bottom w:val="single" w:color="000000" w:sz="8" w:space="0"/>
              <w:right w:val="single" w:color="000000" w:sz="8" w:space="0"/>
            </w:tcBorders>
            <w:shd w:val="clear"/>
            <w:noWrap/>
            <w:vAlign w:val="center"/>
          </w:tcPr>
          <w:p w14:paraId="13DB0317">
            <w:pPr>
              <w:jc w:val="center"/>
              <w:rPr>
                <w:rFonts w:hint="eastAsia" w:ascii="宋体" w:hAnsi="宋体" w:eastAsia="宋体" w:cs="宋体"/>
                <w:i w:val="0"/>
                <w:iCs w:val="0"/>
                <w:color w:val="000000"/>
                <w:sz w:val="22"/>
                <w:szCs w:val="22"/>
                <w:u w:val="single"/>
              </w:rPr>
            </w:pPr>
          </w:p>
        </w:tc>
        <w:tc>
          <w:tcPr>
            <w:tcW w:w="513" w:type="pct"/>
            <w:vMerge w:val="continue"/>
            <w:tcBorders>
              <w:top w:val="single" w:color="000000" w:sz="8" w:space="0"/>
              <w:left w:val="single" w:color="000000" w:sz="8" w:space="0"/>
              <w:bottom w:val="single" w:color="000000" w:sz="8" w:space="0"/>
              <w:right w:val="single" w:color="000000" w:sz="8" w:space="0"/>
            </w:tcBorders>
            <w:shd w:val="clear"/>
            <w:vAlign w:val="center"/>
          </w:tcPr>
          <w:p w14:paraId="307EDB61">
            <w:pPr>
              <w:jc w:val="center"/>
              <w:rPr>
                <w:rFonts w:hint="eastAsia" w:ascii="宋体" w:hAnsi="宋体" w:eastAsia="宋体" w:cs="宋体"/>
                <w:i w:val="0"/>
                <w:iCs w:val="0"/>
                <w:color w:val="000000"/>
                <w:sz w:val="22"/>
                <w:szCs w:val="22"/>
                <w:u w:val="none"/>
              </w:rPr>
            </w:pPr>
          </w:p>
        </w:tc>
      </w:tr>
      <w:tr w14:paraId="5470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972" w:type="pct"/>
            <w:gridSpan w:val="3"/>
            <w:tcBorders>
              <w:top w:val="nil"/>
              <w:left w:val="single" w:color="000000" w:sz="8" w:space="0"/>
              <w:bottom w:val="single" w:color="000000" w:sz="8" w:space="0"/>
              <w:right w:val="single" w:color="000000" w:sz="8" w:space="0"/>
            </w:tcBorders>
            <w:shd w:val="clear"/>
            <w:noWrap/>
            <w:vAlign w:val="center"/>
          </w:tcPr>
          <w:p w14:paraId="57C28D7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合计</w:t>
            </w:r>
          </w:p>
        </w:tc>
        <w:tc>
          <w:tcPr>
            <w:tcW w:w="1027" w:type="pct"/>
            <w:gridSpan w:val="2"/>
            <w:tcBorders>
              <w:top w:val="nil"/>
              <w:left w:val="nil"/>
              <w:bottom w:val="single" w:color="000000" w:sz="8" w:space="0"/>
              <w:right w:val="single" w:color="000000" w:sz="8" w:space="0"/>
            </w:tcBorders>
            <w:shd w:val="clear"/>
            <w:noWrap/>
            <w:vAlign w:val="center"/>
          </w:tcPr>
          <w:p w14:paraId="42408348">
            <w:pPr>
              <w:keepNext w:val="0"/>
              <w:keepLines w:val="0"/>
              <w:widowControl/>
              <w:suppressLineNumbers w:val="0"/>
              <w:jc w:val="center"/>
              <w:textAlignment w:val="center"/>
              <w:rPr>
                <w:rFonts w:hint="eastAsia" w:ascii="宋体" w:hAnsi="宋体" w:eastAsia="宋体" w:cs="宋体"/>
                <w:b/>
                <w:bCs/>
                <w:i w:val="0"/>
                <w:iCs w:val="0"/>
                <w:color w:val="000000"/>
                <w:sz w:val="22"/>
                <w:szCs w:val="22"/>
                <w:u w:val="single"/>
              </w:rPr>
            </w:pPr>
            <w:r>
              <w:rPr>
                <w:rFonts w:hint="eastAsia" w:ascii="宋体" w:hAnsi="宋体" w:eastAsia="宋体" w:cs="宋体"/>
                <w:b/>
                <w:bCs/>
                <w:i w:val="0"/>
                <w:iCs w:val="0"/>
                <w:color w:val="000000"/>
                <w:kern w:val="0"/>
                <w:sz w:val="22"/>
                <w:szCs w:val="22"/>
                <w:u w:val="single"/>
                <w:bdr w:val="none" w:color="auto" w:sz="0" w:space="0"/>
                <w:lang w:val="en-US" w:eastAsia="zh-CN" w:bidi="ar"/>
              </w:rPr>
              <w:t xml:space="preserve">     </w:t>
            </w:r>
            <w:r>
              <w:rPr>
                <w:rFonts w:hint="eastAsia" w:ascii="宋体" w:hAnsi="宋体" w:eastAsia="宋体" w:cs="宋体"/>
                <w:b/>
                <w:bCs/>
                <w:i w:val="0"/>
                <w:iCs w:val="0"/>
                <w:color w:val="000000"/>
                <w:kern w:val="0"/>
                <w:sz w:val="22"/>
                <w:szCs w:val="22"/>
                <w:u w:val="single"/>
                <w:bdr w:val="none" w:color="auto" w:sz="0" w:space="0"/>
                <w:lang w:val="en-US" w:eastAsia="zh-CN" w:bidi="ar"/>
              </w:rPr>
              <w:t>元（大写：            ）</w:t>
            </w:r>
          </w:p>
        </w:tc>
      </w:tr>
    </w:tbl>
    <w:p w14:paraId="5D82AC1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heme="minorEastAsia" w:hAnsiTheme="minorEastAsia" w:cstheme="minorEastAsia"/>
          <w:sz w:val="28"/>
          <w:szCs w:val="28"/>
          <w:lang w:val="en-US" w:eastAsia="zh-CN"/>
        </w:rPr>
      </w:pPr>
      <w:r>
        <w:rPr>
          <w:rFonts w:hint="default" w:asciiTheme="minorEastAsia" w:hAnsiTheme="minorEastAsia" w:cstheme="minorEastAsia"/>
          <w:sz w:val="28"/>
          <w:szCs w:val="28"/>
          <w:lang w:val="en-US" w:eastAsia="zh-CN"/>
        </w:rPr>
        <w:t>初步估算我市可划分成20-25个调查单元，具体数量需中标公司核定</w:t>
      </w:r>
      <w:r>
        <w:rPr>
          <w:rFonts w:hint="eastAsia" w:asciiTheme="minorEastAsia" w:hAnsiTheme="minorEastAsia" w:cstheme="minorEastAsia"/>
          <w:sz w:val="28"/>
          <w:szCs w:val="28"/>
          <w:lang w:val="en-US" w:eastAsia="zh-CN"/>
        </w:rPr>
        <w:t>。</w:t>
      </w:r>
      <w:r>
        <w:rPr>
          <w:rFonts w:hint="default" w:asciiTheme="minorEastAsia" w:hAnsiTheme="minorEastAsia" w:cstheme="minorEastAsia"/>
          <w:sz w:val="28"/>
          <w:szCs w:val="28"/>
          <w:lang w:val="en-US" w:eastAsia="zh-CN"/>
        </w:rPr>
        <w:t>以上报价包含从服务开始到验收合格的人工、设备、检测等服务费、税费、利润等全部费用以及由于其它条件的价格浮动而导致的全部额外费用。</w:t>
      </w:r>
    </w:p>
    <w:p w14:paraId="361CCC9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heme="minorEastAsia" w:hAnsiTheme="minorEastAsia" w:cstheme="minorEastAsia"/>
          <w:sz w:val="28"/>
          <w:szCs w:val="28"/>
          <w:lang w:val="en-US" w:eastAsia="zh-CN"/>
        </w:rPr>
      </w:pPr>
    </w:p>
    <w:p w14:paraId="4BEB972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heme="minorEastAsia" w:hAnsiTheme="minorEastAsia" w:cstheme="minorEastAsia"/>
          <w:sz w:val="28"/>
          <w:szCs w:val="28"/>
          <w:lang w:val="en-US" w:eastAsia="zh-CN"/>
        </w:rPr>
      </w:pPr>
    </w:p>
    <w:p w14:paraId="18E3A5CE">
      <w:pPr>
        <w:keepNext w:val="0"/>
        <w:keepLines w:val="0"/>
        <w:pageBreakBefore w:val="0"/>
        <w:widowControl w:val="0"/>
        <w:kinsoku/>
        <w:wordWrap/>
        <w:overflowPunct/>
        <w:topLinePunct w:val="0"/>
        <w:autoSpaceDE/>
        <w:autoSpaceDN/>
        <w:bidi w:val="0"/>
        <w:adjustRightInd/>
        <w:snapToGrid/>
        <w:spacing w:line="560" w:lineRule="exact"/>
        <w:ind w:firstLine="3920" w:firstLineChars="1400"/>
        <w:jc w:val="left"/>
        <w:textAlignment w:val="auto"/>
        <w:rPr>
          <w:rFonts w:hint="default" w:asciiTheme="minorEastAsia" w:hAnsiTheme="minorEastAsia" w:cstheme="minorEastAsia"/>
          <w:sz w:val="28"/>
          <w:szCs w:val="28"/>
          <w:lang w:val="en-US" w:eastAsia="zh-CN"/>
        </w:rPr>
      </w:pPr>
      <w:r>
        <w:rPr>
          <w:rFonts w:hint="default" w:asciiTheme="minorEastAsia" w:hAnsiTheme="minorEastAsia" w:cstheme="minorEastAsia"/>
          <w:sz w:val="28"/>
          <w:szCs w:val="28"/>
          <w:lang w:val="en-US" w:eastAsia="zh-CN"/>
        </w:rPr>
        <w:t>报价单位：               （盖章）</w:t>
      </w:r>
    </w:p>
    <w:p w14:paraId="3968D5F5">
      <w:pPr>
        <w:keepNext w:val="0"/>
        <w:keepLines w:val="0"/>
        <w:pageBreakBefore w:val="0"/>
        <w:widowControl w:val="0"/>
        <w:kinsoku/>
        <w:wordWrap/>
        <w:overflowPunct/>
        <w:topLinePunct w:val="0"/>
        <w:autoSpaceDE/>
        <w:autoSpaceDN/>
        <w:bidi w:val="0"/>
        <w:adjustRightInd/>
        <w:snapToGrid/>
        <w:spacing w:line="560" w:lineRule="exact"/>
        <w:ind w:firstLine="3920" w:firstLineChars="1400"/>
        <w:jc w:val="left"/>
        <w:textAlignment w:val="auto"/>
        <w:rPr>
          <w:rFonts w:hint="default" w:asciiTheme="minorEastAsia" w:hAnsiTheme="minorEastAsia" w:cstheme="minorEastAsia"/>
          <w:sz w:val="28"/>
          <w:szCs w:val="28"/>
          <w:lang w:val="en-US" w:eastAsia="zh-CN"/>
        </w:rPr>
      </w:pPr>
      <w:r>
        <w:rPr>
          <w:rFonts w:hint="default" w:asciiTheme="minorEastAsia" w:hAnsiTheme="minorEastAsia" w:cstheme="minorEastAsia"/>
          <w:sz w:val="28"/>
          <w:szCs w:val="28"/>
          <w:lang w:val="en-US" w:eastAsia="zh-CN"/>
        </w:rPr>
        <w:t xml:space="preserve">联系人及联系方式：                       </w:t>
      </w:r>
    </w:p>
    <w:p w14:paraId="7878F8E7">
      <w:pPr>
        <w:keepNext w:val="0"/>
        <w:keepLines w:val="0"/>
        <w:pageBreakBefore w:val="0"/>
        <w:widowControl w:val="0"/>
        <w:kinsoku/>
        <w:wordWrap/>
        <w:overflowPunct/>
        <w:topLinePunct w:val="0"/>
        <w:autoSpaceDE/>
        <w:autoSpaceDN/>
        <w:bidi w:val="0"/>
        <w:adjustRightInd/>
        <w:snapToGrid/>
        <w:spacing w:line="560" w:lineRule="exact"/>
        <w:ind w:firstLine="4480" w:firstLineChars="1600"/>
        <w:jc w:val="left"/>
        <w:textAlignment w:val="auto"/>
        <w:rPr>
          <w:rFonts w:hint="default" w:asciiTheme="minorEastAsia" w:hAnsiTheme="minorEastAsia" w:cstheme="minorEastAsia"/>
          <w:sz w:val="28"/>
          <w:szCs w:val="28"/>
          <w:lang w:val="en-US" w:eastAsia="zh-CN"/>
        </w:rPr>
      </w:pPr>
      <w:bookmarkStart w:id="0" w:name="_GoBack"/>
      <w:bookmarkEnd w:id="0"/>
      <w:r>
        <w:rPr>
          <w:rFonts w:hint="default" w:asciiTheme="minorEastAsia" w:hAnsiTheme="minorEastAsia" w:cstheme="minorEastAsia"/>
          <w:sz w:val="28"/>
          <w:szCs w:val="28"/>
          <w:lang w:val="en-US" w:eastAsia="zh-CN"/>
        </w:rPr>
        <w:t xml:space="preserve">2026年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AC0EB3"/>
    <w:rsid w:val="439C638C"/>
    <w:rsid w:val="6FE61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51"/>
    <w:basedOn w:val="3"/>
    <w:qFormat/>
    <w:uiPriority w:val="0"/>
    <w:rPr>
      <w:rFonts w:ascii="仿宋" w:hAnsi="仿宋" w:eastAsia="仿宋" w:cs="仿宋"/>
      <w:color w:val="000000"/>
      <w:sz w:val="24"/>
      <w:szCs w:val="24"/>
      <w:u w:val="none"/>
    </w:rPr>
  </w:style>
  <w:style w:type="character" w:customStyle="1" w:styleId="5">
    <w:name w:val="font41"/>
    <w:basedOn w:val="3"/>
    <w:qFormat/>
    <w:uiPriority w:val="0"/>
    <w:rPr>
      <w:rFonts w:hint="default" w:ascii="Times New Roman" w:hAnsi="Times New Roman" w:cs="Times New Roman"/>
      <w:color w:val="000000"/>
      <w:sz w:val="24"/>
      <w:szCs w:val="24"/>
      <w:u w:val="none"/>
    </w:rPr>
  </w:style>
  <w:style w:type="character" w:customStyle="1" w:styleId="6">
    <w:name w:val="font61"/>
    <w:basedOn w:val="3"/>
    <w:qFormat/>
    <w:uiPriority w:val="0"/>
    <w:rPr>
      <w:rFonts w:hint="eastAsia" w:ascii="仿宋" w:hAnsi="仿宋" w:eastAsia="仿宋" w:cs="仿宋"/>
      <w:color w:val="000000"/>
      <w:sz w:val="24"/>
      <w:szCs w:val="24"/>
      <w:u w:val="none"/>
    </w:rPr>
  </w:style>
  <w:style w:type="character" w:customStyle="1" w:styleId="7">
    <w:name w:val="font71"/>
    <w:basedOn w:val="3"/>
    <w:qFormat/>
    <w:uiPriority w:val="0"/>
    <w:rPr>
      <w:rFonts w:hint="eastAsia" w:ascii="宋体" w:hAnsi="宋体" w:eastAsia="宋体" w:cs="宋体"/>
      <w:color w:val="000000"/>
      <w:sz w:val="24"/>
      <w:szCs w:val="24"/>
      <w:u w:val="none"/>
    </w:rPr>
  </w:style>
  <w:style w:type="character" w:customStyle="1" w:styleId="8">
    <w:name w:val="font11"/>
    <w:basedOn w:val="3"/>
    <w:uiPriority w:val="0"/>
    <w:rPr>
      <w:rFonts w:hint="default" w:ascii="Times New Roman" w:hAnsi="Times New Roman" w:cs="Times New Roman"/>
      <w:color w:val="000000"/>
      <w:sz w:val="24"/>
      <w:szCs w:val="24"/>
      <w:u w:val="none"/>
    </w:rPr>
  </w:style>
  <w:style w:type="character" w:customStyle="1" w:styleId="9">
    <w:name w:val="font21"/>
    <w:basedOn w:val="3"/>
    <w:uiPriority w:val="0"/>
    <w:rPr>
      <w:rFonts w:hint="default" w:ascii="Times New Roman" w:hAnsi="Times New Roman" w:cs="Times New Roman"/>
      <w:color w:val="000000"/>
      <w:sz w:val="24"/>
      <w:szCs w:val="24"/>
      <w:u w:val="none"/>
    </w:rPr>
  </w:style>
  <w:style w:type="character" w:customStyle="1" w:styleId="10">
    <w:name w:val="font31"/>
    <w:basedOn w:val="3"/>
    <w:uiPriority w:val="0"/>
    <w:rPr>
      <w:rFonts w:hint="eastAsia" w:ascii="仿宋" w:hAnsi="仿宋" w:eastAsia="仿宋" w:cs="仿宋"/>
      <w:color w:val="000000"/>
      <w:sz w:val="24"/>
      <w:szCs w:val="24"/>
      <w:u w:val="none"/>
    </w:rPr>
  </w:style>
  <w:style w:type="character" w:customStyle="1" w:styleId="11">
    <w:name w:val="font01"/>
    <w:basedOn w:val="3"/>
    <w:uiPriority w:val="0"/>
    <w:rPr>
      <w:rFonts w:hint="eastAsia" w:ascii="宋体" w:hAnsi="宋体" w:eastAsia="宋体" w:cs="宋体"/>
      <w:color w:val="000000"/>
      <w:sz w:val="22"/>
      <w:szCs w:val="22"/>
      <w:u w:val="none"/>
    </w:rPr>
  </w:style>
  <w:style w:type="character" w:customStyle="1" w:styleId="12">
    <w:name w:val="font81"/>
    <w:basedOn w:val="3"/>
    <w:uiPriority w:val="0"/>
    <w:rPr>
      <w:rFonts w:hint="eastAsia" w:ascii="仿宋" w:hAnsi="仿宋" w:eastAsia="仿宋" w:cs="仿宋"/>
      <w:b/>
      <w:bCs/>
      <w:color w:val="000000"/>
      <w:sz w:val="24"/>
      <w:szCs w:val="24"/>
      <w:u w:val="none"/>
    </w:rPr>
  </w:style>
  <w:style w:type="character" w:customStyle="1" w:styleId="13">
    <w:name w:val="font91"/>
    <w:basedOn w:val="3"/>
    <w:uiPriority w:val="0"/>
    <w:rPr>
      <w:rFonts w:hint="default" w:ascii="Times New Roman" w:hAnsi="Times New Roman" w:cs="Times New Roman"/>
      <w:b/>
      <w:bCs/>
      <w:color w:val="000000"/>
      <w:sz w:val="24"/>
      <w:szCs w:val="24"/>
      <w:u w:val="none"/>
    </w:rPr>
  </w:style>
  <w:style w:type="character" w:customStyle="1" w:styleId="14">
    <w:name w:val="font101"/>
    <w:basedOn w:val="3"/>
    <w:uiPriority w:val="0"/>
    <w:rPr>
      <w:rFonts w:hint="eastAsia" w:ascii="宋体" w:hAnsi="宋体" w:eastAsia="宋体" w:cs="宋体"/>
      <w:b/>
      <w:bCs/>
      <w:color w:val="000000"/>
      <w:sz w:val="24"/>
      <w:szCs w:val="24"/>
      <w:u w:val="none"/>
    </w:rPr>
  </w:style>
  <w:style w:type="character" w:customStyle="1" w:styleId="15">
    <w:name w:val="font111"/>
    <w:basedOn w:val="3"/>
    <w:uiPriority w:val="0"/>
    <w:rPr>
      <w:rFonts w:hint="eastAsia" w:ascii="宋体" w:hAnsi="宋体" w:eastAsia="宋体" w:cs="宋体"/>
      <w:color w:val="000000"/>
      <w:sz w:val="24"/>
      <w:szCs w:val="24"/>
      <w:u w:val="none"/>
    </w:rPr>
  </w:style>
  <w:style w:type="character" w:customStyle="1" w:styleId="16">
    <w:name w:val="font12"/>
    <w:basedOn w:val="3"/>
    <w:uiPriority w:val="0"/>
    <w:rPr>
      <w:rFonts w:hint="eastAsia" w:ascii="宋体" w:hAnsi="宋体" w:eastAsia="宋体" w:cs="宋体"/>
      <w:b/>
      <w:bCs/>
      <w:color w:val="000000"/>
      <w:sz w:val="22"/>
      <w:szCs w:val="22"/>
      <w:u w:val="none"/>
    </w:rPr>
  </w:style>
  <w:style w:type="character" w:customStyle="1" w:styleId="17">
    <w:name w:val="font112"/>
    <w:basedOn w:val="3"/>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432</Words>
  <Characters>505</Characters>
  <Lines>0</Lines>
  <Paragraphs>0</Paragraphs>
  <TotalTime>9</TotalTime>
  <ScaleCrop>false</ScaleCrop>
  <LinksUpToDate>false</LinksUpToDate>
  <CharactersWithSpaces>506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2026-09-14T07:33:00Z</dcterms:created>
  <dc:creator>Administrator</dc:creator>
  <cp:lastModifiedBy>秦乐</cp:lastModifiedBy>
  <dcterms:modified xsi:type="dcterms:W3CDTF">2026-09-15T09:33:36Z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eyJoZGlkIjoiOGI3ZGMzOGI3Mzk2NjcxYTg2YzQzM2M0YWI0YjFkMDgiLCJ1c2VySWQiOiIxNjcwMDgyNjgxIn0=</vt:lpwstr>
  </property>
  <property fmtid="{D5CDD505-2E9C-101B-9397-08002B2CF9AE}" pid="4" name="ICV">
    <vt:lpwstr>5267813D7D81467AAB579A0FF5CEBB58_12</vt:lpwstr>
  </property>
</Properties>
</file>