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5F5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Times New Roman"/>
          <w:sz w:val="44"/>
          <w:szCs w:val="44"/>
        </w:rPr>
      </w:pPr>
      <w:r>
        <w:rPr>
          <w:rFonts w:hint="eastAsia" w:ascii="方正小标宋简体" w:hAnsi="方正小标宋简体" w:eastAsia="方正小标宋简体" w:cs="方正小标宋简体"/>
          <w:spacing w:val="-20"/>
          <w:sz w:val="44"/>
          <w:szCs w:val="44"/>
        </w:rPr>
        <w:t>新乐市2026年补充耕地质量验收项目报价单</w:t>
      </w:r>
    </w:p>
    <w:tbl>
      <w:tblPr>
        <w:tblStyle w:val="4"/>
        <w:tblW w:w="4998" w:type="pct"/>
        <w:jc w:val="center"/>
        <w:tblLayout w:type="autofit"/>
        <w:tblCellMar>
          <w:top w:w="0" w:type="dxa"/>
          <w:left w:w="108" w:type="dxa"/>
          <w:bottom w:w="0" w:type="dxa"/>
          <w:right w:w="108" w:type="dxa"/>
        </w:tblCellMar>
      </w:tblPr>
      <w:tblGrid>
        <w:gridCol w:w="659"/>
        <w:gridCol w:w="6357"/>
        <w:gridCol w:w="1503"/>
      </w:tblGrid>
      <w:tr w14:paraId="6A21FE2B">
        <w:tblPrEx>
          <w:tblCellMar>
            <w:top w:w="0" w:type="dxa"/>
            <w:left w:w="108" w:type="dxa"/>
            <w:bottom w:w="0" w:type="dxa"/>
            <w:right w:w="108" w:type="dxa"/>
          </w:tblCellMar>
        </w:tblPrEx>
        <w:trPr>
          <w:trHeight w:val="394"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214C">
            <w:pPr>
              <w:widowControl/>
              <w:jc w:val="center"/>
              <w:textAlignment w:val="center"/>
              <w:rPr>
                <w:rFonts w:ascii="Times New Roman" w:hAnsi="Times New Roman" w:eastAsia="宋体" w:cs="Times New Roman"/>
                <w:color w:val="000000"/>
                <w:sz w:val="28"/>
                <w:szCs w:val="28"/>
              </w:rPr>
            </w:pPr>
            <w:r>
              <w:rPr>
                <w:rStyle w:val="8"/>
                <w:rFonts w:hint="default"/>
                <w:sz w:val="22"/>
                <w:szCs w:val="22"/>
              </w:rPr>
              <w:t>序号</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04BD7">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服务内容及要求</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FF2A">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报价（元）</w:t>
            </w:r>
          </w:p>
        </w:tc>
      </w:tr>
      <w:tr w14:paraId="5DAEDC19">
        <w:tblPrEx>
          <w:tblCellMar>
            <w:top w:w="0" w:type="dxa"/>
            <w:left w:w="108" w:type="dxa"/>
            <w:bottom w:w="0" w:type="dxa"/>
            <w:right w:w="108" w:type="dxa"/>
          </w:tblCellMar>
        </w:tblPrEx>
        <w:trPr>
          <w:trHeight w:val="120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65A42">
            <w:pPr>
              <w:widowControl/>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1</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697F3">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收集资料，制定验收工作方案。按照省市耕地质量验收相关要求，全面收集项目相关基础材料，确保资料完整合规；结合项目实际情况，制定补充耕地质量验收工作方案，明确验收范围、流程、标准、人员分工及时间节点，保障验收工作有序推进。</w:t>
            </w:r>
          </w:p>
        </w:tc>
        <w:tc>
          <w:tcPr>
            <w:tcW w:w="8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89D6E">
            <w:pPr>
              <w:widowControl/>
              <w:jc w:val="center"/>
              <w:textAlignment w:val="center"/>
              <w:rPr>
                <w:rFonts w:ascii="宋体" w:hAnsi="宋体" w:eastAsia="宋体" w:cs="宋体"/>
                <w:color w:val="000000"/>
                <w:sz w:val="28"/>
                <w:szCs w:val="28"/>
                <w:u w:val="single"/>
              </w:rPr>
            </w:pPr>
            <w:r>
              <w:rPr>
                <w:rFonts w:hint="eastAsia" w:ascii="宋体" w:hAnsi="宋体" w:eastAsia="宋体" w:cs="宋体"/>
                <w:color w:val="000000"/>
                <w:kern w:val="0"/>
                <w:sz w:val="28"/>
                <w:szCs w:val="28"/>
                <w:u w:val="single"/>
              </w:rPr>
              <w:t xml:space="preserve">    </w:t>
            </w:r>
            <w:r>
              <w:rPr>
                <w:rStyle w:val="8"/>
                <w:rFonts w:hint="default"/>
              </w:rPr>
              <w:t>元</w:t>
            </w:r>
            <w:r>
              <w:rPr>
                <w:rStyle w:val="9"/>
                <w:rFonts w:eastAsia="宋体"/>
              </w:rPr>
              <w:t>/</w:t>
            </w:r>
            <w:r>
              <w:rPr>
                <w:rStyle w:val="8"/>
                <w:rFonts w:hint="default"/>
              </w:rPr>
              <w:t>亩</w:t>
            </w:r>
          </w:p>
        </w:tc>
      </w:tr>
      <w:tr w14:paraId="06741C97">
        <w:tblPrEx>
          <w:tblCellMar>
            <w:top w:w="0" w:type="dxa"/>
            <w:left w:w="108" w:type="dxa"/>
            <w:bottom w:w="0" w:type="dxa"/>
            <w:right w:w="108" w:type="dxa"/>
          </w:tblCellMar>
        </w:tblPrEx>
        <w:trPr>
          <w:trHeight w:val="120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96D49">
            <w:pPr>
              <w:widowControl/>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2</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13C9">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地块筛选与测算。依据补充耕地项目实施范围，结合土地利用现状、耕地立地条件等因素，合规筛选待验收耕地地块；采用专业测算方法，对地块位置、面积等进行精准测算，核实地块真实性与合规性。</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36AF8">
            <w:pPr>
              <w:jc w:val="center"/>
              <w:rPr>
                <w:rFonts w:ascii="宋体" w:hAnsi="宋体" w:eastAsia="宋体" w:cs="宋体"/>
                <w:color w:val="000000"/>
                <w:sz w:val="28"/>
                <w:szCs w:val="28"/>
                <w:u w:val="single"/>
              </w:rPr>
            </w:pPr>
          </w:p>
        </w:tc>
      </w:tr>
      <w:tr w14:paraId="2DD07790">
        <w:tblPrEx>
          <w:tblCellMar>
            <w:top w:w="0" w:type="dxa"/>
            <w:left w:w="108" w:type="dxa"/>
            <w:bottom w:w="0" w:type="dxa"/>
            <w:right w:w="108" w:type="dxa"/>
          </w:tblCellMar>
        </w:tblPrEx>
        <w:trPr>
          <w:trHeight w:val="120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40E66">
            <w:pPr>
              <w:widowControl/>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3</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B11C8">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农业生产符合性评价专家现场踏勘。邀请耕地质量、农业生产领域专业专家组成踏勘组，深入补充耕地地块现场，实地踏勘，核验地块是否满足农业生产基本要求，留存现场踏勘记录。</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DAE48">
            <w:pPr>
              <w:jc w:val="center"/>
              <w:rPr>
                <w:rFonts w:ascii="宋体" w:hAnsi="宋体" w:eastAsia="宋体" w:cs="宋体"/>
                <w:color w:val="000000"/>
                <w:sz w:val="28"/>
                <w:szCs w:val="28"/>
                <w:u w:val="single"/>
              </w:rPr>
            </w:pPr>
          </w:p>
        </w:tc>
      </w:tr>
      <w:tr w14:paraId="0A413DB1">
        <w:tblPrEx>
          <w:tblCellMar>
            <w:top w:w="0" w:type="dxa"/>
            <w:left w:w="108" w:type="dxa"/>
            <w:bottom w:w="0" w:type="dxa"/>
            <w:right w:w="108" w:type="dxa"/>
          </w:tblCellMar>
        </w:tblPrEx>
        <w:trPr>
          <w:trHeight w:val="9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984C">
            <w:pPr>
              <w:widowControl/>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4</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C143">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土壤检测报告。按照耕地质量验收相关规范及标准，对补充耕地土壤样本进行理化性状、有机质含量、养分含量、污染物含量等指标检测，为质量评价提供数据支撑。</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7148B">
            <w:pPr>
              <w:jc w:val="center"/>
              <w:rPr>
                <w:rFonts w:ascii="宋体" w:hAnsi="宋体" w:eastAsia="宋体" w:cs="宋体"/>
                <w:color w:val="000000"/>
                <w:sz w:val="28"/>
                <w:szCs w:val="28"/>
                <w:u w:val="single"/>
              </w:rPr>
            </w:pPr>
          </w:p>
        </w:tc>
      </w:tr>
      <w:tr w14:paraId="54EA4C20">
        <w:tblPrEx>
          <w:tblCellMar>
            <w:top w:w="0" w:type="dxa"/>
            <w:left w:w="108" w:type="dxa"/>
            <w:bottom w:w="0" w:type="dxa"/>
            <w:right w:w="108" w:type="dxa"/>
          </w:tblCellMar>
        </w:tblPrEx>
        <w:trPr>
          <w:trHeight w:val="120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F1A4A">
            <w:pPr>
              <w:widowControl/>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5</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74B0">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农业生产符合性评价。结合专家现场踏勘意见、土壤污染调查结果、土壤检测数据，综合评判补充耕地的耕作条件、土壤肥力、环境安全性等指标，判定地块是否符合农业生产基本标准，形成农业生产符合性评价结论。</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2140">
            <w:pPr>
              <w:jc w:val="center"/>
              <w:rPr>
                <w:rFonts w:ascii="宋体" w:hAnsi="宋体" w:eastAsia="宋体" w:cs="宋体"/>
                <w:color w:val="000000"/>
                <w:sz w:val="28"/>
                <w:szCs w:val="28"/>
                <w:u w:val="single"/>
              </w:rPr>
            </w:pPr>
          </w:p>
        </w:tc>
      </w:tr>
      <w:tr w14:paraId="1A782EB2">
        <w:tblPrEx>
          <w:tblCellMar>
            <w:top w:w="0" w:type="dxa"/>
            <w:left w:w="108" w:type="dxa"/>
            <w:bottom w:w="0" w:type="dxa"/>
            <w:right w:w="108" w:type="dxa"/>
          </w:tblCellMar>
        </w:tblPrEx>
        <w:trPr>
          <w:trHeight w:val="120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3F51">
            <w:pPr>
              <w:widowControl/>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6</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E007C">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耕地质量等级评价。依据《河北省农业农村厅河北省自然资源厅关于修订</w:t>
            </w:r>
            <w:r>
              <w:rPr>
                <w:rFonts w:hint="eastAsia" w:ascii="仿宋_GB2312" w:hAnsi="仿宋_GB2312" w:eastAsia="仿宋_GB2312" w:cs="仿宋_GB2312"/>
                <w:color w:val="000000"/>
                <w:kern w:val="0"/>
                <w:szCs w:val="21"/>
              </w:rPr>
              <w:t>〈</w:t>
            </w:r>
            <w:bookmarkStart w:id="0" w:name="_GoBack"/>
            <w:bookmarkEnd w:id="0"/>
            <w:r>
              <w:rPr>
                <w:rFonts w:hint="eastAsia" w:ascii="宋体" w:hAnsi="宋体" w:eastAsia="宋体" w:cs="宋体"/>
                <w:color w:val="000000"/>
                <w:kern w:val="0"/>
                <w:szCs w:val="21"/>
              </w:rPr>
              <w:t>河北省补充耕地质量鉴定技术规范（试行）</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的通知》（冀农发〔2026〕9号）及其他相关规范，对补充耕地地块进行全方位质量等级评价，形成完整的补充耕地质量等级评价成果。</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149DB">
            <w:pPr>
              <w:jc w:val="center"/>
              <w:rPr>
                <w:rFonts w:ascii="宋体" w:hAnsi="宋体" w:eastAsia="宋体" w:cs="宋体"/>
                <w:color w:val="000000"/>
                <w:sz w:val="28"/>
                <w:szCs w:val="28"/>
                <w:u w:val="single"/>
              </w:rPr>
            </w:pPr>
          </w:p>
        </w:tc>
      </w:tr>
      <w:tr w14:paraId="4760B8BB">
        <w:tblPrEx>
          <w:tblCellMar>
            <w:top w:w="0" w:type="dxa"/>
            <w:left w:w="108" w:type="dxa"/>
            <w:bottom w:w="0" w:type="dxa"/>
            <w:right w:w="108" w:type="dxa"/>
          </w:tblCellMar>
        </w:tblPrEx>
        <w:trPr>
          <w:trHeight w:val="120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970EF">
            <w:pPr>
              <w:widowControl/>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7</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7C51">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县级农业部门出具《县级补充耕地质量初步鉴定意见》。依据补充耕地质量验收相关规范，配合县级农业部门，对补充耕地质量开展初步鉴定，形成客观详实的《县级补充耕地质量初步鉴定意见》，作为后续验收的基础支撑。</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CA07B">
            <w:pPr>
              <w:jc w:val="center"/>
              <w:rPr>
                <w:rFonts w:ascii="宋体" w:hAnsi="宋体" w:eastAsia="宋体" w:cs="宋体"/>
                <w:color w:val="000000"/>
                <w:sz w:val="28"/>
                <w:szCs w:val="28"/>
                <w:u w:val="single"/>
              </w:rPr>
            </w:pPr>
          </w:p>
        </w:tc>
      </w:tr>
      <w:tr w14:paraId="23F333F6">
        <w:tblPrEx>
          <w:tblCellMar>
            <w:top w:w="0" w:type="dxa"/>
            <w:left w:w="108" w:type="dxa"/>
            <w:bottom w:w="0" w:type="dxa"/>
            <w:right w:w="108" w:type="dxa"/>
          </w:tblCellMar>
        </w:tblPrEx>
        <w:trPr>
          <w:trHeight w:val="394"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10E39">
            <w:pPr>
              <w:widowControl/>
              <w:jc w:val="center"/>
              <w:textAlignment w:val="center"/>
              <w:rPr>
                <w:rFonts w:ascii="Times New Roman" w:hAnsi="Times New Roman" w:eastAsia="宋体" w:cs="Times New Roman"/>
                <w:color w:val="000000"/>
                <w:sz w:val="28"/>
                <w:szCs w:val="28"/>
              </w:rPr>
            </w:pPr>
            <w:r>
              <w:rPr>
                <w:rFonts w:hint="eastAsia" w:ascii="Times New Roman" w:hAnsi="Times New Roman" w:eastAsia="宋体" w:cs="Times New Roman"/>
                <w:color w:val="000000"/>
                <w:kern w:val="0"/>
                <w:sz w:val="28"/>
                <w:szCs w:val="28"/>
              </w:rPr>
              <w:t>8</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E54EB">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配合完成市级鉴定工作并出具《补充耕地质量市级验收意见》。</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D717A">
            <w:pPr>
              <w:jc w:val="center"/>
              <w:rPr>
                <w:rFonts w:ascii="宋体" w:hAnsi="宋体" w:eastAsia="宋体" w:cs="宋体"/>
                <w:color w:val="000000"/>
                <w:sz w:val="28"/>
                <w:szCs w:val="28"/>
                <w:u w:val="single"/>
              </w:rPr>
            </w:pPr>
          </w:p>
        </w:tc>
      </w:tr>
      <w:tr w14:paraId="5C7088B2">
        <w:tblPrEx>
          <w:tblCellMar>
            <w:top w:w="0" w:type="dxa"/>
            <w:left w:w="108" w:type="dxa"/>
            <w:bottom w:w="0" w:type="dxa"/>
            <w:right w:w="108" w:type="dxa"/>
          </w:tblCellMar>
        </w:tblPrEx>
        <w:trPr>
          <w:trHeight w:val="31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8A43C">
            <w:pPr>
              <w:widowControl/>
              <w:jc w:val="center"/>
              <w:textAlignment w:val="center"/>
              <w:rPr>
                <w:rFonts w:ascii="Times New Roman" w:hAnsi="Times New Roman" w:eastAsia="宋体" w:cs="Times New Roman"/>
                <w:color w:val="000000"/>
                <w:sz w:val="28"/>
                <w:szCs w:val="28"/>
              </w:rPr>
            </w:pPr>
            <w:r>
              <w:rPr>
                <w:rFonts w:hint="eastAsia" w:ascii="Times New Roman" w:hAnsi="Times New Roman" w:eastAsia="宋体" w:cs="Times New Roman"/>
                <w:color w:val="000000"/>
                <w:kern w:val="0"/>
                <w:sz w:val="28"/>
                <w:szCs w:val="28"/>
              </w:rPr>
              <w:t>9</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85B86">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配合完成省农业部门抽核工作，确定并反馈抽核结果。</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FC194">
            <w:pPr>
              <w:jc w:val="center"/>
              <w:rPr>
                <w:rFonts w:ascii="宋体" w:hAnsi="宋体" w:eastAsia="宋体" w:cs="宋体"/>
                <w:color w:val="000000"/>
                <w:sz w:val="28"/>
                <w:szCs w:val="28"/>
                <w:u w:val="single"/>
              </w:rPr>
            </w:pPr>
          </w:p>
        </w:tc>
      </w:tr>
      <w:tr w14:paraId="1D3FF267">
        <w:tblPrEx>
          <w:tblCellMar>
            <w:top w:w="0" w:type="dxa"/>
            <w:left w:w="108" w:type="dxa"/>
            <w:bottom w:w="0" w:type="dxa"/>
            <w:right w:w="108" w:type="dxa"/>
          </w:tblCellMar>
        </w:tblPrEx>
        <w:trPr>
          <w:trHeight w:val="44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2C36">
            <w:pPr>
              <w:widowControl/>
              <w:jc w:val="center"/>
              <w:textAlignment w:val="center"/>
              <w:rPr>
                <w:rFonts w:ascii="Times New Roman" w:hAnsi="Times New Roman" w:eastAsia="宋体" w:cs="Times New Roman"/>
                <w:color w:val="000000"/>
                <w:sz w:val="28"/>
                <w:szCs w:val="28"/>
              </w:rPr>
            </w:pPr>
            <w:r>
              <w:rPr>
                <w:rFonts w:hint="eastAsia" w:ascii="Times New Roman" w:hAnsi="Times New Roman" w:eastAsia="宋体" w:cs="Times New Roman"/>
                <w:color w:val="000000"/>
                <w:kern w:val="0"/>
                <w:sz w:val="28"/>
                <w:szCs w:val="28"/>
              </w:rPr>
              <w:t>10</w:t>
            </w:r>
          </w:p>
        </w:tc>
        <w:tc>
          <w:tcPr>
            <w:tcW w:w="3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1C215">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对于一些不可预知工作，可以根据实际情况再行调整补充。</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7FB14">
            <w:pPr>
              <w:jc w:val="center"/>
              <w:rPr>
                <w:rFonts w:ascii="宋体" w:hAnsi="宋体" w:eastAsia="宋体" w:cs="宋体"/>
                <w:color w:val="000000"/>
                <w:sz w:val="28"/>
                <w:szCs w:val="28"/>
                <w:u w:val="single"/>
              </w:rPr>
            </w:pPr>
          </w:p>
        </w:tc>
      </w:tr>
    </w:tbl>
    <w:p w14:paraId="10AAFE7D">
      <w:pPr>
        <w:keepNext w:val="0"/>
        <w:keepLines w:val="0"/>
        <w:pageBreakBefore w:val="0"/>
        <w:widowControl w:val="0"/>
        <w:kinsoku/>
        <w:overflowPunct/>
        <w:topLinePunct w:val="0"/>
        <w:autoSpaceDE/>
        <w:autoSpaceDN/>
        <w:bidi w:val="0"/>
        <w:adjustRightInd/>
        <w:snapToGrid/>
        <w:spacing w:line="400" w:lineRule="exact"/>
        <w:ind w:firstLine="560" w:firstLineChars="200"/>
        <w:jc w:val="left"/>
        <w:textAlignment w:val="auto"/>
        <w:rPr>
          <w:rFonts w:asciiTheme="minorEastAsia" w:hAnsiTheme="minorEastAsia" w:cstheme="minorEastAsia"/>
          <w:sz w:val="28"/>
          <w:szCs w:val="28"/>
        </w:rPr>
      </w:pPr>
      <w:r>
        <w:rPr>
          <w:rFonts w:hint="eastAsia" w:asciiTheme="minorEastAsia" w:hAnsiTheme="minorEastAsia" w:cstheme="minorEastAsia"/>
          <w:sz w:val="28"/>
          <w:szCs w:val="28"/>
        </w:rPr>
        <w:t>以上报价包含从服务开始到验收合格的人工、设备、检测等服务费、税费、利润等全部费用以及由于其它条件的价格浮动而导致的全部额外费用。</w:t>
      </w:r>
    </w:p>
    <w:p w14:paraId="2DAA0A22">
      <w:pPr>
        <w:keepNext w:val="0"/>
        <w:keepLines w:val="0"/>
        <w:pageBreakBefore w:val="0"/>
        <w:widowControl w:val="0"/>
        <w:kinsoku/>
        <w:overflowPunct/>
        <w:topLinePunct w:val="0"/>
        <w:autoSpaceDE/>
        <w:autoSpaceDN/>
        <w:bidi w:val="0"/>
        <w:adjustRightInd/>
        <w:snapToGrid/>
        <w:spacing w:line="400" w:lineRule="exact"/>
        <w:jc w:val="right"/>
        <w:textAlignment w:val="auto"/>
        <w:rPr>
          <w:rFonts w:asciiTheme="minorEastAsia" w:hAnsiTheme="minorEastAsia" w:cstheme="minorEastAsia"/>
          <w:sz w:val="28"/>
          <w:szCs w:val="28"/>
        </w:rPr>
      </w:pPr>
      <w:r>
        <w:rPr>
          <w:rFonts w:hint="eastAsia" w:asciiTheme="minorEastAsia" w:hAnsiTheme="minorEastAsia" w:cstheme="minorEastAsia"/>
          <w:sz w:val="28"/>
          <w:szCs w:val="28"/>
        </w:rPr>
        <w:t>报价单位：</w:t>
      </w:r>
      <w:r>
        <w:rPr>
          <w:rFonts w:hint="eastAsia" w:asciiTheme="minorEastAsia" w:hAnsiTheme="minorEastAsia" w:cstheme="minorEastAsia"/>
          <w:sz w:val="28"/>
          <w:szCs w:val="28"/>
          <w:u w:val="single"/>
        </w:rPr>
        <w:t xml:space="preserve">               </w:t>
      </w:r>
      <w:r>
        <w:rPr>
          <w:rFonts w:hint="eastAsia" w:asciiTheme="minorEastAsia" w:hAnsiTheme="minorEastAsia" w:cstheme="minorEastAsia"/>
          <w:sz w:val="28"/>
          <w:szCs w:val="28"/>
        </w:rPr>
        <w:t>（盖章）</w:t>
      </w:r>
    </w:p>
    <w:p w14:paraId="07CD5B06">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asciiTheme="minorEastAsia" w:hAnsiTheme="minorEastAsia" w:cstheme="minorEastAsia"/>
          <w:sz w:val="28"/>
          <w:szCs w:val="28"/>
        </w:rPr>
      </w:pPr>
      <w:r>
        <w:rPr>
          <w:rFonts w:hint="eastAsia" w:asciiTheme="minorEastAsia" w:hAnsiTheme="minorEastAsia" w:cstheme="minorEastAsia"/>
          <w:sz w:val="28"/>
          <w:szCs w:val="28"/>
        </w:rPr>
        <w:t>联系人及联系方式：</w:t>
      </w:r>
      <w:r>
        <w:rPr>
          <w:rFonts w:hint="eastAsia" w:asciiTheme="minorEastAsia" w:hAnsiTheme="minorEastAsia" w:cstheme="minorEastAsia"/>
          <w:sz w:val="28"/>
          <w:szCs w:val="28"/>
          <w:u w:val="single"/>
        </w:rPr>
        <w:t xml:space="preserve">               </w:t>
      </w:r>
      <w:r>
        <w:rPr>
          <w:rFonts w:hint="eastAsia" w:asciiTheme="minorEastAsia" w:hAnsiTheme="minorEastAsia" w:cstheme="minorEastAsia"/>
          <w:sz w:val="28"/>
          <w:szCs w:val="28"/>
        </w:rPr>
        <w:t xml:space="preserve">        </w:t>
      </w:r>
    </w:p>
    <w:p w14:paraId="03CB2934">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ascii="Times New Roman" w:hAnsi="Times New Roman" w:cs="Times New Roman"/>
          <w:sz w:val="28"/>
          <w:szCs w:val="28"/>
        </w:rPr>
      </w:pPr>
      <w:r>
        <w:rPr>
          <w:rFonts w:hint="eastAsia" w:asciiTheme="minorEastAsia" w:hAnsiTheme="minorEastAsia" w:cstheme="minorEastAsia"/>
          <w:sz w:val="28"/>
          <w:szCs w:val="28"/>
        </w:rPr>
        <w:t xml:space="preserve">2026年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5D6842"/>
    <w:rsid w:val="0016267D"/>
    <w:rsid w:val="001742C5"/>
    <w:rsid w:val="002B33F2"/>
    <w:rsid w:val="00750B98"/>
    <w:rsid w:val="00C00DF3"/>
    <w:rsid w:val="00C764EE"/>
    <w:rsid w:val="00D81C44"/>
    <w:rsid w:val="00DA291F"/>
    <w:rsid w:val="00F8059F"/>
    <w:rsid w:val="00F95D24"/>
    <w:rsid w:val="07FD36EB"/>
    <w:rsid w:val="128C697D"/>
    <w:rsid w:val="185D6842"/>
    <w:rsid w:val="4F52032A"/>
    <w:rsid w:val="5ECC1F13"/>
    <w:rsid w:val="6AF40063"/>
    <w:rsid w:val="6C5D72CC"/>
    <w:rsid w:val="744B6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font11"/>
    <w:basedOn w:val="6"/>
    <w:qFormat/>
    <w:uiPriority w:val="0"/>
    <w:rPr>
      <w:rFonts w:hint="eastAsia" w:ascii="宋体" w:hAnsi="宋体" w:eastAsia="宋体" w:cs="宋体"/>
      <w:color w:val="000000"/>
      <w:sz w:val="28"/>
      <w:szCs w:val="28"/>
      <w:u w:val="none"/>
    </w:rPr>
  </w:style>
  <w:style w:type="character" w:customStyle="1" w:styleId="8">
    <w:name w:val="font31"/>
    <w:basedOn w:val="6"/>
    <w:qFormat/>
    <w:uiPriority w:val="0"/>
    <w:rPr>
      <w:rFonts w:hint="eastAsia" w:ascii="宋体" w:hAnsi="宋体" w:eastAsia="宋体" w:cs="宋体"/>
      <w:color w:val="000000"/>
      <w:sz w:val="28"/>
      <w:szCs w:val="28"/>
      <w:u w:val="none"/>
    </w:rPr>
  </w:style>
  <w:style w:type="character" w:customStyle="1" w:styleId="9">
    <w:name w:val="font21"/>
    <w:basedOn w:val="6"/>
    <w:uiPriority w:val="0"/>
    <w:rPr>
      <w:rFonts w:hint="default" w:ascii="Times New Roman" w:hAnsi="Times New Roman" w:cs="Times New Roman"/>
      <w:color w:val="000000"/>
      <w:sz w:val="28"/>
      <w:szCs w:val="28"/>
      <w:u w:val="none"/>
    </w:rPr>
  </w:style>
  <w:style w:type="character" w:customStyle="1" w:styleId="10">
    <w:name w:val="页眉 Char"/>
    <w:basedOn w:val="6"/>
    <w:link w:val="3"/>
    <w:qFormat/>
    <w:uiPriority w:val="0"/>
    <w:rPr>
      <w:rFonts w:asciiTheme="minorHAnsi" w:hAnsiTheme="minorHAnsi" w:eastAsiaTheme="minorEastAsia" w:cstheme="minorBidi"/>
      <w:kern w:val="2"/>
      <w:sz w:val="18"/>
      <w:szCs w:val="18"/>
    </w:rPr>
  </w:style>
  <w:style w:type="character" w:customStyle="1" w:styleId="11">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1108</Words>
  <Characters>1166</Characters>
  <Lines>1</Lines>
  <Paragraphs>2</Paragraphs>
  <TotalTime>92</TotalTime>
  <ScaleCrop>false</ScaleCrop>
  <LinksUpToDate>false</LinksUpToDate>
  <CharactersWithSpaces>1238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2026-09-02T05:39:00Z</dcterms:created>
  <dc:creator>秦乐</dc:creator>
  <cp:lastModifiedBy>Administrator</cp:lastModifiedBy>
  <cp:lastPrinted>2026-09-07T08:04:00Z</cp:lastPrinted>
  <dcterms:modified xsi:type="dcterms:W3CDTF">2026-09-17T06:48:55Z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87A885054B364DD6B8622DE981D5916A_13</vt:lpwstr>
  </property>
  <property fmtid="{D5CDD505-2E9C-101B-9397-08002B2CF9AE}" pid="4" name="KSOTemplateDocerSaveRecord">
    <vt:lpwstr>eyJoZGlkIjoiOGI3ZGMzOGI3Mzk2NjcxYTg2YzQzM2M0YWI0YjFkMDgiLCJ1c2VySWQiOiIxNjcwMDgyNjgxIn0=</vt:lpwstr>
  </property>
</Properties>
</file>